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FB94AD">
      <w:pPr>
        <w:pStyle w:val="28"/>
        <w:spacing w:before="156" w:after="156"/>
        <w:rPr>
          <w:sz w:val="48"/>
          <w:szCs w:val="28"/>
        </w:rPr>
      </w:pPr>
    </w:p>
    <w:p w14:paraId="6B837E3F">
      <w:pPr>
        <w:pStyle w:val="28"/>
        <w:spacing w:before="156" w:after="156"/>
        <w:rPr>
          <w:sz w:val="48"/>
          <w:szCs w:val="28"/>
        </w:rPr>
      </w:pPr>
    </w:p>
    <w:p w14:paraId="2E8F2914">
      <w:pPr>
        <w:pStyle w:val="28"/>
        <w:spacing w:before="156" w:after="156"/>
        <w:rPr>
          <w:sz w:val="48"/>
          <w:szCs w:val="28"/>
        </w:rPr>
      </w:pPr>
      <w:r>
        <w:rPr>
          <w:rFonts w:hint="eastAsia"/>
          <w:sz w:val="48"/>
          <w:szCs w:val="28"/>
        </w:rPr>
        <w:t>莫力达瓦达斡尔族自治旗国民经济和</w:t>
      </w:r>
    </w:p>
    <w:p w14:paraId="4527B736">
      <w:pPr>
        <w:pStyle w:val="28"/>
        <w:spacing w:before="156" w:after="156"/>
        <w:rPr>
          <w:sz w:val="48"/>
          <w:szCs w:val="28"/>
        </w:rPr>
      </w:pPr>
      <w:r>
        <w:rPr>
          <w:rFonts w:hint="eastAsia"/>
          <w:sz w:val="48"/>
          <w:szCs w:val="28"/>
        </w:rPr>
        <w:t>社会发展第十五个五年规划纲要</w:t>
      </w:r>
    </w:p>
    <w:p w14:paraId="1FAC6F61">
      <w:pPr>
        <w:pStyle w:val="28"/>
        <w:spacing w:before="156" w:after="156"/>
        <w:rPr>
          <w:sz w:val="48"/>
          <w:szCs w:val="28"/>
        </w:rPr>
      </w:pPr>
    </w:p>
    <w:p w14:paraId="3539B122">
      <w:pPr>
        <w:pStyle w:val="28"/>
        <w:spacing w:before="156" w:after="156"/>
        <w:rPr>
          <w:sz w:val="48"/>
          <w:szCs w:val="28"/>
        </w:rPr>
      </w:pPr>
    </w:p>
    <w:p w14:paraId="014D377A">
      <w:pPr>
        <w:pStyle w:val="28"/>
        <w:spacing w:before="156" w:after="156"/>
        <w:rPr>
          <w:sz w:val="48"/>
          <w:szCs w:val="28"/>
        </w:rPr>
      </w:pPr>
    </w:p>
    <w:p w14:paraId="0A55F9CC">
      <w:pPr>
        <w:pStyle w:val="28"/>
        <w:spacing w:before="156" w:after="156"/>
        <w:rPr>
          <w:sz w:val="48"/>
          <w:szCs w:val="28"/>
        </w:rPr>
      </w:pPr>
    </w:p>
    <w:p w14:paraId="1F5CBC9D">
      <w:pPr>
        <w:pStyle w:val="28"/>
        <w:spacing w:before="156" w:after="156"/>
        <w:rPr>
          <w:sz w:val="48"/>
          <w:szCs w:val="28"/>
        </w:rPr>
      </w:pPr>
    </w:p>
    <w:p w14:paraId="43BC862C">
      <w:pPr>
        <w:pStyle w:val="28"/>
        <w:spacing w:before="156" w:after="156"/>
        <w:rPr>
          <w:sz w:val="48"/>
          <w:szCs w:val="28"/>
        </w:rPr>
      </w:pPr>
    </w:p>
    <w:p w14:paraId="327431D8">
      <w:pPr>
        <w:pStyle w:val="28"/>
        <w:spacing w:before="156" w:after="156"/>
        <w:rPr>
          <w:sz w:val="48"/>
          <w:szCs w:val="28"/>
        </w:rPr>
      </w:pPr>
    </w:p>
    <w:p w14:paraId="2EA9042F">
      <w:pPr>
        <w:pStyle w:val="28"/>
        <w:spacing w:before="156" w:after="156"/>
        <w:rPr>
          <w:sz w:val="48"/>
          <w:szCs w:val="28"/>
        </w:rPr>
      </w:pPr>
    </w:p>
    <w:p w14:paraId="25125B50">
      <w:pPr>
        <w:ind w:firstLine="0" w:firstLineChars="0"/>
        <w:jc w:val="center"/>
        <w:rPr>
          <w:rFonts w:cs="楷体_GB2312"/>
          <w:b/>
          <w:color w:val="auto"/>
          <w:sz w:val="36"/>
          <w:szCs w:val="36"/>
        </w:rPr>
      </w:pPr>
      <w:r>
        <w:rPr>
          <w:rFonts w:hint="eastAsia" w:cs="楷体_GB2312"/>
          <w:b/>
          <w:color w:val="auto"/>
          <w:sz w:val="36"/>
          <w:szCs w:val="36"/>
        </w:rPr>
        <w:t>2026年</w:t>
      </w:r>
      <w:r>
        <w:rPr>
          <w:rFonts w:hint="eastAsia" w:cs="楷体_GB2312"/>
          <w:b/>
          <w:color w:val="auto"/>
          <w:sz w:val="36"/>
          <w:szCs w:val="36"/>
          <w:lang w:val="en-US" w:eastAsia="zh-CN"/>
        </w:rPr>
        <w:t>5</w:t>
      </w:r>
      <w:r>
        <w:rPr>
          <w:rFonts w:hint="eastAsia" w:cs="楷体_GB2312"/>
          <w:b/>
          <w:color w:val="auto"/>
          <w:sz w:val="36"/>
          <w:szCs w:val="36"/>
        </w:rPr>
        <w:t>月</w:t>
      </w:r>
    </w:p>
    <w:p w14:paraId="4C45D68A">
      <w:pPr>
        <w:pStyle w:val="2"/>
        <w:spacing w:after="312"/>
        <w:ind w:left="640" w:firstLine="560"/>
      </w:pPr>
      <w:r>
        <w:rPr>
          <w:rFonts w:hint="eastAsia"/>
        </w:rPr>
        <w:br w:type="page"/>
      </w:r>
      <w:bookmarkStart w:id="99" w:name="_GoBack"/>
      <w:bookmarkEnd w:id="99"/>
    </w:p>
    <w:p w14:paraId="72343EEF">
      <w:pPr>
        <w:pStyle w:val="16"/>
        <w:jc w:val="center"/>
        <w:rPr>
          <w:rFonts w:hint="eastAsia"/>
          <w:sz w:val="44"/>
          <w:szCs w:val="36"/>
        </w:rPr>
      </w:pPr>
    </w:p>
    <w:p w14:paraId="51EF3D49">
      <w:pPr>
        <w:pStyle w:val="16"/>
        <w:jc w:val="center"/>
        <w:rPr>
          <w:rFonts w:hint="eastAsia"/>
          <w:sz w:val="44"/>
          <w:szCs w:val="36"/>
        </w:rPr>
      </w:pPr>
    </w:p>
    <w:p w14:paraId="0E1DF913">
      <w:pPr>
        <w:pStyle w:val="16"/>
        <w:jc w:val="center"/>
        <w:rPr>
          <w:rFonts w:hint="eastAsia"/>
          <w:sz w:val="44"/>
          <w:szCs w:val="36"/>
        </w:rPr>
      </w:pPr>
    </w:p>
    <w:p w14:paraId="605A8E90">
      <w:pPr>
        <w:pStyle w:val="16"/>
        <w:jc w:val="center"/>
        <w:rPr>
          <w:rFonts w:hint="eastAsia"/>
          <w:sz w:val="44"/>
          <w:szCs w:val="36"/>
        </w:rPr>
      </w:pPr>
    </w:p>
    <w:p w14:paraId="022BFE85">
      <w:pPr>
        <w:pStyle w:val="16"/>
        <w:jc w:val="center"/>
        <w:rPr>
          <w:rFonts w:hint="eastAsia"/>
          <w:sz w:val="44"/>
          <w:szCs w:val="36"/>
        </w:rPr>
      </w:pPr>
    </w:p>
    <w:p w14:paraId="47931701">
      <w:pPr>
        <w:pStyle w:val="16"/>
        <w:jc w:val="center"/>
        <w:rPr>
          <w:rFonts w:hint="eastAsia"/>
          <w:sz w:val="44"/>
          <w:szCs w:val="36"/>
        </w:rPr>
      </w:pPr>
    </w:p>
    <w:p w14:paraId="52887CEB">
      <w:pPr>
        <w:pStyle w:val="16"/>
        <w:jc w:val="center"/>
        <w:rPr>
          <w:rFonts w:hint="eastAsia"/>
          <w:sz w:val="44"/>
          <w:szCs w:val="36"/>
        </w:rPr>
      </w:pPr>
    </w:p>
    <w:p w14:paraId="75FB93EE">
      <w:pPr>
        <w:pStyle w:val="16"/>
        <w:jc w:val="center"/>
        <w:rPr>
          <w:rFonts w:hint="eastAsia"/>
          <w:sz w:val="44"/>
          <w:szCs w:val="36"/>
        </w:rPr>
      </w:pPr>
    </w:p>
    <w:p w14:paraId="5F873A3A">
      <w:pPr>
        <w:pStyle w:val="16"/>
        <w:jc w:val="center"/>
        <w:rPr>
          <w:rFonts w:hint="eastAsia"/>
          <w:sz w:val="44"/>
          <w:szCs w:val="36"/>
        </w:rPr>
      </w:pPr>
    </w:p>
    <w:p w14:paraId="3ACE185F">
      <w:pPr>
        <w:pStyle w:val="16"/>
        <w:jc w:val="center"/>
        <w:rPr>
          <w:rFonts w:hint="eastAsia"/>
          <w:sz w:val="44"/>
          <w:szCs w:val="36"/>
        </w:rPr>
      </w:pPr>
    </w:p>
    <w:p w14:paraId="68358B26">
      <w:pPr>
        <w:pStyle w:val="16"/>
        <w:jc w:val="center"/>
        <w:rPr>
          <w:rFonts w:hint="eastAsia"/>
          <w:sz w:val="44"/>
          <w:szCs w:val="36"/>
        </w:rPr>
      </w:pPr>
    </w:p>
    <w:p w14:paraId="72A1B2FF">
      <w:pPr>
        <w:pStyle w:val="16"/>
        <w:jc w:val="center"/>
        <w:rPr>
          <w:rFonts w:hint="eastAsia"/>
          <w:sz w:val="44"/>
          <w:szCs w:val="36"/>
        </w:rPr>
      </w:pPr>
    </w:p>
    <w:p w14:paraId="5B1E807C">
      <w:pPr>
        <w:pStyle w:val="16"/>
        <w:jc w:val="center"/>
        <w:rPr>
          <w:rFonts w:hint="eastAsia"/>
          <w:sz w:val="44"/>
          <w:szCs w:val="36"/>
        </w:rPr>
      </w:pPr>
    </w:p>
    <w:p w14:paraId="4B7B901A">
      <w:pPr>
        <w:pStyle w:val="16"/>
        <w:jc w:val="center"/>
        <w:rPr>
          <w:rFonts w:hint="eastAsia"/>
          <w:sz w:val="44"/>
          <w:szCs w:val="36"/>
        </w:rPr>
      </w:pPr>
    </w:p>
    <w:p w14:paraId="35752491">
      <w:pPr>
        <w:pStyle w:val="16"/>
        <w:jc w:val="center"/>
        <w:rPr>
          <w:rFonts w:hint="eastAsia"/>
          <w:sz w:val="44"/>
          <w:szCs w:val="36"/>
        </w:rPr>
      </w:pPr>
    </w:p>
    <w:p w14:paraId="3BC973A1">
      <w:pPr>
        <w:pStyle w:val="16"/>
        <w:jc w:val="center"/>
        <w:rPr>
          <w:rFonts w:hint="eastAsia"/>
          <w:sz w:val="44"/>
          <w:szCs w:val="36"/>
        </w:rPr>
      </w:pPr>
    </w:p>
    <w:p w14:paraId="25A3162D">
      <w:pPr>
        <w:pStyle w:val="16"/>
        <w:jc w:val="center"/>
        <w:rPr>
          <w:rFonts w:hint="eastAsia"/>
          <w:sz w:val="44"/>
          <w:szCs w:val="36"/>
        </w:rPr>
      </w:pPr>
    </w:p>
    <w:p w14:paraId="00E2CDB2">
      <w:pPr>
        <w:pStyle w:val="16"/>
        <w:jc w:val="center"/>
        <w:rPr>
          <w:rFonts w:hint="eastAsia"/>
          <w:sz w:val="44"/>
          <w:szCs w:val="36"/>
        </w:rPr>
      </w:pPr>
    </w:p>
    <w:p w14:paraId="3ABDA8E2">
      <w:pPr>
        <w:pStyle w:val="16"/>
        <w:jc w:val="center"/>
        <w:rPr>
          <w:rFonts w:hint="eastAsia"/>
          <w:sz w:val="44"/>
          <w:szCs w:val="36"/>
        </w:rPr>
      </w:pPr>
    </w:p>
    <w:p w14:paraId="46747B5F">
      <w:pPr>
        <w:pStyle w:val="16"/>
        <w:jc w:val="center"/>
        <w:rPr>
          <w:rFonts w:hint="eastAsia"/>
          <w:sz w:val="44"/>
          <w:szCs w:val="36"/>
        </w:rPr>
      </w:pPr>
    </w:p>
    <w:p w14:paraId="1612F667">
      <w:pPr>
        <w:pStyle w:val="16"/>
        <w:jc w:val="center"/>
        <w:rPr>
          <w:rFonts w:hint="eastAsia"/>
          <w:sz w:val="44"/>
          <w:szCs w:val="36"/>
        </w:rPr>
      </w:pPr>
    </w:p>
    <w:p w14:paraId="6728A7A8">
      <w:pPr>
        <w:pStyle w:val="16"/>
        <w:jc w:val="center"/>
        <w:rPr>
          <w:rFonts w:hint="eastAsia"/>
          <w:sz w:val="44"/>
          <w:szCs w:val="36"/>
        </w:rPr>
      </w:pPr>
    </w:p>
    <w:p w14:paraId="5AFA0837">
      <w:pPr>
        <w:pStyle w:val="16"/>
        <w:jc w:val="center"/>
        <w:rPr>
          <w:rFonts w:hint="eastAsia"/>
          <w:sz w:val="44"/>
          <w:szCs w:val="36"/>
        </w:rPr>
      </w:pPr>
    </w:p>
    <w:p w14:paraId="277CD64D">
      <w:pPr>
        <w:pStyle w:val="16"/>
        <w:jc w:val="center"/>
        <w:rPr>
          <w:rFonts w:hint="eastAsia"/>
          <w:sz w:val="44"/>
          <w:szCs w:val="36"/>
        </w:rPr>
        <w:sectPr>
          <w:headerReference r:id="rId5" w:type="default"/>
          <w:footerReference r:id="rId7" w:type="default"/>
          <w:headerReference r:id="rId6" w:type="even"/>
          <w:footerReference r:id="rId8" w:type="even"/>
          <w:pgSz w:w="11906" w:h="16838"/>
          <w:pgMar w:top="1440" w:right="1800" w:bottom="1440" w:left="1800" w:header="851" w:footer="992" w:gutter="0"/>
          <w:pgNumType w:fmt="upperRoman" w:start="1"/>
          <w:cols w:space="425" w:num="1"/>
          <w:docGrid w:type="lines" w:linePitch="312" w:charSpace="0"/>
        </w:sectPr>
      </w:pPr>
    </w:p>
    <w:p w14:paraId="1C6FF78C">
      <w:pPr>
        <w:pStyle w:val="16"/>
        <w:jc w:val="center"/>
        <w:rPr>
          <w:sz w:val="44"/>
          <w:szCs w:val="36"/>
        </w:rPr>
      </w:pPr>
      <w:r>
        <w:rPr>
          <w:rFonts w:hint="eastAsia"/>
          <w:sz w:val="44"/>
          <w:szCs w:val="36"/>
        </w:rPr>
        <w:t>目  录</w:t>
      </w:r>
    </w:p>
    <w:p w14:paraId="0E787AA6">
      <w:pPr>
        <w:ind w:firstLine="640"/>
      </w:pPr>
    </w:p>
    <w:p w14:paraId="3F05DC0A">
      <w:pPr>
        <w:pStyle w:val="16"/>
        <w:rPr>
          <w:rFonts w:asciiTheme="minorHAnsi" w:hAnsiTheme="minorHAnsi" w:eastAsiaTheme="minorEastAsia"/>
          <w:color w:val="auto"/>
          <w:sz w:val="22"/>
          <w14:ligatures w14:val="standardContextual"/>
        </w:rPr>
      </w:pPr>
      <w:r>
        <w:rPr>
          <w:szCs w:val="28"/>
        </w:rPr>
        <w:fldChar w:fldCharType="begin"/>
      </w:r>
      <w:r>
        <w:rPr>
          <w:szCs w:val="28"/>
        </w:rPr>
        <w:instrText xml:space="preserve"> </w:instrText>
      </w:r>
      <w:r>
        <w:rPr>
          <w:rFonts w:hint="eastAsia"/>
          <w:szCs w:val="28"/>
        </w:rPr>
        <w:instrText xml:space="preserve">TOC \o "1-2" \h \z \u</w:instrText>
      </w:r>
      <w:r>
        <w:rPr>
          <w:szCs w:val="28"/>
        </w:rPr>
        <w:instrText xml:space="preserve"> </w:instrText>
      </w:r>
      <w:r>
        <w:rPr>
          <w:szCs w:val="28"/>
        </w:rPr>
        <w:fldChar w:fldCharType="separate"/>
      </w:r>
      <w:r>
        <w:fldChar w:fldCharType="begin"/>
      </w:r>
      <w:r>
        <w:instrText xml:space="preserve"> HYPERLINK \l "_Toc228206067" </w:instrText>
      </w:r>
      <w:r>
        <w:fldChar w:fldCharType="separate"/>
      </w:r>
      <w:r>
        <w:rPr>
          <w:rStyle w:val="26"/>
          <w:rFonts w:hint="eastAsia"/>
        </w:rPr>
        <w:t>第一章 回顾奋斗历程，科学研判发展时代方位</w:t>
      </w:r>
      <w:r>
        <w:rPr>
          <w:rFonts w:hint="eastAsia"/>
        </w:rPr>
        <w:tab/>
      </w:r>
      <w:r>
        <w:rPr>
          <w:rFonts w:hint="eastAsia"/>
        </w:rPr>
        <w:fldChar w:fldCharType="begin"/>
      </w:r>
      <w:r>
        <w:rPr>
          <w:rFonts w:hint="eastAsia"/>
        </w:rPr>
        <w:instrText xml:space="preserve"> </w:instrText>
      </w:r>
      <w:r>
        <w:instrText xml:space="preserve">PAGEREF _Toc228206067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ED74C24">
      <w:pPr>
        <w:pStyle w:val="19"/>
        <w:ind w:firstLine="640"/>
      </w:pPr>
      <w:r>
        <w:fldChar w:fldCharType="begin"/>
      </w:r>
      <w:r>
        <w:instrText xml:space="preserve"> HYPERLINK \l "_Toc228206068" </w:instrText>
      </w:r>
      <w:r>
        <w:fldChar w:fldCharType="separate"/>
      </w:r>
      <w:r>
        <w:rPr>
          <w:rStyle w:val="26"/>
          <w:rFonts w:hint="eastAsia"/>
          <w:color w:val="000000" w:themeColor="text1"/>
          <w:u w:val="none"/>
          <w14:textFill>
            <w14:solidFill>
              <w14:schemeClr w14:val="tx1"/>
            </w14:solidFill>
          </w14:textFill>
        </w:rPr>
        <w:t>第一节 “十四五”发展成就</w:t>
      </w:r>
      <w:r>
        <w:rPr>
          <w:rFonts w:hint="eastAsia"/>
        </w:rPr>
        <w:tab/>
      </w:r>
      <w:r>
        <w:rPr>
          <w:rFonts w:hint="eastAsia"/>
        </w:rPr>
        <w:fldChar w:fldCharType="begin"/>
      </w:r>
      <w:r>
        <w:rPr>
          <w:rFonts w:hint="eastAsia"/>
        </w:rPr>
        <w:instrText xml:space="preserve"> </w:instrText>
      </w:r>
      <w:r>
        <w:instrText xml:space="preserve">PAGEREF _Toc228206068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0490D91F">
      <w:pPr>
        <w:pStyle w:val="19"/>
        <w:ind w:firstLine="640"/>
      </w:pPr>
      <w:r>
        <w:fldChar w:fldCharType="begin"/>
      </w:r>
      <w:r>
        <w:instrText xml:space="preserve"> HYPERLINK \l "_Toc228206069" </w:instrText>
      </w:r>
      <w:r>
        <w:fldChar w:fldCharType="separate"/>
      </w:r>
      <w:r>
        <w:rPr>
          <w:rStyle w:val="26"/>
          <w:rFonts w:hint="eastAsia"/>
          <w:color w:val="000000" w:themeColor="text1"/>
          <w:u w:val="none"/>
          <w14:textFill>
            <w14:solidFill>
              <w14:schemeClr w14:val="tx1"/>
            </w14:solidFill>
          </w14:textFill>
        </w:rPr>
        <w:t>第二节 “十五五”面临形势</w:t>
      </w:r>
      <w:r>
        <w:rPr>
          <w:rFonts w:hint="eastAsia"/>
        </w:rPr>
        <w:tab/>
      </w:r>
      <w:r>
        <w:rPr>
          <w:rFonts w:hint="eastAsia"/>
        </w:rPr>
        <w:fldChar w:fldCharType="begin"/>
      </w:r>
      <w:r>
        <w:rPr>
          <w:rFonts w:hint="eastAsia"/>
        </w:rPr>
        <w:instrText xml:space="preserve"> </w:instrText>
      </w:r>
      <w:r>
        <w:instrText xml:space="preserve">PAGEREF _Toc228206069 \h</w:instrText>
      </w:r>
      <w:r>
        <w:rPr>
          <w:rFonts w:hint="eastAsia"/>
        </w:rPr>
        <w:instrText xml:space="preserve"> </w:instrText>
      </w:r>
      <w:r>
        <w:rPr>
          <w:rFonts w:hint="eastAsia"/>
        </w:rPr>
        <w:fldChar w:fldCharType="separate"/>
      </w:r>
      <w:r>
        <w:t>6</w:t>
      </w:r>
      <w:r>
        <w:rPr>
          <w:rFonts w:hint="eastAsia"/>
        </w:rPr>
        <w:fldChar w:fldCharType="end"/>
      </w:r>
      <w:r>
        <w:rPr>
          <w:rFonts w:hint="eastAsia"/>
        </w:rPr>
        <w:fldChar w:fldCharType="end"/>
      </w:r>
    </w:p>
    <w:p w14:paraId="43E63E26">
      <w:pPr>
        <w:pStyle w:val="16"/>
        <w:rPr>
          <w:rFonts w:asciiTheme="minorHAnsi" w:hAnsiTheme="minorHAnsi" w:eastAsiaTheme="minorEastAsia"/>
          <w:color w:val="auto"/>
          <w:sz w:val="22"/>
          <w14:ligatures w14:val="standardContextual"/>
        </w:rPr>
      </w:pPr>
      <w:r>
        <w:fldChar w:fldCharType="begin"/>
      </w:r>
      <w:r>
        <w:instrText xml:space="preserve"> HYPERLINK \l "_Toc228206070" </w:instrText>
      </w:r>
      <w:r>
        <w:fldChar w:fldCharType="separate"/>
      </w:r>
      <w:r>
        <w:rPr>
          <w:rStyle w:val="26"/>
          <w:rFonts w:hint="eastAsia"/>
        </w:rPr>
        <w:t>第二章 明确指导思想，准确把握未来总体目标</w:t>
      </w:r>
      <w:r>
        <w:rPr>
          <w:rFonts w:hint="eastAsia"/>
        </w:rPr>
        <w:tab/>
      </w:r>
      <w:r>
        <w:rPr>
          <w:rFonts w:hint="eastAsia"/>
        </w:rPr>
        <w:fldChar w:fldCharType="begin"/>
      </w:r>
      <w:r>
        <w:rPr>
          <w:rFonts w:hint="eastAsia"/>
        </w:rPr>
        <w:instrText xml:space="preserve"> </w:instrText>
      </w:r>
      <w:r>
        <w:instrText xml:space="preserve">PAGEREF _Toc228206070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72EB0102">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"_Toc228206071" </w:instrText>
      </w:r>
      <w:r>
        <w:fldChar w:fldCharType="separate"/>
      </w:r>
      <w:r>
        <w:rPr>
          <w:rStyle w:val="26"/>
          <w:rFonts w:hint="eastAsia"/>
        </w:rPr>
        <w:t>第一节 指导思想</w:t>
      </w:r>
      <w:r>
        <w:rPr>
          <w:rFonts w:hint="eastAsia"/>
        </w:rPr>
        <w:tab/>
      </w:r>
      <w:r>
        <w:rPr>
          <w:rFonts w:hint="eastAsia"/>
        </w:rPr>
        <w:fldChar w:fldCharType="begin"/>
      </w:r>
      <w:r>
        <w:rPr>
          <w:rFonts w:hint="eastAsia"/>
        </w:rPr>
        <w:instrText xml:space="preserve"> </w:instrText>
      </w:r>
      <w:r>
        <w:instrText xml:space="preserve">PAGEREF _Toc228206071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3C929553">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"_Toc228206072" </w:instrText>
      </w:r>
      <w:r>
        <w:fldChar w:fldCharType="separate"/>
      </w:r>
      <w:r>
        <w:rPr>
          <w:rStyle w:val="26"/>
          <w:rFonts w:hint="eastAsia"/>
        </w:rPr>
        <w:t>第二节 基本原则</w:t>
      </w:r>
      <w:r>
        <w:rPr>
          <w:rFonts w:hint="eastAsia"/>
        </w:rPr>
        <w:tab/>
      </w:r>
      <w:r>
        <w:rPr>
          <w:rFonts w:hint="eastAsia"/>
        </w:rPr>
        <w:fldChar w:fldCharType="begin"/>
      </w:r>
      <w:r>
        <w:rPr>
          <w:rFonts w:hint="eastAsia"/>
        </w:rPr>
        <w:instrText xml:space="preserve"> </w:instrText>
      </w:r>
      <w:r>
        <w:instrText xml:space="preserve">PAGEREF _Toc228206072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5E7764B2">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"_Toc228206073" </w:instrText>
      </w:r>
      <w:r>
        <w:fldChar w:fldCharType="separate"/>
      </w:r>
      <w:r>
        <w:rPr>
          <w:rStyle w:val="26"/>
          <w:rFonts w:hint="eastAsia"/>
        </w:rPr>
        <w:t>第三节 发展定位</w:t>
      </w:r>
      <w:r>
        <w:rPr>
          <w:rFonts w:hint="eastAsia"/>
        </w:rPr>
        <w:tab/>
      </w:r>
      <w:r>
        <w:rPr>
          <w:rFonts w:hint="eastAsia"/>
        </w:rPr>
        <w:fldChar w:fldCharType="begin"/>
      </w:r>
      <w:r>
        <w:rPr>
          <w:rFonts w:hint="eastAsia"/>
        </w:rPr>
        <w:instrText xml:space="preserve"> </w:instrText>
      </w:r>
      <w:r>
        <w:instrText xml:space="preserve">PAGEREF _Toc228206073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255EEED0">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"_Toc228206074" </w:instrText>
      </w:r>
      <w:r>
        <w:fldChar w:fldCharType="separate"/>
      </w:r>
      <w:r>
        <w:rPr>
          <w:rStyle w:val="26"/>
          <w:rFonts w:hint="eastAsia"/>
        </w:rPr>
        <w:t>第四节 发展目标</w:t>
      </w:r>
      <w:r>
        <w:rPr>
          <w:rFonts w:hint="eastAsia"/>
        </w:rPr>
        <w:tab/>
      </w:r>
      <w:r>
        <w:rPr>
          <w:rFonts w:hint="eastAsia"/>
        </w:rPr>
        <w:fldChar w:fldCharType="begin"/>
      </w:r>
      <w:r>
        <w:rPr>
          <w:rFonts w:hint="eastAsia"/>
        </w:rPr>
        <w:instrText xml:space="preserve"> </w:instrText>
      </w:r>
      <w:r>
        <w:instrText xml:space="preserve">PAGEREF _Toc228206074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45FC557D">
      <w:pPr>
        <w:pStyle w:val="16"/>
        <w:rPr>
          <w:rFonts w:asciiTheme="minorHAnsi" w:hAnsiTheme="minorHAnsi" w:eastAsiaTheme="minorEastAsia"/>
          <w:color w:val="auto"/>
          <w:sz w:val="22"/>
          <w14:ligatures w14:val="standardContextual"/>
        </w:rPr>
      </w:pPr>
      <w:r>
        <w:fldChar w:fldCharType="begin"/>
      </w:r>
      <w:r>
        <w:instrText xml:space="preserve"> HYPERLINK \l "_Toc228206075" </w:instrText>
      </w:r>
      <w:r>
        <w:fldChar w:fldCharType="separate"/>
      </w:r>
      <w:r>
        <w:rPr>
          <w:rStyle w:val="26"/>
          <w:rFonts w:hint="eastAsia"/>
        </w:rPr>
        <w:t xml:space="preserve">第三章 </w:t>
      </w:r>
      <w:r>
        <w:rPr>
          <w:rStyle w:val="26"/>
          <w:rFonts w:hint="eastAsia"/>
          <w:spacing w:val="-10"/>
          <w:w w:val="90"/>
        </w:rPr>
        <w:t>铸牢中华民族共同体意识，推进中华民族共同体建设</w:t>
      </w:r>
      <w:r>
        <w:rPr>
          <w:rFonts w:hint="eastAsia"/>
          <w:spacing w:val="-10"/>
        </w:rPr>
        <w:tab/>
      </w:r>
      <w:r>
        <w:rPr>
          <w:rFonts w:hint="eastAsia"/>
          <w:spacing w:val="-10"/>
        </w:rPr>
        <w:fldChar w:fldCharType="begin"/>
      </w:r>
      <w:r>
        <w:rPr>
          <w:rFonts w:hint="eastAsia"/>
          <w:spacing w:val="-10"/>
        </w:rPr>
        <w:instrText xml:space="preserve"> </w:instrText>
      </w:r>
      <w:r>
        <w:rPr>
          <w:spacing w:val="-10"/>
        </w:rPr>
        <w:instrText xml:space="preserve">PAGEREF _Toc228206075 \h</w:instrText>
      </w:r>
      <w:r>
        <w:rPr>
          <w:rFonts w:hint="eastAsia"/>
          <w:spacing w:val="-10"/>
        </w:rPr>
        <w:instrText xml:space="preserve"> </w:instrText>
      </w:r>
      <w:r>
        <w:rPr>
          <w:rFonts w:hint="eastAsia"/>
          <w:spacing w:val="-10"/>
        </w:rPr>
        <w:fldChar w:fldCharType="separate"/>
      </w:r>
      <w:r>
        <w:rPr>
          <w:spacing w:val="-10"/>
        </w:rPr>
        <w:t>15</w:t>
      </w:r>
      <w:r>
        <w:rPr>
          <w:rFonts w:hint="eastAsia"/>
          <w:spacing w:val="-10"/>
        </w:rPr>
        <w:fldChar w:fldCharType="end"/>
      </w:r>
      <w:r>
        <w:rPr>
          <w:rFonts w:hint="eastAsia"/>
          <w:spacing w:val="-10"/>
        </w:rPr>
        <w:fldChar w:fldCharType="end"/>
      </w:r>
    </w:p>
    <w:p w14:paraId="7C687186">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"_Toc228206076" </w:instrText>
      </w:r>
      <w:r>
        <w:fldChar w:fldCharType="separate"/>
      </w:r>
      <w:r>
        <w:rPr>
          <w:rStyle w:val="26"/>
          <w:rFonts w:hint="eastAsia"/>
        </w:rPr>
        <w:t>第一节 健全完善贯彻主线要求制度机制</w:t>
      </w:r>
      <w:r>
        <w:rPr>
          <w:rFonts w:hint="eastAsia"/>
        </w:rPr>
        <w:tab/>
      </w:r>
      <w:r>
        <w:rPr>
          <w:rFonts w:hint="eastAsia"/>
        </w:rPr>
        <w:fldChar w:fldCharType="begin"/>
      </w:r>
      <w:r>
        <w:rPr>
          <w:rFonts w:hint="eastAsia"/>
        </w:rPr>
        <w:instrText xml:space="preserve"> </w:instrText>
      </w:r>
      <w:r>
        <w:instrText xml:space="preserve">PAGEREF _Toc228206076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4DD82F12">
      <w:pPr>
        <w:pStyle w:val="19"/>
        <w:ind w:left="640" w:leftChars="200" w:firstLine="0" w:firstLineChars="0"/>
        <w:rPr>
          <w:rFonts w:asciiTheme="minorHAnsi" w:hAnsiTheme="minorHAnsi" w:eastAsiaTheme="minorEastAsia"/>
          <w:color w:val="auto"/>
          <w:sz w:val="22"/>
          <w14:ligatures w14:val="standardContextual"/>
        </w:rPr>
      </w:pPr>
      <w:r>
        <w:fldChar w:fldCharType="begin"/>
      </w:r>
      <w:r>
        <w:instrText xml:space="preserve"> HYPERLINK \l "_Toc228206077" </w:instrText>
      </w:r>
      <w:r>
        <w:fldChar w:fldCharType="separate"/>
      </w:r>
      <w:r>
        <w:rPr>
          <w:rStyle w:val="26"/>
          <w:rFonts w:hint="eastAsia"/>
          <w:spacing w:val="-10"/>
        </w:rPr>
        <w:t xml:space="preserve">第二节 </w:t>
      </w:r>
      <w:r>
        <w:rPr>
          <w:rStyle w:val="26"/>
          <w:rFonts w:hint="eastAsia"/>
          <w:spacing w:val="-10"/>
          <w:w w:val="90"/>
        </w:rPr>
        <w:t>加强铸牢中华民族共同体意识理论研究和宣传教育</w:t>
      </w:r>
      <w:r>
        <w:rPr>
          <w:rFonts w:hint="eastAsia"/>
        </w:rPr>
        <w:tab/>
      </w:r>
      <w:r>
        <w:rPr>
          <w:rFonts w:hint="eastAsia"/>
        </w:rPr>
        <w:fldChar w:fldCharType="begin"/>
      </w:r>
      <w:r>
        <w:rPr>
          <w:rFonts w:hint="eastAsia"/>
        </w:rPr>
        <w:instrText xml:space="preserve"> </w:instrText>
      </w:r>
      <w:r>
        <w:instrText xml:space="preserve">PAGEREF _Toc228206077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79929615">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"_Toc228206078" </w:instrText>
      </w:r>
      <w:r>
        <w:fldChar w:fldCharType="separate"/>
      </w:r>
      <w:r>
        <w:rPr>
          <w:rStyle w:val="26"/>
          <w:rFonts w:hint="eastAsia"/>
        </w:rPr>
        <w:t>第三节 深入持久开展民族团结进步创建</w:t>
      </w:r>
      <w:r>
        <w:rPr>
          <w:rFonts w:hint="eastAsia"/>
        </w:rPr>
        <w:tab/>
      </w:r>
      <w:r>
        <w:rPr>
          <w:rFonts w:hint="eastAsia"/>
        </w:rPr>
        <w:fldChar w:fldCharType="begin"/>
      </w:r>
      <w:r>
        <w:rPr>
          <w:rFonts w:hint="eastAsia"/>
        </w:rPr>
        <w:instrText xml:space="preserve"> </w:instrText>
      </w:r>
      <w:r>
        <w:instrText xml:space="preserve">PAGEREF _Toc228206078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14:paraId="0794ADF3">
      <w:pPr>
        <w:pStyle w:val="19"/>
        <w:ind w:left="640" w:leftChars="200" w:firstLine="0" w:firstLineChars="0"/>
        <w:rPr>
          <w:rFonts w:asciiTheme="minorHAnsi" w:hAnsiTheme="minorHAnsi" w:eastAsiaTheme="minorEastAsia"/>
          <w:color w:val="auto"/>
          <w:sz w:val="22"/>
          <w14:ligatures w14:val="standardContextual"/>
        </w:rPr>
      </w:pPr>
      <w:r>
        <w:fldChar w:fldCharType="begin"/>
      </w:r>
      <w:r>
        <w:instrText xml:space="preserve"> HYPERLINK \l "_Toc228206079" </w:instrText>
      </w:r>
      <w:r>
        <w:fldChar w:fldCharType="separate"/>
      </w:r>
      <w:r>
        <w:rPr>
          <w:rStyle w:val="26"/>
          <w:rFonts w:hint="eastAsia"/>
        </w:rPr>
        <w:t xml:space="preserve">第四节 </w:t>
      </w:r>
      <w:r>
        <w:rPr>
          <w:rStyle w:val="26"/>
          <w:rFonts w:hint="eastAsia"/>
          <w:w w:val="90"/>
        </w:rPr>
        <w:t>深入实施促进各民族交往交流交融“三项计划”</w:t>
      </w:r>
      <w:r>
        <w:rPr>
          <w:rFonts w:hint="eastAsia"/>
        </w:rPr>
        <w:tab/>
      </w:r>
      <w:r>
        <w:rPr>
          <w:rFonts w:hint="eastAsia"/>
        </w:rPr>
        <w:fldChar w:fldCharType="begin"/>
      </w:r>
      <w:r>
        <w:rPr>
          <w:rFonts w:hint="eastAsia"/>
        </w:rPr>
        <w:instrText xml:space="preserve"> </w:instrText>
      </w:r>
      <w:r>
        <w:instrText xml:space="preserve">PAGEREF _Toc228206079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6DE202BD">
      <w:pPr>
        <w:pStyle w:val="16"/>
        <w:rPr>
          <w:rFonts w:asciiTheme="minorHAnsi" w:hAnsiTheme="minorHAnsi" w:eastAsiaTheme="minorEastAsia"/>
          <w:color w:val="auto"/>
          <w:sz w:val="22"/>
          <w14:ligatures w14:val="standardContextual"/>
        </w:rPr>
      </w:pPr>
      <w:r>
        <w:fldChar w:fldCharType="begin"/>
      </w:r>
      <w:r>
        <w:instrText xml:space="preserve"> HYPERLINK \l "_Toc228206080" </w:instrText>
      </w:r>
      <w:r>
        <w:fldChar w:fldCharType="separate"/>
      </w:r>
      <w:r>
        <w:rPr>
          <w:rStyle w:val="26"/>
          <w:rFonts w:hint="eastAsia"/>
        </w:rPr>
        <w:t>第四章 筑牢生态屏障，绘就绿色发展壮美画卷</w:t>
      </w:r>
      <w:r>
        <w:rPr>
          <w:rFonts w:hint="eastAsia"/>
        </w:rPr>
        <w:tab/>
      </w:r>
      <w:r>
        <w:rPr>
          <w:rFonts w:hint="eastAsia"/>
        </w:rPr>
        <w:fldChar w:fldCharType="begin"/>
      </w:r>
      <w:r>
        <w:rPr>
          <w:rFonts w:hint="eastAsia"/>
        </w:rPr>
        <w:instrText xml:space="preserve"> </w:instrText>
      </w:r>
      <w:r>
        <w:instrText xml:space="preserve">PAGEREF _Toc228206080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12900719">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"_Toc228206081" </w:instrText>
      </w:r>
      <w:r>
        <w:fldChar w:fldCharType="separate"/>
      </w:r>
      <w:r>
        <w:rPr>
          <w:rStyle w:val="26"/>
          <w:rFonts w:hint="eastAsia"/>
        </w:rPr>
        <w:t>第一节 提升生态系统稳定性持续性</w:t>
      </w:r>
      <w:r>
        <w:rPr>
          <w:rFonts w:hint="eastAsia"/>
        </w:rPr>
        <w:tab/>
      </w:r>
      <w:r>
        <w:rPr>
          <w:rFonts w:hint="eastAsia"/>
        </w:rPr>
        <w:fldChar w:fldCharType="begin"/>
      </w:r>
      <w:r>
        <w:rPr>
          <w:rFonts w:hint="eastAsia"/>
        </w:rPr>
        <w:instrText xml:space="preserve"> </w:instrText>
      </w:r>
      <w:r>
        <w:instrText xml:space="preserve">PAGEREF _Toc228206081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3A6CF611">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"_Toc228206082" </w:instrText>
      </w:r>
      <w:r>
        <w:fldChar w:fldCharType="separate"/>
      </w:r>
      <w:r>
        <w:rPr>
          <w:rStyle w:val="26"/>
          <w:rFonts w:hint="eastAsia"/>
        </w:rPr>
        <w:t>第二节 深入打好污染防治攻坚战</w:t>
      </w:r>
      <w:r>
        <w:rPr>
          <w:rFonts w:hint="eastAsia"/>
        </w:rPr>
        <w:tab/>
      </w:r>
      <w:r>
        <w:rPr>
          <w:rFonts w:hint="eastAsia"/>
        </w:rPr>
        <w:fldChar w:fldCharType="begin"/>
      </w:r>
      <w:r>
        <w:rPr>
          <w:rFonts w:hint="eastAsia"/>
        </w:rPr>
        <w:instrText xml:space="preserve"> </w:instrText>
      </w:r>
      <w:r>
        <w:instrText xml:space="preserve">PAGEREF _Toc228206082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0128B58F">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"_Toc228206083" </w:instrText>
      </w:r>
      <w:r>
        <w:fldChar w:fldCharType="separate"/>
      </w:r>
      <w:r>
        <w:rPr>
          <w:rStyle w:val="26"/>
          <w:rFonts w:hint="eastAsia"/>
        </w:rPr>
        <w:t>第三节 积极稳妥推进碳达峰碳中和</w:t>
      </w:r>
      <w:r>
        <w:rPr>
          <w:rFonts w:hint="eastAsia"/>
        </w:rPr>
        <w:tab/>
      </w:r>
      <w:r>
        <w:rPr>
          <w:rFonts w:hint="eastAsia"/>
        </w:rPr>
        <w:fldChar w:fldCharType="begin"/>
      </w:r>
      <w:r>
        <w:rPr>
          <w:rFonts w:hint="eastAsia"/>
        </w:rPr>
        <w:instrText xml:space="preserve"> </w:instrText>
      </w:r>
      <w:r>
        <w:instrText xml:space="preserve">PAGEREF _Toc228206083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14:paraId="11C9D817">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"_Toc228206084" </w:instrText>
      </w:r>
      <w:r>
        <w:fldChar w:fldCharType="separate"/>
      </w:r>
      <w:r>
        <w:rPr>
          <w:rStyle w:val="26"/>
          <w:rFonts w:hint="eastAsia"/>
        </w:rPr>
        <w:t>第四节 全面加强资源节约集约利用</w:t>
      </w:r>
      <w:r>
        <w:rPr>
          <w:rFonts w:hint="eastAsia"/>
        </w:rPr>
        <w:tab/>
      </w:r>
      <w:r>
        <w:rPr>
          <w:rFonts w:hint="eastAsia"/>
        </w:rPr>
        <w:fldChar w:fldCharType="begin"/>
      </w:r>
      <w:r>
        <w:rPr>
          <w:rFonts w:hint="eastAsia"/>
        </w:rPr>
        <w:instrText xml:space="preserve"> </w:instrText>
      </w:r>
      <w:r>
        <w:instrText xml:space="preserve">PAGEREF _Toc228206084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0773931F">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"_Toc228206085" </w:instrText>
      </w:r>
      <w:r>
        <w:fldChar w:fldCharType="separate"/>
      </w:r>
      <w:r>
        <w:rPr>
          <w:rStyle w:val="26"/>
          <w:rFonts w:hint="eastAsia"/>
        </w:rPr>
        <w:t>第五节 健全生态产品价值实现机制</w:t>
      </w:r>
      <w:r>
        <w:rPr>
          <w:rFonts w:hint="eastAsia"/>
        </w:rPr>
        <w:tab/>
      </w:r>
      <w:r>
        <w:rPr>
          <w:rFonts w:hint="eastAsia"/>
        </w:rPr>
        <w:fldChar w:fldCharType="begin"/>
      </w:r>
      <w:r>
        <w:rPr>
          <w:rFonts w:hint="eastAsia"/>
        </w:rPr>
        <w:instrText xml:space="preserve"> </w:instrText>
      </w:r>
      <w:r>
        <w:instrText xml:space="preserve">PAGEREF _Toc228206085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14:paraId="77DFC40B">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"_Toc228206086" </w:instrText>
      </w:r>
      <w:r>
        <w:fldChar w:fldCharType="separate"/>
      </w:r>
      <w:r>
        <w:rPr>
          <w:rStyle w:val="26"/>
          <w:rFonts w:hint="eastAsia"/>
        </w:rPr>
        <w:t>第六节 完善北方生态安全屏障体系</w:t>
      </w:r>
      <w:r>
        <w:rPr>
          <w:rFonts w:hint="eastAsia"/>
        </w:rPr>
        <w:tab/>
      </w:r>
      <w:r>
        <w:rPr>
          <w:rFonts w:hint="eastAsia"/>
        </w:rPr>
        <w:fldChar w:fldCharType="begin"/>
      </w:r>
      <w:r>
        <w:rPr>
          <w:rFonts w:hint="eastAsia"/>
        </w:rPr>
        <w:instrText xml:space="preserve"> </w:instrText>
      </w:r>
      <w:r>
        <w:instrText xml:space="preserve">PAGEREF _Toc228206086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14:paraId="5E70CFE5">
      <w:pPr>
        <w:pStyle w:val="16"/>
        <w:rPr>
          <w:rFonts w:asciiTheme="minorHAnsi" w:hAnsiTheme="minorHAnsi" w:eastAsiaTheme="minorEastAsia"/>
          <w:color w:val="auto"/>
          <w:sz w:val="22"/>
          <w14:ligatures w14:val="standardContextual"/>
        </w:rPr>
      </w:pPr>
      <w:r>
        <w:fldChar w:fldCharType="begin"/>
      </w:r>
      <w:r>
        <w:instrText xml:space="preserve"> HYPERLINK \l "_Toc228206087" </w:instrText>
      </w:r>
      <w:r>
        <w:fldChar w:fldCharType="separate"/>
      </w:r>
      <w:r>
        <w:rPr>
          <w:rStyle w:val="26"/>
          <w:rFonts w:hint="eastAsia"/>
        </w:rPr>
        <w:t>第五章 维护安全稳定，夯实和谐发展坚实根基</w:t>
      </w:r>
      <w:r>
        <w:rPr>
          <w:rFonts w:hint="eastAsia"/>
        </w:rPr>
        <w:tab/>
      </w:r>
      <w:r>
        <w:rPr>
          <w:rFonts w:hint="eastAsia"/>
        </w:rPr>
        <w:fldChar w:fldCharType="begin"/>
      </w:r>
      <w:r>
        <w:rPr>
          <w:rFonts w:hint="eastAsia"/>
        </w:rPr>
        <w:instrText xml:space="preserve"> </w:instrText>
      </w:r>
      <w:r>
        <w:instrText xml:space="preserve">PAGEREF _Toc228206087 \h</w:instrText>
      </w:r>
      <w:r>
        <w:rPr>
          <w:rFonts w:hint="eastAsia"/>
        </w:rPr>
        <w:instrText xml:space="preserve"> </w:instrText>
      </w:r>
      <w:r>
        <w:rPr>
          <w:rFonts w:hint="eastAsia"/>
        </w:rPr>
        <w:fldChar w:fldCharType="separate"/>
      </w:r>
      <w:r>
        <w:t>28</w:t>
      </w:r>
      <w:r>
        <w:rPr>
          <w:rFonts w:hint="eastAsia"/>
        </w:rPr>
        <w:fldChar w:fldCharType="end"/>
      </w:r>
      <w:r>
        <w:rPr>
          <w:rFonts w:hint="eastAsia"/>
        </w:rPr>
        <w:fldChar w:fldCharType="end"/>
      </w:r>
    </w:p>
    <w:p w14:paraId="28E46A05">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"_Toc228206088" </w:instrText>
      </w:r>
      <w:r>
        <w:fldChar w:fldCharType="separate"/>
      </w:r>
      <w:r>
        <w:rPr>
          <w:rStyle w:val="26"/>
          <w:rFonts w:hint="eastAsia"/>
        </w:rPr>
        <w:t>第一节 坚决维护国家政治安全</w:t>
      </w:r>
      <w:r>
        <w:rPr>
          <w:rFonts w:hint="eastAsia"/>
        </w:rPr>
        <w:tab/>
      </w:r>
      <w:r>
        <w:rPr>
          <w:rFonts w:hint="eastAsia"/>
        </w:rPr>
        <w:fldChar w:fldCharType="begin"/>
      </w:r>
      <w:r>
        <w:rPr>
          <w:rFonts w:hint="eastAsia"/>
        </w:rPr>
        <w:instrText xml:space="preserve"> </w:instrText>
      </w:r>
      <w:r>
        <w:instrText xml:space="preserve">PAGEREF _Toc228206088 \h</w:instrText>
      </w:r>
      <w:r>
        <w:rPr>
          <w:rFonts w:hint="eastAsia"/>
        </w:rPr>
        <w:instrText xml:space="preserve"> </w:instrText>
      </w:r>
      <w:r>
        <w:rPr>
          <w:rFonts w:hint="eastAsia"/>
        </w:rPr>
        <w:fldChar w:fldCharType="separate"/>
      </w:r>
      <w:r>
        <w:t>28</w:t>
      </w:r>
      <w:r>
        <w:rPr>
          <w:rFonts w:hint="eastAsia"/>
        </w:rPr>
        <w:fldChar w:fldCharType="end"/>
      </w:r>
      <w:r>
        <w:rPr>
          <w:rFonts w:hint="eastAsia"/>
        </w:rPr>
        <w:fldChar w:fldCharType="end"/>
      </w:r>
    </w:p>
    <w:p w14:paraId="5DC415E2">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"_Toc228206089" </w:instrText>
      </w:r>
      <w:r>
        <w:fldChar w:fldCharType="separate"/>
      </w:r>
      <w:r>
        <w:rPr>
          <w:rStyle w:val="26"/>
          <w:rFonts w:hint="eastAsia"/>
        </w:rPr>
        <w:t>第二节 强化经济安全保障能力</w:t>
      </w:r>
      <w:r>
        <w:rPr>
          <w:rFonts w:hint="eastAsia"/>
        </w:rPr>
        <w:tab/>
      </w:r>
      <w:r>
        <w:rPr>
          <w:rFonts w:hint="eastAsia"/>
        </w:rPr>
        <w:fldChar w:fldCharType="begin"/>
      </w:r>
      <w:r>
        <w:rPr>
          <w:rFonts w:hint="eastAsia"/>
        </w:rPr>
        <w:instrText xml:space="preserve"> </w:instrText>
      </w:r>
      <w:r>
        <w:instrText xml:space="preserve">PAGEREF _Toc228206089 \h</w:instrText>
      </w:r>
      <w:r>
        <w:rPr>
          <w:rFonts w:hint="eastAsia"/>
        </w:rPr>
        <w:instrText xml:space="preserve"> </w:instrText>
      </w:r>
      <w:r>
        <w:rPr>
          <w:rFonts w:hint="eastAsia"/>
        </w:rPr>
        <w:fldChar w:fldCharType="separate"/>
      </w:r>
      <w:r>
        <w:t>29</w:t>
      </w:r>
      <w:r>
        <w:rPr>
          <w:rFonts w:hint="eastAsia"/>
        </w:rPr>
        <w:fldChar w:fldCharType="end"/>
      </w:r>
      <w:r>
        <w:rPr>
          <w:rFonts w:hint="eastAsia"/>
        </w:rPr>
        <w:fldChar w:fldCharType="end"/>
      </w:r>
    </w:p>
    <w:p w14:paraId="468877A9">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"_Toc228206090" </w:instrText>
      </w:r>
      <w:r>
        <w:fldChar w:fldCharType="separate"/>
      </w:r>
      <w:r>
        <w:rPr>
          <w:rStyle w:val="26"/>
          <w:rFonts w:hint="eastAsia"/>
        </w:rPr>
        <w:t>第三节 提高公共安全治理水平</w:t>
      </w:r>
      <w:r>
        <w:rPr>
          <w:rFonts w:hint="eastAsia"/>
        </w:rPr>
        <w:tab/>
      </w:r>
      <w:r>
        <w:rPr>
          <w:rFonts w:hint="eastAsia"/>
        </w:rPr>
        <w:fldChar w:fldCharType="begin"/>
      </w:r>
      <w:r>
        <w:rPr>
          <w:rFonts w:hint="eastAsia"/>
        </w:rPr>
        <w:instrText xml:space="preserve"> </w:instrText>
      </w:r>
      <w:r>
        <w:instrText xml:space="preserve">PAGEREF _Toc228206090 \h</w:instrText>
      </w:r>
      <w:r>
        <w:rPr>
          <w:rFonts w:hint="eastAsia"/>
        </w:rPr>
        <w:instrText xml:space="preserve"> </w:instrText>
      </w:r>
      <w:r>
        <w:rPr>
          <w:rFonts w:hint="eastAsia"/>
        </w:rPr>
        <w:fldChar w:fldCharType="separate"/>
      </w:r>
      <w:r>
        <w:t>30</w:t>
      </w:r>
      <w:r>
        <w:rPr>
          <w:rFonts w:hint="eastAsia"/>
        </w:rPr>
        <w:fldChar w:fldCharType="end"/>
      </w:r>
      <w:r>
        <w:rPr>
          <w:rFonts w:hint="eastAsia"/>
        </w:rPr>
        <w:fldChar w:fldCharType="end"/>
      </w:r>
    </w:p>
    <w:p w14:paraId="7C637232">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"_Toc228206091" </w:instrText>
      </w:r>
      <w:r>
        <w:fldChar w:fldCharType="separate"/>
      </w:r>
      <w:r>
        <w:rPr>
          <w:rStyle w:val="26"/>
          <w:rFonts w:hint="eastAsia"/>
        </w:rPr>
        <w:t>第四节 健全完善社会治理体系</w:t>
      </w:r>
      <w:r>
        <w:rPr>
          <w:rFonts w:hint="eastAsia"/>
        </w:rPr>
        <w:tab/>
      </w:r>
      <w:r>
        <w:rPr>
          <w:rFonts w:hint="eastAsia"/>
        </w:rPr>
        <w:fldChar w:fldCharType="begin"/>
      </w:r>
      <w:r>
        <w:rPr>
          <w:rFonts w:hint="eastAsia"/>
        </w:rPr>
        <w:instrText xml:space="preserve"> </w:instrText>
      </w:r>
      <w:r>
        <w:instrText xml:space="preserve">PAGEREF _Toc228206091 \h</w:instrText>
      </w:r>
      <w:r>
        <w:rPr>
          <w:rFonts w:hint="eastAsia"/>
        </w:rPr>
        <w:instrText xml:space="preserve"> </w:instrText>
      </w:r>
      <w:r>
        <w:rPr>
          <w:rFonts w:hint="eastAsia"/>
        </w:rPr>
        <w:fldChar w:fldCharType="separate"/>
      </w:r>
      <w:r>
        <w:t>32</w:t>
      </w:r>
      <w:r>
        <w:rPr>
          <w:rFonts w:hint="eastAsia"/>
        </w:rPr>
        <w:fldChar w:fldCharType="end"/>
      </w:r>
      <w:r>
        <w:rPr>
          <w:rFonts w:hint="eastAsia"/>
        </w:rPr>
        <w:fldChar w:fldCharType="end"/>
      </w:r>
    </w:p>
    <w:p w14:paraId="0E20E646">
      <w:pPr>
        <w:pStyle w:val="16"/>
        <w:rPr>
          <w:rFonts w:asciiTheme="minorHAnsi" w:hAnsiTheme="minorHAnsi" w:eastAsiaTheme="minorEastAsia"/>
          <w:color w:val="auto"/>
          <w:sz w:val="22"/>
          <w14:ligatures w14:val="standardContextual"/>
        </w:rPr>
      </w:pPr>
      <w:r>
        <w:fldChar w:fldCharType="begin"/>
      </w:r>
      <w:r>
        <w:instrText xml:space="preserve"> HYPERLINK \l "_Toc228206092" </w:instrText>
      </w:r>
      <w:r>
        <w:fldChar w:fldCharType="separate"/>
      </w:r>
      <w:r>
        <w:rPr>
          <w:rStyle w:val="26"/>
          <w:rFonts w:hint="eastAsia"/>
        </w:rPr>
        <w:t>第六章 发展能源经济，增强绿色发展强劲动能</w:t>
      </w:r>
      <w:r>
        <w:rPr>
          <w:rFonts w:hint="eastAsia"/>
        </w:rPr>
        <w:tab/>
      </w:r>
      <w:r>
        <w:rPr>
          <w:rFonts w:hint="eastAsia"/>
        </w:rPr>
        <w:fldChar w:fldCharType="begin"/>
      </w:r>
      <w:r>
        <w:rPr>
          <w:rFonts w:hint="eastAsia"/>
        </w:rPr>
        <w:instrText xml:space="preserve"> </w:instrText>
      </w:r>
      <w:r>
        <w:instrText xml:space="preserve">PAGEREF _Toc228206092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1F2EB385">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"_Toc228206093" </w:instrText>
      </w:r>
      <w:r>
        <w:fldChar w:fldCharType="separate"/>
      </w:r>
      <w:r>
        <w:rPr>
          <w:rStyle w:val="26"/>
          <w:rFonts w:hint="eastAsia"/>
        </w:rPr>
        <w:t>第一节 夯实传统能源保障基础</w:t>
      </w:r>
      <w:r>
        <w:rPr>
          <w:rFonts w:hint="eastAsia"/>
        </w:rPr>
        <w:tab/>
      </w:r>
      <w:r>
        <w:rPr>
          <w:rFonts w:hint="eastAsia"/>
        </w:rPr>
        <w:fldChar w:fldCharType="begin"/>
      </w:r>
      <w:r>
        <w:rPr>
          <w:rFonts w:hint="eastAsia"/>
        </w:rPr>
        <w:instrText xml:space="preserve"> </w:instrText>
      </w:r>
      <w:r>
        <w:instrText xml:space="preserve">PAGEREF _Toc228206093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5DA9AF9C">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"_Toc228206094" </w:instrText>
      </w:r>
      <w:r>
        <w:fldChar w:fldCharType="separate"/>
      </w:r>
      <w:r>
        <w:rPr>
          <w:rStyle w:val="26"/>
          <w:rFonts w:hint="eastAsia"/>
        </w:rPr>
        <w:t>第二节 推进清洁能源开发利用</w:t>
      </w:r>
      <w:r>
        <w:rPr>
          <w:rFonts w:hint="eastAsia"/>
        </w:rPr>
        <w:tab/>
      </w:r>
      <w:r>
        <w:rPr>
          <w:rFonts w:hint="eastAsia"/>
        </w:rPr>
        <w:fldChar w:fldCharType="begin"/>
      </w:r>
      <w:r>
        <w:rPr>
          <w:rFonts w:hint="eastAsia"/>
        </w:rPr>
        <w:instrText xml:space="preserve"> </w:instrText>
      </w:r>
      <w:r>
        <w:instrText xml:space="preserve">PAGEREF _Toc228206094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14:paraId="51C2D9A6">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"_Toc228206095" </w:instrText>
      </w:r>
      <w:r>
        <w:fldChar w:fldCharType="separate"/>
      </w:r>
      <w:r>
        <w:rPr>
          <w:rStyle w:val="26"/>
          <w:rFonts w:hint="eastAsia"/>
        </w:rPr>
        <w:t>第三节 拓展新能源应用场景</w:t>
      </w:r>
      <w:r>
        <w:rPr>
          <w:rFonts w:hint="eastAsia"/>
        </w:rPr>
        <w:tab/>
      </w:r>
      <w:r>
        <w:rPr>
          <w:rFonts w:hint="eastAsia"/>
        </w:rPr>
        <w:fldChar w:fldCharType="begin"/>
      </w:r>
      <w:r>
        <w:rPr>
          <w:rFonts w:hint="eastAsia"/>
        </w:rPr>
        <w:instrText xml:space="preserve"> </w:instrText>
      </w:r>
      <w:r>
        <w:instrText xml:space="preserve">PAGEREF _Toc228206095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14:paraId="3B249750">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"_Toc228206096" </w:instrText>
      </w:r>
      <w:r>
        <w:fldChar w:fldCharType="separate"/>
      </w:r>
      <w:r>
        <w:rPr>
          <w:rStyle w:val="26"/>
          <w:rFonts w:hint="eastAsia"/>
        </w:rPr>
        <w:t>第四节 培育新能源装备制造产业</w:t>
      </w:r>
      <w:r>
        <w:rPr>
          <w:rFonts w:hint="eastAsia"/>
        </w:rPr>
        <w:tab/>
      </w:r>
      <w:r>
        <w:rPr>
          <w:rFonts w:hint="eastAsia"/>
        </w:rPr>
        <w:fldChar w:fldCharType="begin"/>
      </w:r>
      <w:r>
        <w:rPr>
          <w:rFonts w:hint="eastAsia"/>
        </w:rPr>
        <w:instrText xml:space="preserve"> </w:instrText>
      </w:r>
      <w:r>
        <w:instrText xml:space="preserve">PAGEREF _Toc228206096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05CDA205">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"_Toc228206097" </w:instrText>
      </w:r>
      <w:r>
        <w:fldChar w:fldCharType="separate"/>
      </w:r>
      <w:r>
        <w:rPr>
          <w:rStyle w:val="26"/>
          <w:rFonts w:hint="eastAsia"/>
        </w:rPr>
        <w:t>第五节 构筑现代新型电力系统</w:t>
      </w:r>
      <w:r>
        <w:rPr>
          <w:rFonts w:hint="eastAsia"/>
        </w:rPr>
        <w:tab/>
      </w:r>
      <w:r>
        <w:rPr>
          <w:rFonts w:hint="eastAsia"/>
        </w:rPr>
        <w:fldChar w:fldCharType="begin"/>
      </w:r>
      <w:r>
        <w:rPr>
          <w:rFonts w:hint="eastAsia"/>
        </w:rPr>
        <w:instrText xml:space="preserve"> </w:instrText>
      </w:r>
      <w:r>
        <w:instrText xml:space="preserve">PAGEREF _Toc228206097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3CCD5802">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"_Toc228206098" </w:instrText>
      </w:r>
      <w:r>
        <w:fldChar w:fldCharType="separate"/>
      </w:r>
      <w:r>
        <w:rPr>
          <w:rStyle w:val="26"/>
          <w:rFonts w:hint="eastAsia"/>
        </w:rPr>
        <w:t>第六节 加强矿产资源保护开发</w:t>
      </w:r>
      <w:r>
        <w:rPr>
          <w:rFonts w:hint="eastAsia"/>
        </w:rPr>
        <w:tab/>
      </w:r>
      <w:r>
        <w:rPr>
          <w:rFonts w:hint="eastAsia"/>
        </w:rPr>
        <w:fldChar w:fldCharType="begin"/>
      </w:r>
      <w:r>
        <w:rPr>
          <w:rFonts w:hint="eastAsia"/>
        </w:rPr>
        <w:instrText xml:space="preserve"> </w:instrText>
      </w:r>
      <w:r>
        <w:instrText xml:space="preserve">PAGEREF _Toc228206098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14:paraId="2CB6156D">
      <w:pPr>
        <w:pStyle w:val="16"/>
        <w:rPr>
          <w:rFonts w:asciiTheme="minorHAnsi" w:hAnsiTheme="minorHAnsi" w:eastAsiaTheme="minorEastAsia"/>
          <w:color w:val="auto"/>
          <w:sz w:val="22"/>
          <w14:ligatures w14:val="standardContextual"/>
        </w:rPr>
      </w:pPr>
      <w:r>
        <w:fldChar w:fldCharType="begin"/>
      </w:r>
      <w:r>
        <w:instrText xml:space="preserve"> HYPERLINK \l "_Toc228206099" </w:instrText>
      </w:r>
      <w:r>
        <w:fldChar w:fldCharType="separate"/>
      </w:r>
      <w:r>
        <w:rPr>
          <w:rStyle w:val="26"/>
          <w:rFonts w:hint="eastAsia"/>
        </w:rPr>
        <w:t>第七章 聚焦“三农”发展，全面谱写乡村振兴篇章</w:t>
      </w:r>
      <w:r>
        <w:rPr>
          <w:rFonts w:hint="eastAsia"/>
        </w:rPr>
        <w:tab/>
      </w:r>
      <w:r>
        <w:rPr>
          <w:rFonts w:hint="eastAsia"/>
        </w:rPr>
        <w:fldChar w:fldCharType="begin"/>
      </w:r>
      <w:r>
        <w:rPr>
          <w:rFonts w:hint="eastAsia"/>
        </w:rPr>
        <w:instrText xml:space="preserve"> </w:instrText>
      </w:r>
      <w:r>
        <w:instrText xml:space="preserve">PAGEREF _Toc228206099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6060C220">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"_Toc228206100" </w:instrText>
      </w:r>
      <w:r>
        <w:fldChar w:fldCharType="separate"/>
      </w:r>
      <w:r>
        <w:rPr>
          <w:rStyle w:val="26"/>
          <w:rFonts w:hint="eastAsia"/>
        </w:rPr>
        <w:t>第一节 提升农牧业综合生产能力和质量效益</w:t>
      </w:r>
      <w:r>
        <w:rPr>
          <w:rFonts w:hint="eastAsia"/>
        </w:rPr>
        <w:tab/>
      </w:r>
      <w:r>
        <w:rPr>
          <w:rFonts w:hint="eastAsia"/>
        </w:rPr>
        <w:fldChar w:fldCharType="begin"/>
      </w:r>
      <w:r>
        <w:rPr>
          <w:rFonts w:hint="eastAsia"/>
        </w:rPr>
        <w:instrText xml:space="preserve"> </w:instrText>
      </w:r>
      <w:r>
        <w:instrText xml:space="preserve">PAGEREF _Toc228206100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7B04230F">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"_Toc228206101" </w:instrText>
      </w:r>
      <w:r>
        <w:fldChar w:fldCharType="separate"/>
      </w:r>
      <w:r>
        <w:rPr>
          <w:rStyle w:val="26"/>
          <w:rFonts w:hint="eastAsia"/>
        </w:rPr>
        <w:t>第二节 打响农畜产品精深加工品牌</w:t>
      </w:r>
      <w:r>
        <w:rPr>
          <w:rFonts w:hint="eastAsia"/>
        </w:rPr>
        <w:tab/>
      </w:r>
      <w:r>
        <w:rPr>
          <w:rFonts w:hint="eastAsia"/>
        </w:rPr>
        <w:fldChar w:fldCharType="begin"/>
      </w:r>
      <w:r>
        <w:rPr>
          <w:rFonts w:hint="eastAsia"/>
        </w:rPr>
        <w:instrText xml:space="preserve"> </w:instrText>
      </w:r>
      <w:r>
        <w:instrText xml:space="preserve">PAGEREF _Toc228206101 \h</w:instrText>
      </w:r>
      <w:r>
        <w:rPr>
          <w:rFonts w:hint="eastAsia"/>
        </w:rPr>
        <w:instrText xml:space="preserve"> </w:instrText>
      </w:r>
      <w:r>
        <w:rPr>
          <w:rFonts w:hint="eastAsia"/>
        </w:rPr>
        <w:fldChar w:fldCharType="separate"/>
      </w:r>
      <w:r>
        <w:t>43</w:t>
      </w:r>
      <w:r>
        <w:rPr>
          <w:rFonts w:hint="eastAsia"/>
        </w:rPr>
        <w:fldChar w:fldCharType="end"/>
      </w:r>
      <w:r>
        <w:rPr>
          <w:rFonts w:hint="eastAsia"/>
        </w:rPr>
        <w:fldChar w:fldCharType="end"/>
      </w:r>
    </w:p>
    <w:p w14:paraId="68C1E3B1">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"_Toc228206102" </w:instrText>
      </w:r>
      <w:r>
        <w:fldChar w:fldCharType="separate"/>
      </w:r>
      <w:r>
        <w:rPr>
          <w:rStyle w:val="26"/>
          <w:rFonts w:hint="eastAsia"/>
        </w:rPr>
        <w:t>第三节 有力有序推进乡村全面振兴</w:t>
      </w:r>
      <w:r>
        <w:rPr>
          <w:rFonts w:hint="eastAsia"/>
        </w:rPr>
        <w:tab/>
      </w:r>
      <w:r>
        <w:rPr>
          <w:rFonts w:hint="eastAsia"/>
        </w:rPr>
        <w:fldChar w:fldCharType="begin"/>
      </w:r>
      <w:r>
        <w:rPr>
          <w:rFonts w:hint="eastAsia"/>
        </w:rPr>
        <w:instrText xml:space="preserve"> </w:instrText>
      </w:r>
      <w:r>
        <w:instrText xml:space="preserve">PAGEREF _Toc228206102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7148F735">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"_Toc228206103" </w:instrText>
      </w:r>
      <w:r>
        <w:fldChar w:fldCharType="separate"/>
      </w:r>
      <w:r>
        <w:rPr>
          <w:rStyle w:val="26"/>
          <w:rFonts w:hint="eastAsia"/>
        </w:rPr>
        <w:t>第四节 释放强农惠农富农政策效能</w:t>
      </w:r>
      <w:r>
        <w:rPr>
          <w:rFonts w:hint="eastAsia"/>
        </w:rPr>
        <w:tab/>
      </w:r>
      <w:r>
        <w:rPr>
          <w:rFonts w:hint="eastAsia"/>
        </w:rPr>
        <w:fldChar w:fldCharType="begin"/>
      </w:r>
      <w:r>
        <w:rPr>
          <w:rFonts w:hint="eastAsia"/>
        </w:rPr>
        <w:instrText xml:space="preserve"> </w:instrText>
      </w:r>
      <w:r>
        <w:instrText xml:space="preserve">PAGEREF _Toc228206103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17409A67">
      <w:pPr>
        <w:pStyle w:val="16"/>
        <w:rPr>
          <w:rFonts w:asciiTheme="minorHAnsi" w:hAnsiTheme="minorHAnsi" w:eastAsiaTheme="minorEastAsia"/>
          <w:color w:val="auto"/>
          <w:sz w:val="22"/>
          <w14:ligatures w14:val="standardContextual"/>
        </w:rPr>
      </w:pPr>
      <w:r>
        <w:fldChar w:fldCharType="begin"/>
      </w:r>
      <w:r>
        <w:instrText xml:space="preserve"> HYPERLINK \l "_Toc228206104" </w:instrText>
      </w:r>
      <w:r>
        <w:fldChar w:fldCharType="separate"/>
      </w:r>
      <w:r>
        <w:rPr>
          <w:rStyle w:val="26"/>
          <w:rFonts w:hint="eastAsia"/>
        </w:rPr>
        <w:t>第八章 畅通循环通道，主动融入双循环大格局</w:t>
      </w:r>
      <w:r>
        <w:rPr>
          <w:rFonts w:hint="eastAsia"/>
        </w:rPr>
        <w:tab/>
      </w:r>
      <w:r>
        <w:rPr>
          <w:rFonts w:hint="eastAsia"/>
        </w:rPr>
        <w:fldChar w:fldCharType="begin"/>
      </w:r>
      <w:r>
        <w:rPr>
          <w:rFonts w:hint="eastAsia"/>
        </w:rPr>
        <w:instrText xml:space="preserve"> </w:instrText>
      </w:r>
      <w:r>
        <w:instrText xml:space="preserve">PAGEREF _Toc228206104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2470157F">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"_Toc228206105" </w:instrText>
      </w:r>
      <w:r>
        <w:fldChar w:fldCharType="separate"/>
      </w:r>
      <w:r>
        <w:rPr>
          <w:rStyle w:val="26"/>
          <w:rFonts w:hint="eastAsia"/>
        </w:rPr>
        <w:t>第一节 加强区域协同协作</w:t>
      </w:r>
      <w:r>
        <w:rPr>
          <w:rFonts w:hint="eastAsia"/>
        </w:rPr>
        <w:tab/>
      </w:r>
      <w:r>
        <w:rPr>
          <w:rFonts w:hint="eastAsia"/>
        </w:rPr>
        <w:fldChar w:fldCharType="begin"/>
      </w:r>
      <w:r>
        <w:rPr>
          <w:rFonts w:hint="eastAsia"/>
        </w:rPr>
        <w:instrText xml:space="preserve"> </w:instrText>
      </w:r>
      <w:r>
        <w:instrText xml:space="preserve">PAGEREF _Toc228206105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7AF565D3">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"_Toc228206106" </w:instrText>
      </w:r>
      <w:r>
        <w:fldChar w:fldCharType="separate"/>
      </w:r>
      <w:r>
        <w:rPr>
          <w:rStyle w:val="26"/>
          <w:rFonts w:hint="eastAsia"/>
        </w:rPr>
        <w:t>第二节 拓展对外开放深度广度</w:t>
      </w:r>
      <w:r>
        <w:rPr>
          <w:rFonts w:hint="eastAsia"/>
        </w:rPr>
        <w:tab/>
      </w:r>
      <w:r>
        <w:rPr>
          <w:rFonts w:hint="eastAsia"/>
        </w:rPr>
        <w:fldChar w:fldCharType="begin"/>
      </w:r>
      <w:r>
        <w:rPr>
          <w:rFonts w:hint="eastAsia"/>
        </w:rPr>
        <w:instrText xml:space="preserve"> </w:instrText>
      </w:r>
      <w:r>
        <w:instrText xml:space="preserve">PAGEREF _Toc228206106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335054CD">
      <w:pPr>
        <w:pStyle w:val="16"/>
        <w:rPr>
          <w:rFonts w:asciiTheme="minorHAnsi" w:hAnsiTheme="minorHAnsi" w:eastAsiaTheme="minorEastAsia"/>
          <w:color w:val="auto"/>
          <w:sz w:val="22"/>
          <w14:ligatures w14:val="standardContextual"/>
        </w:rPr>
      </w:pPr>
      <w:r>
        <w:fldChar w:fldCharType="begin"/>
      </w:r>
      <w:r>
        <w:instrText xml:space="preserve"> HYPERLINK \l "_Toc228206107" </w:instrText>
      </w:r>
      <w:r>
        <w:fldChar w:fldCharType="separate"/>
      </w:r>
      <w:r>
        <w:rPr>
          <w:rStyle w:val="26"/>
          <w:rFonts w:hint="eastAsia"/>
        </w:rPr>
        <w:t>第九章 优化产业结构，构建现代化产业体系</w:t>
      </w:r>
      <w:r>
        <w:rPr>
          <w:rFonts w:hint="eastAsia"/>
        </w:rPr>
        <w:tab/>
      </w:r>
      <w:r>
        <w:rPr>
          <w:rFonts w:hint="eastAsia"/>
        </w:rPr>
        <w:fldChar w:fldCharType="begin"/>
      </w:r>
      <w:r>
        <w:rPr>
          <w:rFonts w:hint="eastAsia"/>
        </w:rPr>
        <w:instrText xml:space="preserve"> </w:instrText>
      </w:r>
      <w:r>
        <w:instrText xml:space="preserve">PAGEREF _Toc228206107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2BD20DC5">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"_Toc228206108" </w:instrText>
      </w:r>
      <w:r>
        <w:fldChar w:fldCharType="separate"/>
      </w:r>
      <w:r>
        <w:rPr>
          <w:rStyle w:val="26"/>
          <w:rFonts w:hint="eastAsia"/>
        </w:rPr>
        <w:t>第一节 推动传统产业焕新升级</w:t>
      </w:r>
      <w:r>
        <w:rPr>
          <w:rFonts w:hint="eastAsia"/>
        </w:rPr>
        <w:tab/>
      </w:r>
      <w:r>
        <w:rPr>
          <w:rFonts w:hint="eastAsia"/>
        </w:rPr>
        <w:fldChar w:fldCharType="begin"/>
      </w:r>
      <w:r>
        <w:rPr>
          <w:rFonts w:hint="eastAsia"/>
        </w:rPr>
        <w:instrText xml:space="preserve"> </w:instrText>
      </w:r>
      <w:r>
        <w:instrText xml:space="preserve">PAGEREF _Toc228206108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34671B7B">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"_Toc228206109" </w:instrText>
      </w:r>
      <w:r>
        <w:fldChar w:fldCharType="separate"/>
      </w:r>
      <w:r>
        <w:rPr>
          <w:rStyle w:val="26"/>
          <w:rFonts w:hint="eastAsia"/>
        </w:rPr>
        <w:t>第二节 培育壮大新兴产业</w:t>
      </w:r>
      <w:r>
        <w:rPr>
          <w:rFonts w:hint="eastAsia"/>
        </w:rPr>
        <w:tab/>
      </w:r>
      <w:r>
        <w:rPr>
          <w:rFonts w:hint="eastAsia"/>
        </w:rPr>
        <w:fldChar w:fldCharType="begin"/>
      </w:r>
      <w:r>
        <w:rPr>
          <w:rFonts w:hint="eastAsia"/>
        </w:rPr>
        <w:instrText xml:space="preserve"> </w:instrText>
      </w:r>
      <w:r>
        <w:instrText xml:space="preserve">PAGEREF _Toc228206109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7295FA26">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"_Toc228206110" </w:instrText>
      </w:r>
      <w:r>
        <w:fldChar w:fldCharType="separate"/>
      </w:r>
      <w:r>
        <w:rPr>
          <w:rStyle w:val="26"/>
          <w:rFonts w:hint="eastAsia"/>
        </w:rPr>
        <w:t>第三节 大力发展现代服务业</w:t>
      </w:r>
      <w:r>
        <w:rPr>
          <w:rFonts w:hint="eastAsia"/>
        </w:rPr>
        <w:tab/>
      </w:r>
      <w:r>
        <w:rPr>
          <w:rFonts w:hint="eastAsia"/>
        </w:rPr>
        <w:fldChar w:fldCharType="begin"/>
      </w:r>
      <w:r>
        <w:rPr>
          <w:rFonts w:hint="eastAsia"/>
        </w:rPr>
        <w:instrText xml:space="preserve"> </w:instrText>
      </w:r>
      <w:r>
        <w:instrText xml:space="preserve">PAGEREF _Toc228206110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7EAA740B">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"_Toc228206111" </w:instrText>
      </w:r>
      <w:r>
        <w:fldChar w:fldCharType="separate"/>
      </w:r>
      <w:r>
        <w:rPr>
          <w:rStyle w:val="26"/>
          <w:rFonts w:hint="eastAsia"/>
        </w:rPr>
        <w:t>第四节 强化园区平台支撑作用</w:t>
      </w:r>
      <w:r>
        <w:rPr>
          <w:rFonts w:hint="eastAsia"/>
        </w:rPr>
        <w:tab/>
      </w:r>
      <w:r>
        <w:rPr>
          <w:rFonts w:hint="eastAsia"/>
        </w:rPr>
        <w:fldChar w:fldCharType="begin"/>
      </w:r>
      <w:r>
        <w:rPr>
          <w:rFonts w:hint="eastAsia"/>
        </w:rPr>
        <w:instrText xml:space="preserve"> </w:instrText>
      </w:r>
      <w:r>
        <w:instrText xml:space="preserve">PAGEREF _Toc228206111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6C32CE18">
      <w:pPr>
        <w:pStyle w:val="16"/>
        <w:rPr>
          <w:rFonts w:asciiTheme="minorHAnsi" w:hAnsiTheme="minorHAnsi" w:eastAsiaTheme="minorEastAsia"/>
          <w:color w:val="auto"/>
          <w:sz w:val="22"/>
          <w14:ligatures w14:val="standardContextual"/>
        </w:rPr>
      </w:pPr>
      <w:r>
        <w:fldChar w:fldCharType="begin"/>
      </w:r>
      <w:r>
        <w:instrText xml:space="preserve"> HYPERLINK \l "_Toc228206112" </w:instrText>
      </w:r>
      <w:r>
        <w:fldChar w:fldCharType="separate"/>
      </w:r>
      <w:r>
        <w:rPr>
          <w:rStyle w:val="26"/>
          <w:rFonts w:hint="eastAsia"/>
        </w:rPr>
        <w:t>第十章 实施创新驱动，塑造区域竞争突出优势</w:t>
      </w:r>
      <w:r>
        <w:rPr>
          <w:rFonts w:hint="eastAsia"/>
        </w:rPr>
        <w:tab/>
      </w:r>
      <w:r>
        <w:rPr>
          <w:rFonts w:hint="eastAsia"/>
        </w:rPr>
        <w:fldChar w:fldCharType="begin"/>
      </w:r>
      <w:r>
        <w:rPr>
          <w:rFonts w:hint="eastAsia"/>
        </w:rPr>
        <w:instrText xml:space="preserve"> </w:instrText>
      </w:r>
      <w:r>
        <w:instrText xml:space="preserve">PAGEREF _Toc228206112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7419518C">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"_Toc228206113" </w:instrText>
      </w:r>
      <w:r>
        <w:fldChar w:fldCharType="separate"/>
      </w:r>
      <w:r>
        <w:rPr>
          <w:rStyle w:val="26"/>
          <w:rFonts w:hint="eastAsia"/>
        </w:rPr>
        <w:t>第一节 加强重点领域关键核心技术攻关</w:t>
      </w:r>
      <w:r>
        <w:rPr>
          <w:rFonts w:hint="eastAsia"/>
        </w:rPr>
        <w:tab/>
      </w:r>
      <w:r>
        <w:rPr>
          <w:rFonts w:hint="eastAsia"/>
        </w:rPr>
        <w:fldChar w:fldCharType="begin"/>
      </w:r>
      <w:r>
        <w:rPr>
          <w:rFonts w:hint="eastAsia"/>
        </w:rPr>
        <w:instrText xml:space="preserve"> </w:instrText>
      </w:r>
      <w:r>
        <w:instrText xml:space="preserve">PAGEREF _Toc228206113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0A5A582E">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"_Toc228206114" </w:instrText>
      </w:r>
      <w:r>
        <w:fldChar w:fldCharType="separate"/>
      </w:r>
      <w:r>
        <w:rPr>
          <w:rStyle w:val="26"/>
          <w:rFonts w:hint="eastAsia"/>
        </w:rPr>
        <w:t>第二节 推动科技创新主体与载体建设</w:t>
      </w:r>
      <w:r>
        <w:rPr>
          <w:rFonts w:hint="eastAsia"/>
        </w:rPr>
        <w:tab/>
      </w:r>
      <w:r>
        <w:rPr>
          <w:rFonts w:hint="eastAsia"/>
        </w:rPr>
        <w:fldChar w:fldCharType="begin"/>
      </w:r>
      <w:r>
        <w:rPr>
          <w:rFonts w:hint="eastAsia"/>
        </w:rPr>
        <w:instrText xml:space="preserve"> </w:instrText>
      </w:r>
      <w:r>
        <w:instrText xml:space="preserve">PAGEREF _Toc228206114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14:paraId="46F59AFA">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"_Toc228206115" </w:instrText>
      </w:r>
      <w:r>
        <w:fldChar w:fldCharType="separate"/>
      </w:r>
      <w:r>
        <w:rPr>
          <w:rStyle w:val="26"/>
          <w:rFonts w:hint="eastAsia"/>
        </w:rPr>
        <w:t>第三节 完善科技成果转移转化体系</w:t>
      </w:r>
      <w:r>
        <w:rPr>
          <w:rFonts w:hint="eastAsia"/>
        </w:rPr>
        <w:tab/>
      </w:r>
      <w:r>
        <w:rPr>
          <w:rFonts w:hint="eastAsia"/>
        </w:rPr>
        <w:fldChar w:fldCharType="begin"/>
      </w:r>
      <w:r>
        <w:rPr>
          <w:rFonts w:hint="eastAsia"/>
        </w:rPr>
        <w:instrText xml:space="preserve"> </w:instrText>
      </w:r>
      <w:r>
        <w:instrText xml:space="preserve">PAGEREF _Toc228206115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14:paraId="5747407C">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"_Toc228206116" </w:instrText>
      </w:r>
      <w:r>
        <w:fldChar w:fldCharType="separate"/>
      </w:r>
      <w:r>
        <w:rPr>
          <w:rStyle w:val="26"/>
          <w:rFonts w:hint="eastAsia"/>
        </w:rPr>
        <w:t>第四节 办好人民满意教育</w:t>
      </w:r>
      <w:r>
        <w:rPr>
          <w:rFonts w:hint="eastAsia"/>
        </w:rPr>
        <w:tab/>
      </w:r>
      <w:r>
        <w:rPr>
          <w:rFonts w:hint="eastAsia"/>
        </w:rPr>
        <w:fldChar w:fldCharType="begin"/>
      </w:r>
      <w:r>
        <w:rPr>
          <w:rFonts w:hint="eastAsia"/>
        </w:rPr>
        <w:instrText xml:space="preserve"> </w:instrText>
      </w:r>
      <w:r>
        <w:instrText xml:space="preserve">PAGEREF _Toc228206116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6381C2D1">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"_Toc228206117" </w:instrText>
      </w:r>
      <w:r>
        <w:fldChar w:fldCharType="separate"/>
      </w:r>
      <w:r>
        <w:rPr>
          <w:rStyle w:val="26"/>
          <w:rFonts w:hint="eastAsia"/>
        </w:rPr>
        <w:t>第五节 加快科技创新人才引培</w:t>
      </w:r>
      <w:r>
        <w:rPr>
          <w:rFonts w:hint="eastAsia"/>
        </w:rPr>
        <w:tab/>
      </w:r>
      <w:r>
        <w:rPr>
          <w:rFonts w:hint="eastAsia"/>
        </w:rPr>
        <w:fldChar w:fldCharType="begin"/>
      </w:r>
      <w:r>
        <w:rPr>
          <w:rFonts w:hint="eastAsia"/>
        </w:rPr>
        <w:instrText xml:space="preserve"> </w:instrText>
      </w:r>
      <w:r>
        <w:instrText xml:space="preserve">PAGEREF _Toc228206117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041BA9BD">
      <w:pPr>
        <w:pStyle w:val="16"/>
        <w:rPr>
          <w:rFonts w:asciiTheme="minorHAnsi" w:hAnsiTheme="minorHAnsi" w:eastAsiaTheme="minorEastAsia"/>
          <w:color w:val="auto"/>
          <w:sz w:val="22"/>
          <w14:ligatures w14:val="standardContextual"/>
        </w:rPr>
      </w:pPr>
      <w:r>
        <w:fldChar w:fldCharType="begin"/>
      </w:r>
      <w:r>
        <w:instrText xml:space="preserve"> HYPERLINK \l "_Toc228206118" </w:instrText>
      </w:r>
      <w:r>
        <w:fldChar w:fldCharType="separate"/>
      </w:r>
      <w:r>
        <w:rPr>
          <w:rStyle w:val="26"/>
          <w:rFonts w:hint="eastAsia"/>
        </w:rPr>
        <w:t>第十一章 有效提振内需，加速全国统一大市场融入</w:t>
      </w:r>
      <w:r>
        <w:rPr>
          <w:rFonts w:hint="eastAsia"/>
        </w:rPr>
        <w:tab/>
      </w:r>
      <w:r>
        <w:rPr>
          <w:rFonts w:hint="eastAsia"/>
        </w:rPr>
        <w:fldChar w:fldCharType="begin"/>
      </w:r>
      <w:r>
        <w:rPr>
          <w:rFonts w:hint="eastAsia"/>
        </w:rPr>
        <w:instrText xml:space="preserve"> </w:instrText>
      </w:r>
      <w:r>
        <w:instrText xml:space="preserve">PAGEREF _Toc228206118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14:paraId="344B7B06">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"_Toc228206119" </w:instrText>
      </w:r>
      <w:r>
        <w:fldChar w:fldCharType="separate"/>
      </w:r>
      <w:r>
        <w:rPr>
          <w:rStyle w:val="26"/>
          <w:rFonts w:hint="eastAsia"/>
        </w:rPr>
        <w:t>第一节 推动消费扩容提质</w:t>
      </w:r>
      <w:r>
        <w:rPr>
          <w:rFonts w:hint="eastAsia"/>
        </w:rPr>
        <w:tab/>
      </w:r>
      <w:r>
        <w:rPr>
          <w:rFonts w:hint="eastAsia"/>
        </w:rPr>
        <w:fldChar w:fldCharType="begin"/>
      </w:r>
      <w:r>
        <w:rPr>
          <w:rFonts w:hint="eastAsia"/>
        </w:rPr>
        <w:instrText xml:space="preserve"> </w:instrText>
      </w:r>
      <w:r>
        <w:instrText xml:space="preserve">PAGEREF _Toc228206119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14:paraId="4EBB53F8">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"_Toc228206120" </w:instrText>
      </w:r>
      <w:r>
        <w:fldChar w:fldCharType="separate"/>
      </w:r>
      <w:r>
        <w:rPr>
          <w:rStyle w:val="26"/>
          <w:rFonts w:hint="eastAsia"/>
        </w:rPr>
        <w:t>第二节 扩大有效投资空间</w:t>
      </w:r>
      <w:r>
        <w:rPr>
          <w:rFonts w:hint="eastAsia"/>
        </w:rPr>
        <w:tab/>
      </w:r>
      <w:r>
        <w:rPr>
          <w:rFonts w:hint="eastAsia"/>
        </w:rPr>
        <w:fldChar w:fldCharType="begin"/>
      </w:r>
      <w:r>
        <w:rPr>
          <w:rFonts w:hint="eastAsia"/>
        </w:rPr>
        <w:instrText xml:space="preserve"> </w:instrText>
      </w:r>
      <w:r>
        <w:instrText xml:space="preserve">PAGEREF _Toc228206120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14:paraId="0391332E">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"_Toc228206121" </w:instrText>
      </w:r>
      <w:r>
        <w:fldChar w:fldCharType="separate"/>
      </w:r>
      <w:r>
        <w:rPr>
          <w:rStyle w:val="26"/>
          <w:rFonts w:hint="eastAsia"/>
        </w:rPr>
        <w:t>第三节 打通经济循环堵点卡点</w:t>
      </w:r>
      <w:r>
        <w:rPr>
          <w:rFonts w:hint="eastAsia"/>
        </w:rPr>
        <w:tab/>
      </w:r>
      <w:r>
        <w:rPr>
          <w:rFonts w:hint="eastAsia"/>
        </w:rPr>
        <w:fldChar w:fldCharType="begin"/>
      </w:r>
      <w:r>
        <w:rPr>
          <w:rFonts w:hint="eastAsia"/>
        </w:rPr>
        <w:instrText xml:space="preserve"> </w:instrText>
      </w:r>
      <w:r>
        <w:instrText xml:space="preserve">PAGEREF _Toc228206121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74651644">
      <w:pPr>
        <w:pStyle w:val="16"/>
        <w:rPr>
          <w:rFonts w:asciiTheme="minorHAnsi" w:hAnsiTheme="minorHAnsi" w:eastAsiaTheme="minorEastAsia"/>
          <w:color w:val="auto"/>
          <w:sz w:val="22"/>
          <w14:ligatures w14:val="standardContextual"/>
        </w:rPr>
      </w:pPr>
      <w:r>
        <w:fldChar w:fldCharType="begin"/>
      </w:r>
      <w:r>
        <w:instrText xml:space="preserve"> HYPERLINK \l "_Toc228206122" </w:instrText>
      </w:r>
      <w:r>
        <w:fldChar w:fldCharType="separate"/>
      </w:r>
      <w:r>
        <w:rPr>
          <w:rStyle w:val="26"/>
          <w:rFonts w:hint="eastAsia"/>
        </w:rPr>
        <w:t>第十二章 强化基建支撑，提升区域综合承载能力</w:t>
      </w:r>
      <w:r>
        <w:rPr>
          <w:rFonts w:hint="eastAsia"/>
        </w:rPr>
        <w:tab/>
      </w:r>
      <w:r>
        <w:rPr>
          <w:rFonts w:hint="eastAsia"/>
        </w:rPr>
        <w:fldChar w:fldCharType="begin"/>
      </w:r>
      <w:r>
        <w:rPr>
          <w:rFonts w:hint="eastAsia"/>
        </w:rPr>
        <w:instrText xml:space="preserve"> </w:instrText>
      </w:r>
      <w:r>
        <w:instrText xml:space="preserve">PAGEREF _Toc228206122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14:paraId="6514357F">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"_Toc228206123" </w:instrText>
      </w:r>
      <w:r>
        <w:fldChar w:fldCharType="separate"/>
      </w:r>
      <w:r>
        <w:rPr>
          <w:rStyle w:val="26"/>
          <w:rFonts w:hint="eastAsia"/>
        </w:rPr>
        <w:t>第一节 完善综合交通体系</w:t>
      </w:r>
      <w:r>
        <w:rPr>
          <w:rFonts w:hint="eastAsia"/>
        </w:rPr>
        <w:tab/>
      </w:r>
      <w:r>
        <w:rPr>
          <w:rFonts w:hint="eastAsia"/>
        </w:rPr>
        <w:fldChar w:fldCharType="begin"/>
      </w:r>
      <w:r>
        <w:rPr>
          <w:rFonts w:hint="eastAsia"/>
        </w:rPr>
        <w:instrText xml:space="preserve"> </w:instrText>
      </w:r>
      <w:r>
        <w:instrText xml:space="preserve">PAGEREF _Toc228206123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14:paraId="535540A6">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"_Toc228206124" </w:instrText>
      </w:r>
      <w:r>
        <w:fldChar w:fldCharType="separate"/>
      </w:r>
      <w:r>
        <w:rPr>
          <w:rStyle w:val="26"/>
          <w:rFonts w:hint="eastAsia"/>
        </w:rPr>
        <w:t>第二节 健全水利基础设施</w:t>
      </w:r>
      <w:r>
        <w:rPr>
          <w:rFonts w:hint="eastAsia"/>
        </w:rPr>
        <w:tab/>
      </w:r>
      <w:r>
        <w:rPr>
          <w:rFonts w:hint="eastAsia"/>
        </w:rPr>
        <w:fldChar w:fldCharType="begin"/>
      </w:r>
      <w:r>
        <w:rPr>
          <w:rFonts w:hint="eastAsia"/>
        </w:rPr>
        <w:instrText xml:space="preserve"> </w:instrText>
      </w:r>
      <w:r>
        <w:instrText xml:space="preserve">PAGEREF _Toc228206124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089DEF48">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"_Toc228206125" </w:instrText>
      </w:r>
      <w:r>
        <w:fldChar w:fldCharType="separate"/>
      </w:r>
      <w:r>
        <w:rPr>
          <w:rStyle w:val="26"/>
          <w:rFonts w:hint="eastAsia"/>
        </w:rPr>
        <w:t>第三节 加快布局新型基础设施</w:t>
      </w:r>
      <w:r>
        <w:rPr>
          <w:rFonts w:hint="eastAsia"/>
        </w:rPr>
        <w:tab/>
      </w:r>
      <w:r>
        <w:rPr>
          <w:rFonts w:hint="eastAsia"/>
        </w:rPr>
        <w:fldChar w:fldCharType="begin"/>
      </w:r>
      <w:r>
        <w:rPr>
          <w:rFonts w:hint="eastAsia"/>
        </w:rPr>
        <w:instrText xml:space="preserve"> </w:instrText>
      </w:r>
      <w:r>
        <w:instrText xml:space="preserve">PAGEREF _Toc228206125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14:paraId="2DF161DE">
      <w:pPr>
        <w:pStyle w:val="16"/>
        <w:rPr>
          <w:rFonts w:asciiTheme="minorHAnsi" w:hAnsiTheme="minorHAnsi" w:eastAsiaTheme="minorEastAsia"/>
          <w:color w:val="auto"/>
          <w:sz w:val="22"/>
          <w14:ligatures w14:val="standardContextual"/>
        </w:rPr>
      </w:pPr>
      <w:r>
        <w:fldChar w:fldCharType="begin"/>
      </w:r>
      <w:r>
        <w:instrText xml:space="preserve"> HYPERLINK \l "_Toc228206126" </w:instrText>
      </w:r>
      <w:r>
        <w:fldChar w:fldCharType="separate"/>
      </w:r>
      <w:r>
        <w:rPr>
          <w:rStyle w:val="26"/>
          <w:rFonts w:hint="eastAsia"/>
        </w:rPr>
        <w:t>第十三章 深化体制改革，增强高质量发展活力</w:t>
      </w:r>
      <w:r>
        <w:rPr>
          <w:rFonts w:hint="eastAsia"/>
        </w:rPr>
        <w:tab/>
      </w:r>
      <w:r>
        <w:rPr>
          <w:rFonts w:hint="eastAsia"/>
        </w:rPr>
        <w:fldChar w:fldCharType="begin"/>
      </w:r>
      <w:r>
        <w:rPr>
          <w:rFonts w:hint="eastAsia"/>
        </w:rPr>
        <w:instrText xml:space="preserve"> </w:instrText>
      </w:r>
      <w:r>
        <w:instrText xml:space="preserve">PAGEREF _Toc228206126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20444AC8">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"_Toc228206127" </w:instrText>
      </w:r>
      <w:r>
        <w:fldChar w:fldCharType="separate"/>
      </w:r>
      <w:r>
        <w:rPr>
          <w:rStyle w:val="26"/>
          <w:rFonts w:hint="eastAsia"/>
        </w:rPr>
        <w:t>第一节 坚持和落实“两个毫不动摇”</w:t>
      </w:r>
      <w:r>
        <w:rPr>
          <w:rFonts w:hint="eastAsia"/>
        </w:rPr>
        <w:tab/>
      </w:r>
      <w:r>
        <w:rPr>
          <w:rFonts w:hint="eastAsia"/>
        </w:rPr>
        <w:fldChar w:fldCharType="begin"/>
      </w:r>
      <w:r>
        <w:rPr>
          <w:rFonts w:hint="eastAsia"/>
        </w:rPr>
        <w:instrText xml:space="preserve"> </w:instrText>
      </w:r>
      <w:r>
        <w:instrText xml:space="preserve">PAGEREF _Toc228206127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76F598EB">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"_Toc228206128" </w:instrText>
      </w:r>
      <w:r>
        <w:fldChar w:fldCharType="separate"/>
      </w:r>
      <w:r>
        <w:rPr>
          <w:rStyle w:val="26"/>
          <w:rFonts w:hint="eastAsia"/>
        </w:rPr>
        <w:t>第二节 持续优化营商环境</w:t>
      </w:r>
      <w:r>
        <w:rPr>
          <w:rFonts w:hint="eastAsia"/>
        </w:rPr>
        <w:tab/>
      </w:r>
      <w:r>
        <w:rPr>
          <w:rFonts w:hint="eastAsia"/>
        </w:rPr>
        <w:fldChar w:fldCharType="begin"/>
      </w:r>
      <w:r>
        <w:rPr>
          <w:rFonts w:hint="eastAsia"/>
        </w:rPr>
        <w:instrText xml:space="preserve"> </w:instrText>
      </w:r>
      <w:r>
        <w:instrText xml:space="preserve">PAGEREF _Toc228206128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14:paraId="46F86D67">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"_Toc228206129" </w:instrText>
      </w:r>
      <w:r>
        <w:fldChar w:fldCharType="separate"/>
      </w:r>
      <w:r>
        <w:rPr>
          <w:rStyle w:val="26"/>
          <w:rFonts w:hint="eastAsia"/>
        </w:rPr>
        <w:t>第二节 建设高标准市场体系</w:t>
      </w:r>
      <w:r>
        <w:rPr>
          <w:rFonts w:hint="eastAsia"/>
        </w:rPr>
        <w:tab/>
      </w:r>
      <w:r>
        <w:rPr>
          <w:rFonts w:hint="eastAsia"/>
        </w:rPr>
        <w:fldChar w:fldCharType="begin"/>
      </w:r>
      <w:r>
        <w:rPr>
          <w:rFonts w:hint="eastAsia"/>
        </w:rPr>
        <w:instrText xml:space="preserve"> </w:instrText>
      </w:r>
      <w:r>
        <w:instrText xml:space="preserve">PAGEREF _Toc228206129 \h</w:instrText>
      </w:r>
      <w:r>
        <w:rPr>
          <w:rFonts w:hint="eastAsia"/>
        </w:rPr>
        <w:instrText xml:space="preserve"> </w:instrText>
      </w:r>
      <w:r>
        <w:rPr>
          <w:rFonts w:hint="eastAsia"/>
        </w:rPr>
        <w:fldChar w:fldCharType="separate"/>
      </w:r>
      <w:r>
        <w:t>86</w:t>
      </w:r>
      <w:r>
        <w:rPr>
          <w:rFonts w:hint="eastAsia"/>
        </w:rPr>
        <w:fldChar w:fldCharType="end"/>
      </w:r>
      <w:r>
        <w:rPr>
          <w:rFonts w:hint="eastAsia"/>
        </w:rPr>
        <w:fldChar w:fldCharType="end"/>
      </w:r>
    </w:p>
    <w:p w14:paraId="4389CFF9">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"_Toc228206130" </w:instrText>
      </w:r>
      <w:r>
        <w:fldChar w:fldCharType="separate"/>
      </w:r>
      <w:r>
        <w:rPr>
          <w:rStyle w:val="26"/>
          <w:rFonts w:hint="eastAsia"/>
        </w:rPr>
        <w:t>第四节 深化重点领域改革</w:t>
      </w:r>
      <w:r>
        <w:rPr>
          <w:rFonts w:hint="eastAsia"/>
        </w:rPr>
        <w:tab/>
      </w:r>
      <w:r>
        <w:rPr>
          <w:rFonts w:hint="eastAsia"/>
        </w:rPr>
        <w:fldChar w:fldCharType="begin"/>
      </w:r>
      <w:r>
        <w:rPr>
          <w:rFonts w:hint="eastAsia"/>
        </w:rPr>
        <w:instrText xml:space="preserve"> </w:instrText>
      </w:r>
      <w:r>
        <w:instrText xml:space="preserve">PAGEREF _Toc228206130 \h</w:instrText>
      </w:r>
      <w:r>
        <w:rPr>
          <w:rFonts w:hint="eastAsia"/>
        </w:rPr>
        <w:instrText xml:space="preserve"> </w:instrText>
      </w:r>
      <w:r>
        <w:rPr>
          <w:rFonts w:hint="eastAsia"/>
        </w:rPr>
        <w:fldChar w:fldCharType="separate"/>
      </w:r>
      <w:r>
        <w:t>87</w:t>
      </w:r>
      <w:r>
        <w:rPr>
          <w:rFonts w:hint="eastAsia"/>
        </w:rPr>
        <w:fldChar w:fldCharType="end"/>
      </w:r>
      <w:r>
        <w:rPr>
          <w:rFonts w:hint="eastAsia"/>
        </w:rPr>
        <w:fldChar w:fldCharType="end"/>
      </w:r>
    </w:p>
    <w:p w14:paraId="18FC6F35">
      <w:pPr>
        <w:pStyle w:val="16"/>
        <w:rPr>
          <w:rFonts w:asciiTheme="minorHAnsi" w:hAnsiTheme="minorHAnsi" w:eastAsiaTheme="minorEastAsia"/>
          <w:color w:val="auto"/>
          <w:sz w:val="22"/>
          <w14:ligatures w14:val="standardContextual"/>
        </w:rPr>
      </w:pPr>
      <w:r>
        <w:fldChar w:fldCharType="begin"/>
      </w:r>
      <w:r>
        <w:instrText xml:space="preserve"> HYPERLINK \l "_Toc228206131" </w:instrText>
      </w:r>
      <w:r>
        <w:fldChar w:fldCharType="separate"/>
      </w:r>
      <w:r>
        <w:rPr>
          <w:rStyle w:val="26"/>
          <w:rFonts w:hint="eastAsia"/>
        </w:rPr>
        <w:t>第十四章 统筹城乡发展，稳步推进新型城镇化建设</w:t>
      </w:r>
      <w:r>
        <w:rPr>
          <w:rFonts w:hint="eastAsia"/>
        </w:rPr>
        <w:tab/>
      </w:r>
      <w:r>
        <w:rPr>
          <w:rFonts w:hint="eastAsia"/>
        </w:rPr>
        <w:fldChar w:fldCharType="begin"/>
      </w:r>
      <w:r>
        <w:rPr>
          <w:rFonts w:hint="eastAsia"/>
        </w:rPr>
        <w:instrText xml:space="preserve"> </w:instrText>
      </w:r>
      <w:r>
        <w:instrText xml:space="preserve">PAGEREF _Toc228206131 \h</w:instrText>
      </w:r>
      <w:r>
        <w:rPr>
          <w:rFonts w:hint="eastAsia"/>
        </w:rPr>
        <w:instrText xml:space="preserve"> </w:instrText>
      </w:r>
      <w:r>
        <w:rPr>
          <w:rFonts w:hint="eastAsia"/>
        </w:rPr>
        <w:fldChar w:fldCharType="separate"/>
      </w:r>
      <w:r>
        <w:t>89</w:t>
      </w:r>
      <w:r>
        <w:rPr>
          <w:rFonts w:hint="eastAsia"/>
        </w:rPr>
        <w:fldChar w:fldCharType="end"/>
      </w:r>
      <w:r>
        <w:rPr>
          <w:rFonts w:hint="eastAsia"/>
        </w:rPr>
        <w:fldChar w:fldCharType="end"/>
      </w:r>
    </w:p>
    <w:p w14:paraId="2742FF60">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"_Toc228206132" </w:instrText>
      </w:r>
      <w:r>
        <w:fldChar w:fldCharType="separate"/>
      </w:r>
      <w:r>
        <w:rPr>
          <w:rStyle w:val="26"/>
          <w:rFonts w:hint="eastAsia"/>
        </w:rPr>
        <w:t>第一节 优化国土空间格局</w:t>
      </w:r>
      <w:r>
        <w:rPr>
          <w:rFonts w:hint="eastAsia"/>
        </w:rPr>
        <w:tab/>
      </w:r>
      <w:r>
        <w:rPr>
          <w:rFonts w:hint="eastAsia"/>
        </w:rPr>
        <w:fldChar w:fldCharType="begin"/>
      </w:r>
      <w:r>
        <w:rPr>
          <w:rFonts w:hint="eastAsia"/>
        </w:rPr>
        <w:instrText xml:space="preserve"> </w:instrText>
      </w:r>
      <w:r>
        <w:instrText xml:space="preserve">PAGEREF _Toc228206132 \h</w:instrText>
      </w:r>
      <w:r>
        <w:rPr>
          <w:rFonts w:hint="eastAsia"/>
        </w:rPr>
        <w:instrText xml:space="preserve"> </w:instrText>
      </w:r>
      <w:r>
        <w:rPr>
          <w:rFonts w:hint="eastAsia"/>
        </w:rPr>
        <w:fldChar w:fldCharType="separate"/>
      </w:r>
      <w:r>
        <w:t>89</w:t>
      </w:r>
      <w:r>
        <w:rPr>
          <w:rFonts w:hint="eastAsia"/>
        </w:rPr>
        <w:fldChar w:fldCharType="end"/>
      </w:r>
      <w:r>
        <w:rPr>
          <w:rFonts w:hint="eastAsia"/>
        </w:rPr>
        <w:fldChar w:fldCharType="end"/>
      </w:r>
    </w:p>
    <w:p w14:paraId="504BC56A">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"_Toc228206133" </w:instrText>
      </w:r>
      <w:r>
        <w:fldChar w:fldCharType="separate"/>
      </w:r>
      <w:r>
        <w:rPr>
          <w:rStyle w:val="26"/>
          <w:rFonts w:hint="eastAsia"/>
        </w:rPr>
        <w:t>第二节 增强城市综合承载力</w:t>
      </w:r>
      <w:r>
        <w:rPr>
          <w:rFonts w:hint="eastAsia"/>
        </w:rPr>
        <w:tab/>
      </w:r>
      <w:r>
        <w:rPr>
          <w:rFonts w:hint="eastAsia"/>
        </w:rPr>
        <w:fldChar w:fldCharType="begin"/>
      </w:r>
      <w:r>
        <w:rPr>
          <w:rFonts w:hint="eastAsia"/>
        </w:rPr>
        <w:instrText xml:space="preserve"> </w:instrText>
      </w:r>
      <w:r>
        <w:instrText xml:space="preserve">PAGEREF _Toc228206133 \h</w:instrText>
      </w:r>
      <w:r>
        <w:rPr>
          <w:rFonts w:hint="eastAsia"/>
        </w:rPr>
        <w:instrText xml:space="preserve"> </w:instrText>
      </w:r>
      <w:r>
        <w:rPr>
          <w:rFonts w:hint="eastAsia"/>
        </w:rPr>
        <w:fldChar w:fldCharType="separate"/>
      </w:r>
      <w:r>
        <w:t>91</w:t>
      </w:r>
      <w:r>
        <w:rPr>
          <w:rFonts w:hint="eastAsia"/>
        </w:rPr>
        <w:fldChar w:fldCharType="end"/>
      </w:r>
      <w:r>
        <w:rPr>
          <w:rFonts w:hint="eastAsia"/>
        </w:rPr>
        <w:fldChar w:fldCharType="end"/>
      </w:r>
    </w:p>
    <w:p w14:paraId="05E14E8D">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"_Toc228206134" </w:instrText>
      </w:r>
      <w:r>
        <w:fldChar w:fldCharType="separate"/>
      </w:r>
      <w:r>
        <w:rPr>
          <w:rStyle w:val="26"/>
          <w:rFonts w:hint="eastAsia"/>
        </w:rPr>
        <w:t>第三节 提升城市精细化治理水平</w:t>
      </w:r>
      <w:r>
        <w:rPr>
          <w:rFonts w:hint="eastAsia"/>
        </w:rPr>
        <w:tab/>
      </w:r>
      <w:r>
        <w:rPr>
          <w:rFonts w:hint="eastAsia"/>
        </w:rPr>
        <w:fldChar w:fldCharType="begin"/>
      </w:r>
      <w:r>
        <w:rPr>
          <w:rFonts w:hint="eastAsia"/>
        </w:rPr>
        <w:instrText xml:space="preserve"> </w:instrText>
      </w:r>
      <w:r>
        <w:instrText xml:space="preserve">PAGEREF _Toc228206134 \h</w:instrText>
      </w:r>
      <w:r>
        <w:rPr>
          <w:rFonts w:hint="eastAsia"/>
        </w:rPr>
        <w:instrText xml:space="preserve"> </w:instrText>
      </w:r>
      <w:r>
        <w:rPr>
          <w:rFonts w:hint="eastAsia"/>
        </w:rPr>
        <w:fldChar w:fldCharType="separate"/>
      </w:r>
      <w:r>
        <w:t>93</w:t>
      </w:r>
      <w:r>
        <w:rPr>
          <w:rFonts w:hint="eastAsia"/>
        </w:rPr>
        <w:fldChar w:fldCharType="end"/>
      </w:r>
      <w:r>
        <w:rPr>
          <w:rFonts w:hint="eastAsia"/>
        </w:rPr>
        <w:fldChar w:fldCharType="end"/>
      </w:r>
    </w:p>
    <w:p w14:paraId="2F8F1EF0">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"_Toc228206135" </w:instrText>
      </w:r>
      <w:r>
        <w:fldChar w:fldCharType="separate"/>
      </w:r>
      <w:r>
        <w:rPr>
          <w:rStyle w:val="26"/>
          <w:rFonts w:hint="eastAsia"/>
        </w:rPr>
        <w:t>第四节 推进以人为本的新型城镇化</w:t>
      </w:r>
      <w:r>
        <w:rPr>
          <w:rFonts w:hint="eastAsia"/>
        </w:rPr>
        <w:tab/>
      </w:r>
      <w:r>
        <w:rPr>
          <w:rFonts w:hint="eastAsia"/>
        </w:rPr>
        <w:fldChar w:fldCharType="begin"/>
      </w:r>
      <w:r>
        <w:rPr>
          <w:rFonts w:hint="eastAsia"/>
        </w:rPr>
        <w:instrText xml:space="preserve"> </w:instrText>
      </w:r>
      <w:r>
        <w:instrText xml:space="preserve">PAGEREF _Toc228206135 \h</w:instrText>
      </w:r>
      <w:r>
        <w:rPr>
          <w:rFonts w:hint="eastAsia"/>
        </w:rPr>
        <w:instrText xml:space="preserve"> </w:instrText>
      </w:r>
      <w:r>
        <w:rPr>
          <w:rFonts w:hint="eastAsia"/>
        </w:rPr>
        <w:fldChar w:fldCharType="separate"/>
      </w:r>
      <w:r>
        <w:t>94</w:t>
      </w:r>
      <w:r>
        <w:rPr>
          <w:rFonts w:hint="eastAsia"/>
        </w:rPr>
        <w:fldChar w:fldCharType="end"/>
      </w:r>
      <w:r>
        <w:rPr>
          <w:rFonts w:hint="eastAsia"/>
        </w:rPr>
        <w:fldChar w:fldCharType="end"/>
      </w:r>
    </w:p>
    <w:p w14:paraId="20A29B01">
      <w:pPr>
        <w:pStyle w:val="16"/>
        <w:rPr>
          <w:rFonts w:asciiTheme="minorHAnsi" w:hAnsiTheme="minorHAnsi" w:eastAsiaTheme="minorEastAsia"/>
          <w:color w:val="auto"/>
          <w:sz w:val="22"/>
          <w14:ligatures w14:val="standardContextual"/>
        </w:rPr>
      </w:pPr>
      <w:r>
        <w:fldChar w:fldCharType="begin"/>
      </w:r>
      <w:r>
        <w:instrText xml:space="preserve"> HYPERLINK \l "_Toc228206136" </w:instrText>
      </w:r>
      <w:r>
        <w:fldChar w:fldCharType="separate"/>
      </w:r>
      <w:r>
        <w:rPr>
          <w:rStyle w:val="26"/>
          <w:rFonts w:hint="eastAsia"/>
        </w:rPr>
        <w:t>第十五章 促进文旅体商，培育消费增长核心引擎</w:t>
      </w:r>
      <w:r>
        <w:rPr>
          <w:rFonts w:hint="eastAsia"/>
        </w:rPr>
        <w:tab/>
      </w:r>
      <w:r>
        <w:rPr>
          <w:rFonts w:hint="eastAsia"/>
        </w:rPr>
        <w:fldChar w:fldCharType="begin"/>
      </w:r>
      <w:r>
        <w:rPr>
          <w:rFonts w:hint="eastAsia"/>
        </w:rPr>
        <w:instrText xml:space="preserve"> </w:instrText>
      </w:r>
      <w:r>
        <w:instrText xml:space="preserve">PAGEREF _Toc228206136 \h</w:instrText>
      </w:r>
      <w:r>
        <w:rPr>
          <w:rFonts w:hint="eastAsia"/>
        </w:rPr>
        <w:instrText xml:space="preserve"> </w:instrText>
      </w:r>
      <w:r>
        <w:rPr>
          <w:rFonts w:hint="eastAsia"/>
        </w:rPr>
        <w:fldChar w:fldCharType="separate"/>
      </w:r>
      <w:r>
        <w:t>96</w:t>
      </w:r>
      <w:r>
        <w:rPr>
          <w:rFonts w:hint="eastAsia"/>
        </w:rPr>
        <w:fldChar w:fldCharType="end"/>
      </w:r>
      <w:r>
        <w:rPr>
          <w:rFonts w:hint="eastAsia"/>
        </w:rPr>
        <w:fldChar w:fldCharType="end"/>
      </w:r>
    </w:p>
    <w:p w14:paraId="19214996">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"_Toc228206137" </w:instrText>
      </w:r>
      <w:r>
        <w:fldChar w:fldCharType="separate"/>
      </w:r>
      <w:r>
        <w:rPr>
          <w:rStyle w:val="26"/>
          <w:rFonts w:hint="eastAsia"/>
        </w:rPr>
        <w:t>第一节 培育和践行社会主义核心价值观</w:t>
      </w:r>
      <w:r>
        <w:rPr>
          <w:rFonts w:hint="eastAsia"/>
        </w:rPr>
        <w:tab/>
      </w:r>
      <w:r>
        <w:rPr>
          <w:rFonts w:hint="eastAsia"/>
        </w:rPr>
        <w:fldChar w:fldCharType="begin"/>
      </w:r>
      <w:r>
        <w:rPr>
          <w:rFonts w:hint="eastAsia"/>
        </w:rPr>
        <w:instrText xml:space="preserve"> </w:instrText>
      </w:r>
      <w:r>
        <w:instrText xml:space="preserve">PAGEREF _Toc228206137 \h</w:instrText>
      </w:r>
      <w:r>
        <w:rPr>
          <w:rFonts w:hint="eastAsia"/>
        </w:rPr>
        <w:instrText xml:space="preserve"> </w:instrText>
      </w:r>
      <w:r>
        <w:rPr>
          <w:rFonts w:hint="eastAsia"/>
        </w:rPr>
        <w:fldChar w:fldCharType="separate"/>
      </w:r>
      <w:r>
        <w:t>96</w:t>
      </w:r>
      <w:r>
        <w:rPr>
          <w:rFonts w:hint="eastAsia"/>
        </w:rPr>
        <w:fldChar w:fldCharType="end"/>
      </w:r>
      <w:r>
        <w:rPr>
          <w:rFonts w:hint="eastAsia"/>
        </w:rPr>
        <w:fldChar w:fldCharType="end"/>
      </w:r>
    </w:p>
    <w:p w14:paraId="2D10B943">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"_Toc228206138" </w:instrText>
      </w:r>
      <w:r>
        <w:fldChar w:fldCharType="separate"/>
      </w:r>
      <w:r>
        <w:rPr>
          <w:rStyle w:val="26"/>
          <w:rFonts w:hint="eastAsia"/>
        </w:rPr>
        <w:t>第二节 发展文化事业产业</w:t>
      </w:r>
      <w:r>
        <w:rPr>
          <w:rFonts w:hint="eastAsia"/>
        </w:rPr>
        <w:tab/>
      </w:r>
      <w:r>
        <w:rPr>
          <w:rFonts w:hint="eastAsia"/>
        </w:rPr>
        <w:fldChar w:fldCharType="begin"/>
      </w:r>
      <w:r>
        <w:rPr>
          <w:rFonts w:hint="eastAsia"/>
        </w:rPr>
        <w:instrText xml:space="preserve"> </w:instrText>
      </w:r>
      <w:r>
        <w:instrText xml:space="preserve">PAGEREF _Toc228206138 \h</w:instrText>
      </w:r>
      <w:r>
        <w:rPr>
          <w:rFonts w:hint="eastAsia"/>
        </w:rPr>
        <w:instrText xml:space="preserve"> </w:instrText>
      </w:r>
      <w:r>
        <w:rPr>
          <w:rFonts w:hint="eastAsia"/>
        </w:rPr>
        <w:fldChar w:fldCharType="separate"/>
      </w:r>
      <w:r>
        <w:t>98</w:t>
      </w:r>
      <w:r>
        <w:rPr>
          <w:rFonts w:hint="eastAsia"/>
        </w:rPr>
        <w:fldChar w:fldCharType="end"/>
      </w:r>
      <w:r>
        <w:rPr>
          <w:rFonts w:hint="eastAsia"/>
        </w:rPr>
        <w:fldChar w:fldCharType="end"/>
      </w:r>
    </w:p>
    <w:p w14:paraId="75A01AE6">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"_Toc228206139" </w:instrText>
      </w:r>
      <w:r>
        <w:fldChar w:fldCharType="separate"/>
      </w:r>
      <w:r>
        <w:rPr>
          <w:rStyle w:val="26"/>
          <w:rFonts w:hint="eastAsia"/>
        </w:rPr>
        <w:t>第三节 做优做强旅游产业</w:t>
      </w:r>
      <w:r>
        <w:rPr>
          <w:rFonts w:hint="eastAsia"/>
        </w:rPr>
        <w:tab/>
      </w:r>
      <w:r>
        <w:rPr>
          <w:rFonts w:hint="eastAsia"/>
        </w:rPr>
        <w:fldChar w:fldCharType="begin"/>
      </w:r>
      <w:r>
        <w:rPr>
          <w:rFonts w:hint="eastAsia"/>
        </w:rPr>
        <w:instrText xml:space="preserve"> </w:instrText>
      </w:r>
      <w:r>
        <w:instrText xml:space="preserve">PAGEREF _Toc228206139 \h</w:instrText>
      </w:r>
      <w:r>
        <w:rPr>
          <w:rFonts w:hint="eastAsia"/>
        </w:rPr>
        <w:instrText xml:space="preserve"> </w:instrText>
      </w:r>
      <w:r>
        <w:rPr>
          <w:rFonts w:hint="eastAsia"/>
        </w:rPr>
        <w:fldChar w:fldCharType="separate"/>
      </w:r>
      <w:r>
        <w:t>100</w:t>
      </w:r>
      <w:r>
        <w:rPr>
          <w:rFonts w:hint="eastAsia"/>
        </w:rPr>
        <w:fldChar w:fldCharType="end"/>
      </w:r>
      <w:r>
        <w:rPr>
          <w:rFonts w:hint="eastAsia"/>
        </w:rPr>
        <w:fldChar w:fldCharType="end"/>
      </w:r>
    </w:p>
    <w:p w14:paraId="1A34E869">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"_Toc228206140" </w:instrText>
      </w:r>
      <w:r>
        <w:fldChar w:fldCharType="separate"/>
      </w:r>
      <w:r>
        <w:rPr>
          <w:rStyle w:val="26"/>
          <w:rFonts w:hint="eastAsia"/>
        </w:rPr>
        <w:t>第四节 推进体育全面发展</w:t>
      </w:r>
      <w:r>
        <w:rPr>
          <w:rFonts w:hint="eastAsia"/>
        </w:rPr>
        <w:tab/>
      </w:r>
      <w:r>
        <w:rPr>
          <w:rFonts w:hint="eastAsia"/>
        </w:rPr>
        <w:fldChar w:fldCharType="begin"/>
      </w:r>
      <w:r>
        <w:rPr>
          <w:rFonts w:hint="eastAsia"/>
        </w:rPr>
        <w:instrText xml:space="preserve"> </w:instrText>
      </w:r>
      <w:r>
        <w:instrText xml:space="preserve">PAGEREF _Toc228206140 \h</w:instrText>
      </w:r>
      <w:r>
        <w:rPr>
          <w:rFonts w:hint="eastAsia"/>
        </w:rPr>
        <w:instrText xml:space="preserve"> </w:instrText>
      </w:r>
      <w:r>
        <w:rPr>
          <w:rFonts w:hint="eastAsia"/>
        </w:rPr>
        <w:fldChar w:fldCharType="separate"/>
      </w:r>
      <w:r>
        <w:t>103</w:t>
      </w:r>
      <w:r>
        <w:rPr>
          <w:rFonts w:hint="eastAsia"/>
        </w:rPr>
        <w:fldChar w:fldCharType="end"/>
      </w:r>
      <w:r>
        <w:rPr>
          <w:rFonts w:hint="eastAsia"/>
        </w:rPr>
        <w:fldChar w:fldCharType="end"/>
      </w:r>
    </w:p>
    <w:p w14:paraId="7AC4CB8C">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"_Toc228206141" </w:instrText>
      </w:r>
      <w:r>
        <w:fldChar w:fldCharType="separate"/>
      </w:r>
      <w:r>
        <w:rPr>
          <w:rStyle w:val="26"/>
          <w:rFonts w:hint="eastAsia"/>
        </w:rPr>
        <w:t>第五节 扩容提质现代商贸</w:t>
      </w:r>
      <w:r>
        <w:rPr>
          <w:rFonts w:hint="eastAsia"/>
        </w:rPr>
        <w:tab/>
      </w:r>
      <w:r>
        <w:rPr>
          <w:rFonts w:hint="eastAsia"/>
        </w:rPr>
        <w:fldChar w:fldCharType="begin"/>
      </w:r>
      <w:r>
        <w:rPr>
          <w:rFonts w:hint="eastAsia"/>
        </w:rPr>
        <w:instrText xml:space="preserve"> </w:instrText>
      </w:r>
      <w:r>
        <w:instrText xml:space="preserve">PAGEREF _Toc228206141 \h</w:instrText>
      </w:r>
      <w:r>
        <w:rPr>
          <w:rFonts w:hint="eastAsia"/>
        </w:rPr>
        <w:instrText xml:space="preserve"> </w:instrText>
      </w:r>
      <w:r>
        <w:rPr>
          <w:rFonts w:hint="eastAsia"/>
        </w:rPr>
        <w:fldChar w:fldCharType="separate"/>
      </w:r>
      <w:r>
        <w:t>104</w:t>
      </w:r>
      <w:r>
        <w:rPr>
          <w:rFonts w:hint="eastAsia"/>
        </w:rPr>
        <w:fldChar w:fldCharType="end"/>
      </w:r>
      <w:r>
        <w:rPr>
          <w:rFonts w:hint="eastAsia"/>
        </w:rPr>
        <w:fldChar w:fldCharType="end"/>
      </w:r>
    </w:p>
    <w:p w14:paraId="6AC1BE08">
      <w:pPr>
        <w:pStyle w:val="16"/>
        <w:rPr>
          <w:rFonts w:asciiTheme="minorHAnsi" w:hAnsiTheme="minorHAnsi" w:eastAsiaTheme="minorEastAsia"/>
          <w:color w:val="auto"/>
          <w:sz w:val="22"/>
          <w14:ligatures w14:val="standardContextual"/>
        </w:rPr>
      </w:pPr>
      <w:r>
        <w:fldChar w:fldCharType="begin"/>
      </w:r>
      <w:r>
        <w:instrText xml:space="preserve"> HYPERLINK \l "_Toc228206142" </w:instrText>
      </w:r>
      <w:r>
        <w:fldChar w:fldCharType="separate"/>
      </w:r>
      <w:r>
        <w:rPr>
          <w:rStyle w:val="26"/>
          <w:rFonts w:hint="eastAsia"/>
        </w:rPr>
        <w:t>第十六章 坚持民生优先，携手迈向共同富裕道路</w:t>
      </w:r>
      <w:r>
        <w:rPr>
          <w:rFonts w:hint="eastAsia"/>
        </w:rPr>
        <w:tab/>
      </w:r>
      <w:r>
        <w:rPr>
          <w:rFonts w:hint="eastAsia"/>
        </w:rPr>
        <w:fldChar w:fldCharType="begin"/>
      </w:r>
      <w:r>
        <w:rPr>
          <w:rFonts w:hint="eastAsia"/>
        </w:rPr>
        <w:instrText xml:space="preserve"> </w:instrText>
      </w:r>
      <w:r>
        <w:instrText xml:space="preserve">PAGEREF _Toc228206142 \h</w:instrText>
      </w:r>
      <w:r>
        <w:rPr>
          <w:rFonts w:hint="eastAsia"/>
        </w:rPr>
        <w:instrText xml:space="preserve"> </w:instrText>
      </w:r>
      <w:r>
        <w:rPr>
          <w:rFonts w:hint="eastAsia"/>
        </w:rPr>
        <w:fldChar w:fldCharType="separate"/>
      </w:r>
      <w:r>
        <w:t>107</w:t>
      </w:r>
      <w:r>
        <w:rPr>
          <w:rFonts w:hint="eastAsia"/>
        </w:rPr>
        <w:fldChar w:fldCharType="end"/>
      </w:r>
      <w:r>
        <w:rPr>
          <w:rFonts w:hint="eastAsia"/>
        </w:rPr>
        <w:fldChar w:fldCharType="end"/>
      </w:r>
    </w:p>
    <w:p w14:paraId="25A422A2">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"_Toc228206143" </w:instrText>
      </w:r>
      <w:r>
        <w:fldChar w:fldCharType="separate"/>
      </w:r>
      <w:r>
        <w:rPr>
          <w:rStyle w:val="26"/>
          <w:rFonts w:hint="eastAsia"/>
        </w:rPr>
        <w:t>第一节 促进就业与增收致富</w:t>
      </w:r>
      <w:r>
        <w:rPr>
          <w:rFonts w:hint="eastAsia"/>
        </w:rPr>
        <w:tab/>
      </w:r>
      <w:r>
        <w:rPr>
          <w:rFonts w:hint="eastAsia"/>
        </w:rPr>
        <w:fldChar w:fldCharType="begin"/>
      </w:r>
      <w:r>
        <w:rPr>
          <w:rFonts w:hint="eastAsia"/>
        </w:rPr>
        <w:instrText xml:space="preserve"> </w:instrText>
      </w:r>
      <w:r>
        <w:instrText xml:space="preserve">PAGEREF _Toc228206143 \h</w:instrText>
      </w:r>
      <w:r>
        <w:rPr>
          <w:rFonts w:hint="eastAsia"/>
        </w:rPr>
        <w:instrText xml:space="preserve"> </w:instrText>
      </w:r>
      <w:r>
        <w:rPr>
          <w:rFonts w:hint="eastAsia"/>
        </w:rPr>
        <w:fldChar w:fldCharType="separate"/>
      </w:r>
      <w:r>
        <w:t>107</w:t>
      </w:r>
      <w:r>
        <w:rPr>
          <w:rFonts w:hint="eastAsia"/>
        </w:rPr>
        <w:fldChar w:fldCharType="end"/>
      </w:r>
      <w:r>
        <w:rPr>
          <w:rFonts w:hint="eastAsia"/>
        </w:rPr>
        <w:fldChar w:fldCharType="end"/>
      </w:r>
    </w:p>
    <w:p w14:paraId="24D15FA5">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"_Toc228206144" </w:instrText>
      </w:r>
      <w:r>
        <w:fldChar w:fldCharType="separate"/>
      </w:r>
      <w:r>
        <w:rPr>
          <w:rStyle w:val="26"/>
          <w:rFonts w:hint="eastAsia"/>
        </w:rPr>
        <w:t>第二节 推进“健康莫力达瓦”建设</w:t>
      </w:r>
      <w:r>
        <w:rPr>
          <w:rFonts w:hint="eastAsia"/>
        </w:rPr>
        <w:tab/>
      </w:r>
      <w:r>
        <w:rPr>
          <w:rFonts w:hint="eastAsia"/>
        </w:rPr>
        <w:fldChar w:fldCharType="begin"/>
      </w:r>
      <w:r>
        <w:rPr>
          <w:rFonts w:hint="eastAsia"/>
        </w:rPr>
        <w:instrText xml:space="preserve"> </w:instrText>
      </w:r>
      <w:r>
        <w:instrText xml:space="preserve">PAGEREF _Toc228206144 \h</w:instrText>
      </w:r>
      <w:r>
        <w:rPr>
          <w:rFonts w:hint="eastAsia"/>
        </w:rPr>
        <w:instrText xml:space="preserve"> </w:instrText>
      </w:r>
      <w:r>
        <w:rPr>
          <w:rFonts w:hint="eastAsia"/>
        </w:rPr>
        <w:fldChar w:fldCharType="separate"/>
      </w:r>
      <w:r>
        <w:t>110</w:t>
      </w:r>
      <w:r>
        <w:rPr>
          <w:rFonts w:hint="eastAsia"/>
        </w:rPr>
        <w:fldChar w:fldCharType="end"/>
      </w:r>
      <w:r>
        <w:rPr>
          <w:rFonts w:hint="eastAsia"/>
        </w:rPr>
        <w:fldChar w:fldCharType="end"/>
      </w:r>
    </w:p>
    <w:p w14:paraId="0F4EF8AA">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"_Toc228206145" </w:instrText>
      </w:r>
      <w:r>
        <w:fldChar w:fldCharType="separate"/>
      </w:r>
      <w:r>
        <w:rPr>
          <w:rStyle w:val="26"/>
          <w:rFonts w:hint="eastAsia"/>
        </w:rPr>
        <w:t>第三节 推动人口长期均衡发展</w:t>
      </w:r>
      <w:r>
        <w:rPr>
          <w:rFonts w:hint="eastAsia"/>
        </w:rPr>
        <w:tab/>
      </w:r>
      <w:r>
        <w:rPr>
          <w:rFonts w:hint="eastAsia"/>
        </w:rPr>
        <w:fldChar w:fldCharType="begin"/>
      </w:r>
      <w:r>
        <w:rPr>
          <w:rFonts w:hint="eastAsia"/>
        </w:rPr>
        <w:instrText xml:space="preserve"> </w:instrText>
      </w:r>
      <w:r>
        <w:instrText xml:space="preserve">PAGEREF _Toc228206145 \h</w:instrText>
      </w:r>
      <w:r>
        <w:rPr>
          <w:rFonts w:hint="eastAsia"/>
        </w:rPr>
        <w:instrText xml:space="preserve"> </w:instrText>
      </w:r>
      <w:r>
        <w:rPr>
          <w:rFonts w:hint="eastAsia"/>
        </w:rPr>
        <w:fldChar w:fldCharType="separate"/>
      </w:r>
      <w:r>
        <w:t>112</w:t>
      </w:r>
      <w:r>
        <w:rPr>
          <w:rFonts w:hint="eastAsia"/>
        </w:rPr>
        <w:fldChar w:fldCharType="end"/>
      </w:r>
      <w:r>
        <w:rPr>
          <w:rFonts w:hint="eastAsia"/>
        </w:rPr>
        <w:fldChar w:fldCharType="end"/>
      </w:r>
    </w:p>
    <w:p w14:paraId="63A63C51">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"_Toc228206146" </w:instrText>
      </w:r>
      <w:r>
        <w:fldChar w:fldCharType="separate"/>
      </w:r>
      <w:r>
        <w:rPr>
          <w:rStyle w:val="26"/>
          <w:rFonts w:hint="eastAsia"/>
        </w:rPr>
        <w:t>第四节 健全多层次社会保障体系</w:t>
      </w:r>
      <w:r>
        <w:rPr>
          <w:rFonts w:hint="eastAsia"/>
        </w:rPr>
        <w:tab/>
      </w:r>
      <w:r>
        <w:rPr>
          <w:rFonts w:hint="eastAsia"/>
        </w:rPr>
        <w:fldChar w:fldCharType="begin"/>
      </w:r>
      <w:r>
        <w:rPr>
          <w:rFonts w:hint="eastAsia"/>
        </w:rPr>
        <w:instrText xml:space="preserve"> </w:instrText>
      </w:r>
      <w:r>
        <w:instrText xml:space="preserve">PAGEREF _Toc228206146 \h</w:instrText>
      </w:r>
      <w:r>
        <w:rPr>
          <w:rFonts w:hint="eastAsia"/>
        </w:rPr>
        <w:instrText xml:space="preserve"> </w:instrText>
      </w:r>
      <w:r>
        <w:rPr>
          <w:rFonts w:hint="eastAsia"/>
        </w:rPr>
        <w:fldChar w:fldCharType="separate"/>
      </w:r>
      <w:r>
        <w:t>114</w:t>
      </w:r>
      <w:r>
        <w:rPr>
          <w:rFonts w:hint="eastAsia"/>
        </w:rPr>
        <w:fldChar w:fldCharType="end"/>
      </w:r>
      <w:r>
        <w:rPr>
          <w:rFonts w:hint="eastAsia"/>
        </w:rPr>
        <w:fldChar w:fldCharType="end"/>
      </w:r>
    </w:p>
    <w:p w14:paraId="7B64CFDB">
      <w:pPr>
        <w:pStyle w:val="16"/>
        <w:rPr>
          <w:rFonts w:asciiTheme="minorHAnsi" w:hAnsiTheme="minorHAnsi" w:eastAsiaTheme="minorEastAsia"/>
          <w:color w:val="auto"/>
          <w:sz w:val="22"/>
          <w14:ligatures w14:val="standardContextual"/>
        </w:rPr>
      </w:pPr>
      <w:r>
        <w:fldChar w:fldCharType="begin"/>
      </w:r>
      <w:r>
        <w:instrText xml:space="preserve"> HYPERLINK \l "_Toc228206147" </w:instrText>
      </w:r>
      <w:r>
        <w:fldChar w:fldCharType="separate"/>
      </w:r>
      <w:r>
        <w:rPr>
          <w:rStyle w:val="26"/>
          <w:rFonts w:hint="eastAsia"/>
        </w:rPr>
        <w:t>第十七章 强化实施保障，确保规划蓝图全面落实</w:t>
      </w:r>
      <w:r>
        <w:rPr>
          <w:rFonts w:hint="eastAsia"/>
        </w:rPr>
        <w:tab/>
      </w:r>
      <w:r>
        <w:rPr>
          <w:rFonts w:hint="eastAsia"/>
        </w:rPr>
        <w:fldChar w:fldCharType="begin"/>
      </w:r>
      <w:r>
        <w:rPr>
          <w:rFonts w:hint="eastAsia"/>
        </w:rPr>
        <w:instrText xml:space="preserve"> </w:instrText>
      </w:r>
      <w:r>
        <w:instrText xml:space="preserve">PAGEREF _Toc228206147 \h</w:instrText>
      </w:r>
      <w:r>
        <w:rPr>
          <w:rFonts w:hint="eastAsia"/>
        </w:rPr>
        <w:instrText xml:space="preserve"> </w:instrText>
      </w:r>
      <w:r>
        <w:rPr>
          <w:rFonts w:hint="eastAsia"/>
        </w:rPr>
        <w:fldChar w:fldCharType="separate"/>
      </w:r>
      <w:r>
        <w:t>118</w:t>
      </w:r>
      <w:r>
        <w:rPr>
          <w:rFonts w:hint="eastAsia"/>
        </w:rPr>
        <w:fldChar w:fldCharType="end"/>
      </w:r>
      <w:r>
        <w:rPr>
          <w:rFonts w:hint="eastAsia"/>
        </w:rPr>
        <w:fldChar w:fldCharType="end"/>
      </w:r>
    </w:p>
    <w:p w14:paraId="6586FBFE">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"_Toc228206148" </w:instrText>
      </w:r>
      <w:r>
        <w:fldChar w:fldCharType="separate"/>
      </w:r>
      <w:r>
        <w:rPr>
          <w:rStyle w:val="26"/>
          <w:rFonts w:hint="eastAsia"/>
        </w:rPr>
        <w:t>第一节 加强党的全面领导</w:t>
      </w:r>
      <w:r>
        <w:rPr>
          <w:rFonts w:hint="eastAsia"/>
        </w:rPr>
        <w:tab/>
      </w:r>
      <w:r>
        <w:rPr>
          <w:rFonts w:hint="eastAsia"/>
        </w:rPr>
        <w:fldChar w:fldCharType="begin"/>
      </w:r>
      <w:r>
        <w:rPr>
          <w:rFonts w:hint="eastAsia"/>
        </w:rPr>
        <w:instrText xml:space="preserve"> </w:instrText>
      </w:r>
      <w:r>
        <w:instrText xml:space="preserve">PAGEREF _Toc228206148 \h</w:instrText>
      </w:r>
      <w:r>
        <w:rPr>
          <w:rFonts w:hint="eastAsia"/>
        </w:rPr>
        <w:instrText xml:space="preserve"> </w:instrText>
      </w:r>
      <w:r>
        <w:rPr>
          <w:rFonts w:hint="eastAsia"/>
        </w:rPr>
        <w:fldChar w:fldCharType="separate"/>
      </w:r>
      <w:r>
        <w:t>118</w:t>
      </w:r>
      <w:r>
        <w:rPr>
          <w:rFonts w:hint="eastAsia"/>
        </w:rPr>
        <w:fldChar w:fldCharType="end"/>
      </w:r>
      <w:r>
        <w:rPr>
          <w:rFonts w:hint="eastAsia"/>
        </w:rPr>
        <w:fldChar w:fldCharType="end"/>
      </w:r>
    </w:p>
    <w:p w14:paraId="067E2DCC">
      <w:pPr>
        <w:pStyle w:val="19"/>
        <w:ind w:firstLine="640"/>
        <w:rPr>
          <w:rFonts w:asciiTheme="minorHAnsi" w:hAnsiTheme="minorHAnsi" w:eastAsiaTheme="minorEastAsia"/>
          <w:color w:val="auto"/>
          <w:sz w:val="22"/>
          <w14:ligatures w14:val="standardContextual"/>
        </w:rPr>
      </w:pPr>
      <w:r>
        <w:fldChar w:fldCharType="begin"/>
      </w:r>
      <w:r>
        <w:instrText xml:space="preserve"> HYPERLINK \l "_Toc228206149" </w:instrText>
      </w:r>
      <w:r>
        <w:fldChar w:fldCharType="separate"/>
      </w:r>
      <w:r>
        <w:rPr>
          <w:rStyle w:val="26"/>
          <w:rFonts w:hint="eastAsia"/>
        </w:rPr>
        <w:t>第二节 全力推动规划落地实施</w:t>
      </w:r>
      <w:r>
        <w:rPr>
          <w:rFonts w:hint="eastAsia"/>
        </w:rPr>
        <w:tab/>
      </w:r>
      <w:r>
        <w:rPr>
          <w:rFonts w:hint="eastAsia"/>
        </w:rPr>
        <w:fldChar w:fldCharType="begin"/>
      </w:r>
      <w:r>
        <w:rPr>
          <w:rFonts w:hint="eastAsia"/>
        </w:rPr>
        <w:instrText xml:space="preserve"> </w:instrText>
      </w:r>
      <w:r>
        <w:instrText xml:space="preserve">PAGEREF _Toc228206149 \h</w:instrText>
      </w:r>
      <w:r>
        <w:rPr>
          <w:rFonts w:hint="eastAsia"/>
        </w:rPr>
        <w:instrText xml:space="preserve"> </w:instrText>
      </w:r>
      <w:r>
        <w:rPr>
          <w:rFonts w:hint="eastAsia"/>
        </w:rPr>
        <w:fldChar w:fldCharType="separate"/>
      </w:r>
      <w:r>
        <w:t>119</w:t>
      </w:r>
      <w:r>
        <w:rPr>
          <w:rFonts w:hint="eastAsia"/>
        </w:rPr>
        <w:fldChar w:fldCharType="end"/>
      </w:r>
      <w:r>
        <w:rPr>
          <w:rFonts w:hint="eastAsia"/>
        </w:rPr>
        <w:fldChar w:fldCharType="end"/>
      </w:r>
    </w:p>
    <w:p w14:paraId="31AF9B84">
      <w:pPr>
        <w:pStyle w:val="4"/>
        <w:spacing w:before="312" w:after="312"/>
        <w:ind w:firstLine="640"/>
        <w:sectPr>
          <w:footerReference r:id="rId9" w:type="default"/>
          <w:footerReference r:id="rId10" w:type="even"/>
          <w:pgSz w:w="11906" w:h="16838"/>
          <w:pgMar w:top="1440" w:right="1800" w:bottom="1440" w:left="1800" w:header="851" w:footer="992" w:gutter="0"/>
          <w:pgNumType w:fmt="upperRoman" w:start="1"/>
          <w:cols w:space="425" w:num="1"/>
          <w:docGrid w:type="lines" w:linePitch="312" w:charSpace="0"/>
        </w:sectPr>
      </w:pPr>
      <w:r>
        <w:fldChar w:fldCharType="end"/>
      </w:r>
    </w:p>
    <w:p w14:paraId="38EDD778">
      <w:pPr>
        <w:ind w:firstLine="640"/>
        <w:rPr>
          <w:szCs w:val="28"/>
        </w:rPr>
      </w:pPr>
      <w:r>
        <w:rPr>
          <w:rFonts w:hint="eastAsia"/>
          <w:szCs w:val="28"/>
        </w:rPr>
        <w:t>“十五五”时期是以中国式现代化全面推进强国建设、民族复兴伟业的关键时期，也是我旗高质量发展、推进乡村全面振兴的关键时期。根据《呼伦贝尔市国民经济和社会发展第十五个五年规划纲要》《中共莫力达瓦达斡尔族自治旗委员会关于编制莫力达瓦达斡尔族自治旗国民经济和社会发展第十五个五年规划的建议》，编制《莫力达瓦达斡尔族自治旗国民经济和社会发展第十五个五年规划纲要》（以下简称《纲要</w:t>
      </w:r>
      <w:r>
        <w:rPr>
          <w:rFonts w:hint="eastAsia"/>
          <w:szCs w:val="28"/>
          <w:lang w:eastAsia="zh-CN"/>
        </w:rPr>
        <w:t>》）</w:t>
      </w:r>
      <w:r>
        <w:rPr>
          <w:rFonts w:hint="eastAsia"/>
          <w:szCs w:val="28"/>
        </w:rPr>
        <w:t>。本《纲要》是全旗人民共同的行动纲领，系统阐明了未来五年的发展战略、奋斗目标、重点任务和重大举措，是奋力书写中国式现代化莫旗新篇章的纲领性文件。</w:t>
      </w:r>
    </w:p>
    <w:p w14:paraId="176FD922">
      <w:pPr>
        <w:pStyle w:val="4"/>
        <w:spacing w:before="312" w:after="312"/>
      </w:pPr>
      <w:bookmarkStart w:id="0" w:name="_Toc228206067"/>
      <w:r>
        <w:rPr>
          <w:rFonts w:hint="eastAsia"/>
        </w:rPr>
        <w:t>第一章 回顾奋斗历程，科学研判发展时代方位</w:t>
      </w:r>
      <w:bookmarkEnd w:id="0"/>
    </w:p>
    <w:p w14:paraId="38E9AC38">
      <w:pPr>
        <w:spacing w:before="312" w:after="312"/>
        <w:ind w:firstLine="640"/>
      </w:pPr>
      <w:r>
        <w:rPr>
          <w:rFonts w:hint="eastAsia"/>
        </w:rPr>
        <w:t>“十四五”时期，面对艰巨繁重的改革发展稳定任务和新冠疫情严重冲击，莫旗委、旗政府团结带领全旗各族人民，以习近平新时代中国特色社会主义思想为指导，深入贯彻党的二十大和二十届历次全会精神，深入落实习近平总书记对内蒙古系列重要讲话重要指示精神，以铸牢中华民族共同体意识为主线，凝聚共识谋划推进“三大基地”建设，实施一系列夯基固本的重点工程，引领经济社会发展保持稳中有进、稳中向好发展态势。</w:t>
      </w:r>
    </w:p>
    <w:p w14:paraId="7780A307">
      <w:pPr>
        <w:pStyle w:val="5"/>
        <w:spacing w:before="156" w:after="156"/>
      </w:pPr>
      <w:bookmarkStart w:id="1" w:name="_Toc228206068"/>
      <w:r>
        <w:rPr>
          <w:rFonts w:hint="eastAsia"/>
        </w:rPr>
        <w:t>第一节 “十四五”发展成就</w:t>
      </w:r>
      <w:bookmarkEnd w:id="1"/>
    </w:p>
    <w:p w14:paraId="1CFB36B6">
      <w:pPr>
        <w:ind w:firstLine="643"/>
        <w:rPr>
          <w:rFonts w:cs="Times New Roman"/>
          <w:szCs w:val="28"/>
        </w:rPr>
      </w:pPr>
      <w:r>
        <w:rPr>
          <w:rFonts w:hint="eastAsia" w:cs="Times New Roman"/>
          <w:b/>
          <w:bCs/>
          <w:szCs w:val="28"/>
        </w:rPr>
        <w:t>综合实力跨越赶超。</w:t>
      </w:r>
      <w:r>
        <w:rPr>
          <w:rFonts w:hint="eastAsia" w:cs="Times New Roman"/>
          <w:szCs w:val="28"/>
        </w:rPr>
        <w:t>“十四五”以来，全旗综合实力稳步增强，地区生产总值由90.09亿元增长至134.66亿元，年均增长6.0%，连续五年突破百亿元大关。限额以上固定资产投资累计完成189.7亿元，年均增长15.8%，实现在高基数基础上保持高位增长。全体居民人均可支配收入由15964元增长至22303元，增长39.71%；城镇、农村居民人均可支配收入分别达到</w:t>
      </w:r>
      <w:r>
        <w:rPr>
          <w:rFonts w:cs="Times New Roman"/>
          <w:szCs w:val="28"/>
        </w:rPr>
        <w:t>33</w:t>
      </w:r>
      <w:r>
        <w:rPr>
          <w:rFonts w:hint="eastAsia" w:cs="Times New Roman"/>
          <w:szCs w:val="28"/>
        </w:rPr>
        <w:t>674元和</w:t>
      </w:r>
      <w:r>
        <w:rPr>
          <w:rFonts w:cs="Times New Roman"/>
          <w:szCs w:val="28"/>
        </w:rPr>
        <w:t>18</w:t>
      </w:r>
      <w:r>
        <w:rPr>
          <w:rFonts w:hint="eastAsia" w:cs="Times New Roman"/>
          <w:szCs w:val="28"/>
        </w:rPr>
        <w:t>285元，年均增长分别为4.7%和6.8%。一般公共预算收入达到3.2亿元，年均增长5.7%。</w:t>
      </w:r>
    </w:p>
    <w:p w14:paraId="6C6E9EA2">
      <w:pPr>
        <w:ind w:firstLine="643"/>
        <w:rPr>
          <w:rFonts w:cs="Times New Roman"/>
          <w:szCs w:val="28"/>
        </w:rPr>
      </w:pPr>
      <w:r>
        <w:rPr>
          <w:rFonts w:hint="eastAsia" w:cs="Times New Roman"/>
          <w:b/>
          <w:bCs/>
          <w:szCs w:val="28"/>
        </w:rPr>
        <w:t>产业发展势头良好。</w:t>
      </w:r>
      <w:r>
        <w:rPr>
          <w:rFonts w:hint="eastAsia" w:cs="Times New Roman"/>
          <w:szCs w:val="28"/>
        </w:rPr>
        <w:t>农牧产业增量增质，根据农情调度，粮食播种面积达840万亩以上，粮食产量突破40亿斤大关，实现“二十三连丰”；累计建成高标准农田136万亩，实施黑土地保护性耕作1860.63万亩，获评“全国休闲农业重点县”“国家级大豆制种大县”，国家现代农业产业园获批建设。传统产业优化升级，沃丰大豆食品粕、毛油生产加工线正式启动，主要农畜产品加工转化率达到78.2%。建成呼伦贝尔市“规模最大、产值领先”的呼伦贝尔大红门肉类食品有限公司，累计屠宰生猪128.13万头，综合产值达24.4亿元。新兴产业聚势赋能，新能源总装机容量达到120万千瓦，国家第一批“沙戈荒”风光大基地华能蒙东伊穆直流外送岭东100万千瓦风光项目暨莫旗50万千瓦风光工程、国家第三批“沙戈荒”风光大基地国能蒙东莫旗60万千瓦风电基地项目成功并网发电。</w:t>
      </w:r>
    </w:p>
    <w:p w14:paraId="6AC8A7BB">
      <w:pPr>
        <w:ind w:firstLine="643"/>
        <w:rPr>
          <w:rFonts w:cs="Times New Roman"/>
          <w:szCs w:val="28"/>
        </w:rPr>
      </w:pPr>
      <w:r>
        <w:rPr>
          <w:rFonts w:hint="eastAsia" w:cs="Times New Roman"/>
          <w:b/>
          <w:bCs/>
          <w:szCs w:val="28"/>
        </w:rPr>
        <w:t>科技创新加快突围。</w:t>
      </w:r>
      <w:r>
        <w:rPr>
          <w:rFonts w:hint="eastAsia" w:cs="Times New Roman"/>
          <w:szCs w:val="28"/>
        </w:rPr>
        <w:t>“十四五”以来，累计新增自治区级高新技术企业5家、科技型企业12家、众创空间1个、星创天地2个，累计成功申报自治区级科技成果转化专项2个、呼伦贝尔市级应用技术研究与开发专项8个。成立科技服务站2家，引进“三区”科技人才12名，实现全旗15个乡镇科技特派员全覆盖。完成9.4万亩国家生物育种试点任务，大豆新品种鑫兴12、鑫兴15通过自治区审定。培育大豆新品种14个，其中直接参与审定11个，品种转让3个。</w:t>
      </w:r>
    </w:p>
    <w:p w14:paraId="2ED7ACF1">
      <w:pPr>
        <w:ind w:firstLine="643"/>
        <w:rPr>
          <w:rFonts w:cs="Times New Roman"/>
          <w:szCs w:val="36"/>
          <w:shd w:val="clear" w:color="auto" w:fill="FFFFFF"/>
        </w:rPr>
      </w:pPr>
      <w:r>
        <w:rPr>
          <w:rFonts w:hint="eastAsia" w:cs="Times New Roman"/>
          <w:b/>
          <w:bCs/>
          <w:szCs w:val="28"/>
        </w:rPr>
        <w:t>改革开放持续深化。</w:t>
      </w:r>
      <w:r>
        <w:rPr>
          <w:rFonts w:hint="eastAsia" w:cs="Times New Roman"/>
          <w:szCs w:val="28"/>
        </w:rPr>
        <w:t>国有企业改革三年行动成效明显，顺利实现水利抗旱服务队改制重组，国有粮库混合所有制改革有序推进，旗城投、文旅投、粮投等国有企业运营机制、内控机制进一步完善。</w:t>
      </w:r>
      <w:bookmarkStart w:id="2" w:name="_Hlk219218334"/>
      <w:r>
        <w:rPr>
          <w:rFonts w:hint="eastAsia" w:cs="Times New Roman"/>
          <w:szCs w:val="28"/>
        </w:rPr>
        <w:t>营商环境持续优化，政务服务全程网办率达86.9%、网办承诺时限缩减比例达86.7</w:t>
      </w:r>
      <w:r>
        <w:rPr>
          <w:rFonts w:cs="Times New Roman"/>
          <w:szCs w:val="28"/>
        </w:rPr>
        <w:t>%</w:t>
      </w:r>
      <w:r>
        <w:rPr>
          <w:rFonts w:hint="eastAsia" w:cs="Times New Roman"/>
          <w:szCs w:val="28"/>
        </w:rPr>
        <w:t>，2025年实有各类经营主体较2020年增长87.3%，率先在全市成立“莫旗中小企业咨询服务室”。</w:t>
      </w:r>
      <w:bookmarkEnd w:id="2"/>
      <w:r>
        <w:rPr>
          <w:rFonts w:hint="eastAsia" w:cs="Times New Roman"/>
          <w:szCs w:val="28"/>
        </w:rPr>
        <w:t>开放合作不断扩大，</w:t>
      </w:r>
      <w:r>
        <w:rPr>
          <w:rFonts w:cs="Times New Roman"/>
          <w:szCs w:val="36"/>
          <w:shd w:val="clear" w:color="auto" w:fill="FFFFFF"/>
        </w:rPr>
        <w:t>成功获批自治区第二批县域外经贸</w:t>
      </w:r>
      <w:r>
        <w:rPr>
          <w:rFonts w:hint="eastAsia" w:cs="Times New Roman"/>
          <w:szCs w:val="36"/>
          <w:shd w:val="clear" w:color="auto" w:fill="FFFFFF"/>
        </w:rPr>
        <w:t>“</w:t>
      </w:r>
      <w:r>
        <w:rPr>
          <w:rFonts w:cs="Times New Roman"/>
          <w:szCs w:val="36"/>
          <w:shd w:val="clear" w:color="auto" w:fill="FFFFFF"/>
        </w:rPr>
        <w:t>破零增量</w:t>
      </w:r>
      <w:r>
        <w:rPr>
          <w:rFonts w:hint="eastAsia" w:cs="Times New Roman"/>
          <w:szCs w:val="36"/>
          <w:shd w:val="clear" w:color="auto" w:fill="FFFFFF"/>
        </w:rPr>
        <w:t>”</w:t>
      </w:r>
      <w:r>
        <w:rPr>
          <w:rFonts w:cs="Times New Roman"/>
          <w:szCs w:val="36"/>
          <w:shd w:val="clear" w:color="auto" w:fill="FFFFFF"/>
        </w:rPr>
        <w:t>示范县项目</w:t>
      </w:r>
      <w:r>
        <w:rPr>
          <w:rFonts w:hint="eastAsia" w:cs="Times New Roman"/>
          <w:szCs w:val="36"/>
          <w:shd w:val="clear" w:color="auto" w:fill="FFFFFF"/>
        </w:rPr>
        <w:t>；</w:t>
      </w:r>
      <w:r>
        <w:rPr>
          <w:rFonts w:cs="Times New Roman"/>
          <w:szCs w:val="36"/>
          <w:shd w:val="clear" w:color="auto" w:fill="FFFFFF"/>
        </w:rPr>
        <w:t>京蒙协作不断深化，</w:t>
      </w:r>
      <w:r>
        <w:rPr>
          <w:rFonts w:hint="eastAsia" w:cs="Times New Roman"/>
          <w:szCs w:val="36"/>
          <w:shd w:val="clear" w:color="auto" w:fill="FFFFFF"/>
        </w:rPr>
        <w:t>累计引</w:t>
      </w:r>
      <w:r>
        <w:rPr>
          <w:rFonts w:cs="Times New Roman"/>
          <w:szCs w:val="36"/>
          <w:shd w:val="clear" w:color="auto" w:fill="FFFFFF"/>
        </w:rPr>
        <w:t>入京蒙协作资金</w:t>
      </w:r>
      <w:r>
        <w:rPr>
          <w:rFonts w:hint="eastAsia" w:cs="Times New Roman"/>
          <w:szCs w:val="28"/>
        </w:rPr>
        <w:t>2.95</w:t>
      </w:r>
      <w:r>
        <w:rPr>
          <w:rFonts w:cs="Times New Roman"/>
          <w:szCs w:val="36"/>
          <w:shd w:val="clear" w:color="auto" w:fill="FFFFFF"/>
        </w:rPr>
        <w:t>亿元</w:t>
      </w:r>
      <w:r>
        <w:rPr>
          <w:rFonts w:hint="eastAsia" w:cs="Times New Roman"/>
          <w:szCs w:val="36"/>
          <w:shd w:val="clear" w:color="auto" w:fill="FFFFFF"/>
        </w:rPr>
        <w:t>、</w:t>
      </w:r>
      <w:r>
        <w:rPr>
          <w:rFonts w:cs="Times New Roman"/>
          <w:szCs w:val="36"/>
          <w:shd w:val="clear" w:color="auto" w:fill="FFFFFF"/>
        </w:rPr>
        <w:t>实施项目</w:t>
      </w:r>
      <w:r>
        <w:rPr>
          <w:rFonts w:hint="eastAsia" w:cs="Times New Roman"/>
          <w:szCs w:val="28"/>
        </w:rPr>
        <w:t>121</w:t>
      </w:r>
      <w:r>
        <w:rPr>
          <w:rFonts w:cs="Times New Roman"/>
          <w:szCs w:val="36"/>
          <w:shd w:val="clear" w:color="auto" w:fill="FFFFFF"/>
        </w:rPr>
        <w:t>个</w:t>
      </w:r>
      <w:r>
        <w:rPr>
          <w:rFonts w:hint="eastAsia" w:cs="Times New Roman"/>
          <w:szCs w:val="36"/>
          <w:shd w:val="clear" w:color="auto" w:fill="FFFFFF"/>
        </w:rPr>
        <w:t>，其中京蒙东西部协作帮扶莫旗地区残疾人项目累计投入71.9万元，服务657人次</w:t>
      </w:r>
      <w:r>
        <w:rPr>
          <w:rFonts w:cs="Times New Roman"/>
          <w:szCs w:val="36"/>
          <w:shd w:val="clear" w:color="auto" w:fill="FFFFFF"/>
        </w:rPr>
        <w:t>。</w:t>
      </w:r>
    </w:p>
    <w:p w14:paraId="231264B5">
      <w:pPr>
        <w:ind w:firstLine="643"/>
        <w:rPr>
          <w:rFonts w:cs="Times New Roman"/>
          <w:szCs w:val="28"/>
        </w:rPr>
      </w:pPr>
      <w:r>
        <w:rPr>
          <w:rFonts w:hint="eastAsia" w:cs="Times New Roman"/>
          <w:b/>
          <w:bCs/>
          <w:szCs w:val="28"/>
        </w:rPr>
        <w:t>绿色发展纵深推进。</w:t>
      </w:r>
      <w:bookmarkStart w:id="3" w:name="_Hlk219218264"/>
      <w:r>
        <w:rPr>
          <w:rFonts w:hint="eastAsia" w:cs="Times New Roman"/>
          <w:szCs w:val="28"/>
        </w:rPr>
        <w:t>2025年，森林蓄积量达到585</w:t>
      </w:r>
      <w:r>
        <w:rPr>
          <w:rFonts w:cs="Times New Roman"/>
          <w:szCs w:val="28"/>
        </w:rPr>
        <w:t>.</w:t>
      </w:r>
      <w:r>
        <w:rPr>
          <w:rFonts w:hint="eastAsia" w:cs="Times New Roman"/>
          <w:szCs w:val="28"/>
        </w:rPr>
        <w:t>28万立方米，草原植被覆盖率达</w:t>
      </w:r>
      <w:bookmarkStart w:id="4" w:name="OLE_LINK14"/>
      <w:r>
        <w:rPr>
          <w:rFonts w:hint="eastAsia" w:cs="Times New Roman"/>
          <w:szCs w:val="28"/>
        </w:rPr>
        <w:t>93</w:t>
      </w:r>
      <w:r>
        <w:rPr>
          <w:rFonts w:cs="Times New Roman"/>
          <w:szCs w:val="28"/>
        </w:rPr>
        <w:t>.</w:t>
      </w:r>
      <w:r>
        <w:rPr>
          <w:rFonts w:hint="eastAsia" w:cs="Times New Roman"/>
          <w:szCs w:val="28"/>
        </w:rPr>
        <w:t>5%</w:t>
      </w:r>
      <w:bookmarkEnd w:id="4"/>
      <w:r>
        <w:rPr>
          <w:rFonts w:hint="eastAsia" w:cs="Times New Roman"/>
          <w:szCs w:val="28"/>
        </w:rPr>
        <w:t>，较2020年分别提高55.28万立方米、0.5个百分点。</w:t>
      </w:r>
      <w:bookmarkEnd w:id="3"/>
      <w:r>
        <w:rPr>
          <w:rFonts w:hint="eastAsia" w:cs="Times New Roman"/>
          <w:szCs w:val="28"/>
        </w:rPr>
        <w:t>累计治理侵蚀沟861条，治理水土流失面积232.47平方公里，主要林业有害生物病虫害防治率达100%。成功打造“莫旗耕地碳减排试点县”。2021—2025年，累计68家企业取得排污许可证，完成168项生态环境分区管控相符性研判。城市空气质量优良天数比率均超过91%，2021-2025农业、工业和城镇节水完成目标考核任务，域内国考断面平均水质均达到“十四五”水质目标要求，全域无黑臭水体。生活垃圾处理率达100%，建制镇生活垃圾治理率达80.5％，医疗垃圾无害化处置率达100%，重点建设用地安全利用率达100%。</w:t>
      </w:r>
    </w:p>
    <w:p w14:paraId="13AE2E5A">
      <w:pPr>
        <w:ind w:firstLine="643"/>
        <w:rPr>
          <w:rFonts w:cs="Times New Roman"/>
          <w:szCs w:val="28"/>
        </w:rPr>
      </w:pPr>
      <w:r>
        <w:rPr>
          <w:rFonts w:ascii="楷体" w:hAnsi="楷体" w:eastAsia="楷体" w:cs="Times New Roman"/>
          <w:b/>
          <w:bCs/>
          <w:color w:val="000000"/>
          <w:kern w:val="0"/>
          <w:szCs w:val="36"/>
        </w:rPr>
        <w:t>城乡品质不断提升</w:t>
      </w:r>
      <w:r>
        <w:rPr>
          <w:rFonts w:hint="eastAsia" w:ascii="楷体" w:hAnsi="楷体" w:eastAsia="楷体" w:cs="Times New Roman"/>
          <w:b/>
          <w:bCs/>
          <w:color w:val="000000"/>
          <w:kern w:val="0"/>
          <w:szCs w:val="36"/>
        </w:rPr>
        <w:t>。</w:t>
      </w:r>
      <w:r>
        <w:rPr>
          <w:rFonts w:hint="eastAsia" w:cs="Times New Roman"/>
          <w:szCs w:val="28"/>
        </w:rPr>
        <w:t>省道527线莫力达瓦机场公路、莫旗那吉屯-尼尔基一级公路完工，</w:t>
      </w:r>
      <w:r>
        <w:rPr>
          <w:rFonts w:hint="eastAsia"/>
          <w:szCs w:val="28"/>
        </w:rPr>
        <w:t>G111尼尔基－大杨树一级公路全线贯通。累计新改建农村公路235.29公里，</w:t>
      </w:r>
      <w:r>
        <w:rPr>
          <w:rFonts w:hint="eastAsia" w:cs="Times New Roman"/>
          <w:szCs w:val="28"/>
        </w:rPr>
        <w:t>创建“四好农村路”示范路线3条。莫旗尼尔基机场投入运营，顺利开通莫旗至海拉尔航线。累计完成危房改造626户、老旧小区改造4072户。尼尔基镇污水管网、尼尔基镇给水管网改造工程、尼尔基镇污水处理厂再生水利用管网工程、尼尔基水利枢纽下游内蒙古灌区工程等项目顺利完工。编制完成《莫旗乡村振兴规划（2022—2027年）》。累计投入各级衔接资金10.5亿元，实施项目336个。垃圾收运体系覆盖率达100%。额尔和乡额尔和村获评自治区级美丽乡村称号。</w:t>
      </w:r>
    </w:p>
    <w:p w14:paraId="1C34E7D2">
      <w:pPr>
        <w:ind w:firstLine="643"/>
        <w:rPr>
          <w:rFonts w:cs="Times New Roman"/>
          <w:szCs w:val="28"/>
        </w:rPr>
      </w:pPr>
      <w:bookmarkStart w:id="5" w:name="_Hlk219217237"/>
      <w:r>
        <w:rPr>
          <w:rFonts w:ascii="楷体" w:hAnsi="楷体" w:eastAsia="楷体" w:cs="Times New Roman"/>
          <w:b/>
          <w:bCs/>
          <w:color w:val="000000"/>
          <w:kern w:val="0"/>
          <w:szCs w:val="36"/>
        </w:rPr>
        <w:t>民生福祉日益增进</w:t>
      </w:r>
      <w:bookmarkEnd w:id="5"/>
      <w:r>
        <w:rPr>
          <w:rFonts w:hint="eastAsia" w:ascii="楷体" w:hAnsi="楷体" w:eastAsia="楷体" w:cs="Times New Roman"/>
          <w:b/>
          <w:bCs/>
          <w:color w:val="000000"/>
          <w:kern w:val="0"/>
          <w:szCs w:val="36"/>
        </w:rPr>
        <w:t>。</w:t>
      </w:r>
      <w:r>
        <w:rPr>
          <w:rFonts w:hint="eastAsia"/>
          <w:szCs w:val="28"/>
        </w:rPr>
        <w:t>“十四五”以来，累计新增城镇就业</w:t>
      </w:r>
      <w:r>
        <w:rPr>
          <w:szCs w:val="28"/>
        </w:rPr>
        <w:t>26</w:t>
      </w:r>
      <w:r>
        <w:rPr>
          <w:rFonts w:hint="eastAsia"/>
          <w:szCs w:val="28"/>
        </w:rPr>
        <w:t>24人，莫旗“零工市场”揭牌投入使用，莫力达瓦创业创新园成功获评自治区级示范园。</w:t>
      </w:r>
      <w:bookmarkStart w:id="6" w:name="_Hlk219217248"/>
      <w:r>
        <w:rPr>
          <w:rFonts w:hint="eastAsia"/>
          <w:szCs w:val="28"/>
        </w:rPr>
        <w:t>城乡居民社会养老保险参保缴费率达90%以上，基本医疗保险参保率达104%。</w:t>
      </w:r>
      <w:bookmarkEnd w:id="6"/>
      <w:r>
        <w:rPr>
          <w:rFonts w:hint="eastAsia" w:ascii="仿宋_GB2312" w:hAnsi="仿宋_GB2312" w:cs="仿宋_GB2312"/>
          <w:szCs w:val="32"/>
        </w:rPr>
        <w:t>建成莫旗人民医院急诊急救“五大中心”，实现农村医疗卫生服务全覆盖，采取乡镇卫生院巡诊服务、邻村卫生室延伸服务等方式实现乡村医疗卫生机构和人员“空白点”动态清零</w:t>
      </w:r>
      <w:r>
        <w:rPr>
          <w:rFonts w:hint="eastAsia"/>
          <w:szCs w:val="28"/>
        </w:rPr>
        <w:t>。累计实施教育补短板项目25个，完成投资</w:t>
      </w:r>
      <w:r>
        <w:rPr>
          <w:szCs w:val="28"/>
        </w:rPr>
        <w:t>2.18</w:t>
      </w:r>
      <w:r>
        <w:rPr>
          <w:rFonts w:hint="eastAsia"/>
          <w:szCs w:val="28"/>
        </w:rPr>
        <w:t>亿元，新增学位</w:t>
      </w:r>
      <w:r>
        <w:rPr>
          <w:szCs w:val="28"/>
        </w:rPr>
        <w:t>2398</w:t>
      </w:r>
      <w:r>
        <w:rPr>
          <w:rFonts w:hint="eastAsia"/>
          <w:szCs w:val="28"/>
        </w:rPr>
        <w:t>个；普惠性幼儿园覆盖率达93.0%，成功通过国家义务教育均衡发展验收。文化馆被评定为国家二级文化馆，图书馆获评“国家三级馆”称号。举办男子曲棍球亚洲冠军杯赛等各级赛事活动</w:t>
      </w:r>
      <w:r>
        <w:rPr>
          <w:szCs w:val="28"/>
        </w:rPr>
        <w:t>30</w:t>
      </w:r>
      <w:r>
        <w:rPr>
          <w:rFonts w:hint="eastAsia"/>
          <w:szCs w:val="28"/>
        </w:rPr>
        <w:t>次。</w:t>
      </w:r>
      <w:r>
        <w:rPr>
          <w:rFonts w:hint="eastAsia" w:cs="Times New Roman"/>
          <w:szCs w:val="28"/>
        </w:rPr>
        <w:t>创建全国民族团</w:t>
      </w:r>
      <w:r>
        <w:rPr>
          <w:rFonts w:hint="eastAsia" w:cs="Times New Roman"/>
          <w:spacing w:val="-6"/>
          <w:szCs w:val="28"/>
        </w:rPr>
        <w:t>结进步示范单位1个；成功复创全区、全国民族团结进步示范旗。</w:t>
      </w:r>
    </w:p>
    <w:p w14:paraId="34AE34D0">
      <w:pPr>
        <w:ind w:firstLine="643"/>
        <w:rPr>
          <w:rFonts w:cs="Times New Roman"/>
          <w:szCs w:val="28"/>
        </w:rPr>
      </w:pPr>
      <w:r>
        <w:rPr>
          <w:rFonts w:ascii="楷体" w:hAnsi="楷体" w:eastAsia="楷体" w:cs="Times New Roman"/>
          <w:b/>
          <w:bCs/>
          <w:color w:val="000000"/>
          <w:kern w:val="0"/>
          <w:szCs w:val="36"/>
        </w:rPr>
        <w:t>社会大局和谐稳定</w:t>
      </w:r>
      <w:r>
        <w:rPr>
          <w:rFonts w:hint="eastAsia" w:ascii="楷体" w:hAnsi="楷体" w:eastAsia="楷体" w:cs="Times New Roman"/>
          <w:b/>
          <w:bCs/>
          <w:color w:val="000000"/>
          <w:kern w:val="0"/>
          <w:szCs w:val="36"/>
        </w:rPr>
        <w:t>。</w:t>
      </w:r>
      <w:r>
        <w:rPr>
          <w:rFonts w:hint="eastAsia" w:cs="Times New Roman"/>
          <w:szCs w:val="28"/>
        </w:rPr>
        <w:t>“十四五”以来，安全生产专项整治三年行动覆盖</w:t>
      </w:r>
      <w:r>
        <w:rPr>
          <w:rFonts w:cs="Times New Roman"/>
          <w:szCs w:val="28"/>
        </w:rPr>
        <w:t>30个行业领域</w:t>
      </w:r>
      <w:r>
        <w:rPr>
          <w:rFonts w:hint="eastAsia" w:cs="Times New Roman"/>
          <w:szCs w:val="28"/>
        </w:rPr>
        <w:t>，未发生较大及以上安全生产事故。建成旗级应急物资储备库1个、应急物资储备点1</w:t>
      </w:r>
      <w:r>
        <w:rPr>
          <w:rFonts w:cs="Times New Roman"/>
          <w:szCs w:val="28"/>
        </w:rPr>
        <w:t>5</w:t>
      </w:r>
      <w:r>
        <w:rPr>
          <w:rFonts w:hint="eastAsia" w:cs="Times New Roman"/>
          <w:szCs w:val="28"/>
        </w:rPr>
        <w:t>个。自然灾害等四大类突发事件的应急预案全覆盖，实现自然灾害“零亡人”。“衣食住行”四大</w:t>
      </w:r>
      <w:r>
        <w:rPr>
          <w:rFonts w:hint="eastAsia"/>
          <w:szCs w:val="28"/>
        </w:rPr>
        <w:t>领域</w:t>
      </w:r>
      <w:r>
        <w:rPr>
          <w:rFonts w:hint="eastAsia" w:cs="Times New Roman"/>
          <w:szCs w:val="28"/>
        </w:rPr>
        <w:t>专项整治成果显著，有效保障亚冠赛期间食品安全。持续开展“千百万”行动、“雪亮工程”和“情指行”一体化运行机制建设，完成29支“平安义警”队伍建设。打击治理电信网络诈骗犯罪取得新成效，连续四年实现“两升两降”的工作目标。</w:t>
      </w:r>
    </w:p>
    <w:p w14:paraId="1A2CDB05">
      <w:pPr>
        <w:pStyle w:val="5"/>
        <w:spacing w:before="156" w:after="156"/>
      </w:pPr>
      <w:bookmarkStart w:id="7" w:name="_Toc228206069"/>
      <w:r>
        <w:rPr>
          <w:rFonts w:hint="eastAsia"/>
        </w:rPr>
        <w:t>第二节 “十五五”面临形势</w:t>
      </w:r>
      <w:bookmarkEnd w:id="7"/>
    </w:p>
    <w:p w14:paraId="45DAFEEC">
      <w:pPr>
        <w:spacing w:line="560" w:lineRule="exact"/>
        <w:ind w:firstLine="640"/>
        <w:rPr>
          <w:spacing w:val="-10"/>
        </w:rPr>
        <w:sectPr>
          <w:footerReference r:id="rId11" w:type="default"/>
          <w:footerReference r:id="rId12" w:type="even"/>
          <w:pgSz w:w="11906" w:h="16838"/>
          <w:pgMar w:top="2098" w:right="1531" w:bottom="1984" w:left="1531" w:header="851" w:footer="992" w:gutter="0"/>
          <w:pgNumType w:start="1"/>
          <w:cols w:space="425" w:num="1"/>
          <w:docGrid w:type="lines" w:linePitch="312" w:charSpace="0"/>
        </w:sectPr>
      </w:pPr>
      <w:r>
        <w:rPr>
          <w:rFonts w:hint="eastAsia"/>
          <w:szCs w:val="28"/>
        </w:rPr>
        <w:t>“十五五”时期是我国基本实现社会主义现代化夯实基础、全面发力的关键时期，是内蒙古自治区高质量发展、加快闯新路的关键时期，是呼伦贝尔市大踏步绿色发展、加快现代化建设的关键时期，也是莫力达瓦达斡尔族自治旗高质量发展、推进乡村全面振兴的关键时期。我旗发展拥有诸多有利条件，新一轮科技革命和产业变革加速突破，西部大开发、东北全面振兴、美丽中国建设等国家战略叠加效应充分显现，《国务院关于推动内蒙古高质量发展奋力书写中国式现代化新篇章的意见》等政策红利持续释放，自治区《关于振兴蒙东的措施》等支持政策持续推出，国家和自治区毫不松懈抓好粮食等重要农产品稳定安全供给，纵深推进“双碳”战略，为我旗发挥生态优势、发展绿色产业提供了广阔空间。我旗现代化建设各项条件更加完备，特色农牧业优势突出，清洁能源资源富集，文化底蕴深厚，各族干部群众团结</w:t>
      </w:r>
      <w:r>
        <w:rPr>
          <w:rFonts w:hint="eastAsia"/>
        </w:rPr>
        <w:t>奋斗的热情高涨。但也要清醒看到，我旗发展不平衡不充分问题仍然突出，新旧动能转换不畅，产业结构层次偏低，基础设施建设仍有短板，科技创新支撑能力不足，城乡区域发展差距较大，生态环境保护压力依然存在，公共服务水平与群众期盼还有一定差距，一些干部适应新形势新任务新要求的能力还需提高。全旗上下要保持战略定力，增强必胜信心，以改革创新、有解思维扬优势、补短板、强弱项，以历史主动精神抢机遇、谋发展、抓落</w:t>
      </w:r>
      <w:r>
        <w:rPr>
          <w:rFonts w:hint="eastAsia"/>
          <w:spacing w:val="-11"/>
          <w:w w:val="95"/>
          <w:sz w:val="32"/>
        </w:rPr>
        <w:t>实，主动担当、凝心聚力在“十五五”时期开创更高质量发展新局面。</w:t>
      </w:r>
    </w:p>
    <w:p w14:paraId="7D726EBC">
      <w:pPr>
        <w:pStyle w:val="4"/>
        <w:spacing w:before="312" w:after="312"/>
      </w:pPr>
      <w:bookmarkStart w:id="8" w:name="_Toc228206070"/>
      <w:r>
        <w:rPr>
          <w:rFonts w:hint="eastAsia"/>
        </w:rPr>
        <w:t>第二章 明确指导思想，准确把握未来总体目标</w:t>
      </w:r>
      <w:bookmarkEnd w:id="8"/>
    </w:p>
    <w:p w14:paraId="2A0F1BAF">
      <w:pPr>
        <w:pStyle w:val="5"/>
        <w:spacing w:before="156" w:after="156"/>
      </w:pPr>
      <w:bookmarkStart w:id="9" w:name="_Toc228206071"/>
      <w:r>
        <w:rPr>
          <w:rFonts w:hint="eastAsia"/>
        </w:rPr>
        <w:t>第一节 指导思想</w:t>
      </w:r>
      <w:bookmarkEnd w:id="9"/>
    </w:p>
    <w:p w14:paraId="20A5C5F1">
      <w:pPr>
        <w:spacing w:line="580" w:lineRule="exact"/>
        <w:ind w:firstLine="640"/>
        <w:rPr>
          <w:szCs w:val="28"/>
        </w:rPr>
      </w:pPr>
      <w:r>
        <w:rPr>
          <w:rFonts w:hint="eastAsia"/>
          <w:szCs w:val="28"/>
        </w:rPr>
        <w:t>坚持马克思列宁主义、毛泽东思想、邓小平理论、“三个代表”重要思想、科学发展观，全面贯彻习近平新时代中国特色社会主义思想，深入贯彻党的二十大和二十届历次全会精神，贯彻落实习近平总书记对内蒙古系列重要讲话重要指示精神，深入落实自治区党委“1571”工作部署，以铸牢中华民族共同体意识为主线，统筹推进“五位一体”总体布局，协调推进“四个全面”战略布局，完整准确全面贯彻新发展理念，积极融入和服务构建新发展格局，坚持稳中求进工作总基调，坚持以经济建设为中心，以推动高质量发展为主题，以改革创新为根本动力，以满足各族人民日益增长的美好生活需要为根本目的，以全面从严治党为根本保障，推动经济实现质的有效提升和量的合理增长，推动人的全面发展、各族人民共同富裕迈出坚实步伐，聚焦“两个屏障”“两个基地”“一个桥头堡”建设，用情呵护模范自治区崇高荣誉，建设富裕美丽宜居活力和谐幸福的现代化莫力达瓦，确保同全国全区全市一道在基本实现社会主义现代化上取得决定性进展。</w:t>
      </w:r>
    </w:p>
    <w:p w14:paraId="12A77F54">
      <w:pPr>
        <w:pStyle w:val="5"/>
        <w:spacing w:before="156" w:after="156"/>
      </w:pPr>
      <w:bookmarkStart w:id="10" w:name="_Toc228206072"/>
      <w:r>
        <w:rPr>
          <w:rFonts w:hint="eastAsia"/>
        </w:rPr>
        <w:t>第二节 基本原则</w:t>
      </w:r>
      <w:bookmarkEnd w:id="10"/>
    </w:p>
    <w:p w14:paraId="3ECC65A6">
      <w:pPr>
        <w:ind w:firstLine="640"/>
        <w:rPr>
          <w:szCs w:val="28"/>
        </w:rPr>
      </w:pPr>
      <w:r>
        <w:rPr>
          <w:rFonts w:hint="eastAsia"/>
          <w:szCs w:val="28"/>
        </w:rPr>
        <w:t>——坚持党的全面领导。坚决维护党中央权威和集中统一领导，深刻领悟“两个确立”的决定性意义，增强“四个意识”、坚定“四个自信”、做到“两个维护”，把党的领导贯穿经济社会发展各方面全过程，不断提高贯彻新发展理念、服务融入新发展格局的能力和水平，汇聚推动高质量发展的强大合力，为实现高质量发展提供根本保证。</w:t>
      </w:r>
    </w:p>
    <w:p w14:paraId="42646A9F">
      <w:pPr>
        <w:ind w:firstLine="640"/>
        <w:rPr>
          <w:szCs w:val="28"/>
        </w:rPr>
      </w:pPr>
      <w:r>
        <w:rPr>
          <w:rFonts w:hint="eastAsia"/>
          <w:szCs w:val="28"/>
        </w:rPr>
        <w:t>——坚持人民至上。尊重人民主体地位，注重从就业、增收、入学、就医、住房、办事、托幼养老以及生命财产安全等百姓急难愁盼中找准发力点和突破口，推出民生所急、民心所向的改革举措，办好惠民生、暖民心、顺民意的实事，让现代化建设成果更多更公平惠及全体人民。</w:t>
      </w:r>
    </w:p>
    <w:p w14:paraId="215B1D05">
      <w:pPr>
        <w:ind w:firstLine="640"/>
        <w:rPr>
          <w:szCs w:val="28"/>
        </w:rPr>
      </w:pPr>
      <w:r>
        <w:rPr>
          <w:rFonts w:hint="eastAsia"/>
          <w:szCs w:val="28"/>
        </w:rPr>
        <w:t>——坚持高质量发展。以新发展理念引领发展，始终以创新、协调、绿色、开放、共享的内在统一来把握发展、衡量发展、推动发展。因地制宜发展新质生产力，深入实施科教兴国战略、人才强国战略、创新驱动发展战略，加快培育新动能，做优增量、盘活存量，推动经济持续健康发展和社会全面进步。</w:t>
      </w:r>
    </w:p>
    <w:p w14:paraId="3F7518B1">
      <w:pPr>
        <w:ind w:firstLine="640"/>
        <w:rPr>
          <w:szCs w:val="28"/>
        </w:rPr>
      </w:pPr>
      <w:r>
        <w:rPr>
          <w:rFonts w:hint="eastAsia"/>
          <w:szCs w:val="28"/>
        </w:rPr>
        <w:t>——坚持全面深化改革。深入推进改革创新，着力破解深层次体制机制障碍，打通束缚新质生产力发展的堵点卡点，推动优质生产要素向发展新质生产力顺畅流动。扩大高水平对外开放，深度融入呼伦贝尔全域现代化国际陆港及中俄蒙合作先导区建设，吸引国内国际资源要素高效集聚流动，持续增强发展动力和社会活力。</w:t>
      </w:r>
    </w:p>
    <w:p w14:paraId="0A4109E8">
      <w:pPr>
        <w:ind w:firstLine="640"/>
        <w:rPr>
          <w:szCs w:val="28"/>
        </w:rPr>
      </w:pPr>
      <w:r>
        <w:rPr>
          <w:rFonts w:hint="eastAsia"/>
          <w:szCs w:val="28"/>
        </w:rPr>
        <w:t>——坚持有效市场和有为政府相结合。充分发挥市场在资源配置中的决定性作用，更好发挥政府作用，处理好活力和秩序、效率和公平、发展和安全等重大关系，最大限度减少政府对市场资源的直接配置和对微观经济活动的直接干预，形成既“放得活”又“管得好”的经济秩序。</w:t>
      </w:r>
    </w:p>
    <w:p w14:paraId="7C25C752">
      <w:pPr>
        <w:ind w:firstLine="640"/>
        <w:rPr>
          <w:szCs w:val="28"/>
        </w:rPr>
      </w:pPr>
      <w:r>
        <w:rPr>
          <w:rFonts w:hint="eastAsia"/>
          <w:szCs w:val="28"/>
        </w:rPr>
        <w:t>——坚持统筹发展和安全。坚定不移贯彻总体国家安全观，把维护国家安全贯穿经济社会发展工作各方面全过程，强化底线思维，提高防范化解重大风险能力，有效防范化解各类风险，增强经济和社会韧性，以新安全格局保障新发展格局。</w:t>
      </w:r>
    </w:p>
    <w:p w14:paraId="505C7DEA">
      <w:pPr>
        <w:pStyle w:val="5"/>
        <w:spacing w:before="156" w:after="156"/>
      </w:pPr>
      <w:bookmarkStart w:id="11" w:name="_Toc228206073"/>
      <w:r>
        <w:rPr>
          <w:rFonts w:hint="eastAsia"/>
        </w:rPr>
        <w:t>第三节 发展定位</w:t>
      </w:r>
      <w:bookmarkEnd w:id="11"/>
    </w:p>
    <w:p w14:paraId="07574DDB">
      <w:pPr>
        <w:ind w:firstLine="640"/>
        <w:rPr>
          <w:szCs w:val="28"/>
        </w:rPr>
      </w:pPr>
      <w:r>
        <w:rPr>
          <w:rFonts w:hint="eastAsia"/>
          <w:szCs w:val="28"/>
        </w:rPr>
        <w:t>紧密围绕国家、内蒙古自治区及呼伦贝尔市的战略部署，立足自身资源禀赋、产业基础和区位特点，抢抓发展机遇，“十五五”期间，以“三大基地”建设为引领，全方位推进经济社会高质量发展：</w:t>
      </w:r>
    </w:p>
    <w:p w14:paraId="3B5287DA">
      <w:pPr>
        <w:ind w:firstLine="640"/>
        <w:rPr>
          <w:szCs w:val="28"/>
        </w:rPr>
      </w:pPr>
      <w:r>
        <w:rPr>
          <w:rFonts w:hint="eastAsia"/>
          <w:szCs w:val="28"/>
        </w:rPr>
        <w:t>——建设绿色生态农畜产品生产基地。锚定国家级农产品主产区功能定位，以延链补链为抓手，抢占农牧业转型升级“新赛道”。加快莫旗国家级大豆现代农业产业园建设，强化大豆单产与品质提升；支持大豆油、豆粕产业链延伸，以精深加工挖掘多种功能价值，推进大豆多重转化增值，建成国家大豆精深加工产业集群。依托高标准生猪生态养殖示范基地，科学谋划和推动生猪产业园区建设，不断推进规模化、标准化养殖；加快生猪产业集群发展，支持引导头部企业延链、补链、强链，推动养殖向屠宰、精深加工、流通、冷鲜上市、品牌经营等二三产业延伸，健全产业链、打造供应链、提升价值链。</w:t>
      </w:r>
    </w:p>
    <w:p w14:paraId="68327FFF">
      <w:pPr>
        <w:ind w:firstLine="640"/>
        <w:rPr>
          <w:szCs w:val="28"/>
        </w:rPr>
      </w:pPr>
      <w:r>
        <w:rPr>
          <w:rFonts w:hint="eastAsia"/>
          <w:szCs w:val="28"/>
        </w:rPr>
        <w:t>——建设清洁能源输出基地。以优势风光资源为基础，精准谋划产业布局，大力招引行业头部企业、领军企业，合力推动风光能源产业形成规模、产生效益；强化电网支撑要素保障，推动配套送出工程建设，确保项目可并网、电力可送出、指标可消纳；构建多元绿电消纳市场化体系，积极探索“绿电+绿氢”发展新模式，布局建设风光氢储一体化项目，促进绿电绿氢产业融合发展。紧抓国家支持县域清洁供暖与专项示范的政策机遇，有序推进煤改电供热工程；推进秸秆能源化利用，因地制宜发展秸秆生物质能供气供热供电；支持工业余热、余气供暖规模化应用，鼓励推广应用热泵技术，支持分散式新能源采暖。挖掘水资源潜力，在嫩江、诺敏河、甘河等流域，规划发展一批小水电站项目，全力推进九寨、库如奇、渠首等水电产业发展。做好“发-储-输-配-用”全链条布局，系统谋划现代能源经济这篇文章。</w:t>
      </w:r>
    </w:p>
    <w:p w14:paraId="7465569D">
      <w:pPr>
        <w:ind w:firstLine="640"/>
        <w:rPr>
          <w:szCs w:val="28"/>
        </w:rPr>
      </w:pPr>
      <w:r>
        <w:rPr>
          <w:rFonts w:hint="eastAsia"/>
          <w:szCs w:val="28"/>
        </w:rPr>
        <w:t>——建设文旅体商融合发展基地。立足达斡尔族的民俗文化优势，扩大地域特色文化和旅游供给，对接辐射“哈大齐”区域，重点打造兼具达斡尔民俗体验、农业休闲和非遗研学的乡村旅游目的地。探索“文旅+”业态融合新路径，推动文旅与体育赛事、红色研学、冰雪旅游、特色民宿、非遗体验、美食购物、民族服饰写真等业态深度融合。争取持续承办全国男子曲棍球锦标赛、曲棍球国际邀请赛等国际国内各类赛事，</w:t>
      </w:r>
      <w:r>
        <w:rPr>
          <w:rFonts w:hint="eastAsia" w:ascii="仿宋_GB2312" w:hAnsi="仿宋_GB2312" w:cs="仿宋_GB2312"/>
          <w:szCs w:val="32"/>
        </w:rPr>
        <w:t>高标准举办年度曲棍球竞技非遗传承暨文旅体商融合发展大会，构建具有影响力的特色活动品牌体系，持续擦亮“中国曲棍球之乡·世界曲棍球名城”品牌</w:t>
      </w:r>
      <w:r>
        <w:rPr>
          <w:rFonts w:hint="eastAsia"/>
          <w:szCs w:val="28"/>
        </w:rPr>
        <w:t>；依托我旗独特资源，打造大众速滑马拉松场地及冬泳挑战赛事基地。充分挖掘中药材（蒙药材）、河湖、山地、文化、水稻、滨水等资源优势，发展候鸟式旅居养老服务，开发农业采摘、秋季观星、水上观光等产品。坚持文化为魂、商业筑基、旅游引流、体育聚势，深化“文旅+百业”“百业+文旅”，推进文旅体商深度融合高质量发展，形成文旅体商融合发展集群。</w:t>
      </w:r>
    </w:p>
    <w:p w14:paraId="6EB8C456">
      <w:pPr>
        <w:pStyle w:val="5"/>
        <w:spacing w:before="156" w:after="156"/>
      </w:pPr>
      <w:bookmarkStart w:id="12" w:name="_Toc228206074"/>
      <w:r>
        <w:rPr>
          <w:rFonts w:hint="eastAsia"/>
        </w:rPr>
        <w:t>第四节 发展目标</w:t>
      </w:r>
      <w:bookmarkEnd w:id="12"/>
    </w:p>
    <w:p w14:paraId="41510876">
      <w:pPr>
        <w:ind w:firstLine="640"/>
        <w:rPr>
          <w:b/>
          <w:bCs/>
          <w:szCs w:val="28"/>
        </w:rPr>
      </w:pPr>
      <w:r>
        <w:rPr>
          <w:rFonts w:hint="eastAsia"/>
          <w:szCs w:val="28"/>
        </w:rPr>
        <w:t>——推进中华民族共同体建设取得新成效。贯彻铸牢中华民族共同体意识主线的制度保障、责任体系、工作机制持续完善，理论研究阐释取得新成果，民族团结进步创建更加深入，中华民族共同体意识更加深入人心，在服务全方位建设模范自治区上彰显更大担当、结出更多硕果</w:t>
      </w:r>
      <w:r>
        <w:rPr>
          <w:rFonts w:hint="eastAsia" w:ascii="仿宋_GB2312" w:hAnsi="仿宋_GB2312" w:cs="仿宋_GB2312"/>
          <w:szCs w:val="28"/>
        </w:rPr>
        <w:t>。</w:t>
      </w:r>
    </w:p>
    <w:p w14:paraId="5CBE5C06">
      <w:pPr>
        <w:ind w:firstLine="640"/>
        <w:rPr>
          <w:szCs w:val="28"/>
        </w:rPr>
      </w:pPr>
      <w:r>
        <w:rPr>
          <w:rFonts w:hint="eastAsia"/>
          <w:szCs w:val="28"/>
        </w:rPr>
        <w:t>——高质量发展迈上新台阶。经济增长保持在合理区间，地区生产总值年均增长率5%左右，综合经济实力位于全区同类旗县前列，人均地区生产总值达到更高水平，居民消费率明显提高，新型工业化、信息化、城镇化、农牧业现代化取得重大进展，发展新质生产力、构建具有莫力达瓦特色优势的现代化产业体系取得重大突破，主要农畜产品、清洁能源保供能力持续攀升，现代化建设基础全面夯实。</w:t>
      </w:r>
    </w:p>
    <w:p w14:paraId="0DDD4520">
      <w:pPr>
        <w:ind w:firstLine="640"/>
        <w:rPr>
          <w:szCs w:val="28"/>
        </w:rPr>
      </w:pPr>
      <w:r>
        <w:rPr>
          <w:rFonts w:hint="eastAsia"/>
          <w:szCs w:val="28"/>
        </w:rPr>
        <w:t>——科技创新取得新突破。教育科技人才一体发展格局基本形成，科技创新主体不断壮大，要素集聚能力、科技初创能力、成果转化能力大幅提升，在特色优势领域取得一批核心技术成果，科技创新与产业融合程度更高，新技术、新产业、新业态、新模式持续涌现，创新驱动能力更强。</w:t>
      </w:r>
    </w:p>
    <w:p w14:paraId="7CB18229">
      <w:pPr>
        <w:ind w:firstLine="640"/>
        <w:rPr>
          <w:sz w:val="36"/>
          <w:szCs w:val="28"/>
        </w:rPr>
      </w:pPr>
      <w:r>
        <w:rPr>
          <w:rFonts w:hint="eastAsia"/>
          <w:szCs w:val="28"/>
        </w:rPr>
        <w:t>——生态文明建设取得新进展。生态环境质量持续改善，生态系统多样性稳定性持续性巩固提升，主要污染物排放总量持续减少，绿色低碳生产生活方式加快形成，城乡人居环境不断优化，生态产品价值实现路径更宽更深，形成一批美丽中国建设莫力达瓦新实践、新成果。</w:t>
      </w:r>
    </w:p>
    <w:p w14:paraId="40DB5F2C">
      <w:pPr>
        <w:ind w:firstLine="640"/>
        <w:rPr>
          <w:szCs w:val="28"/>
        </w:rPr>
      </w:pPr>
      <w:r>
        <w:rPr>
          <w:rFonts w:hint="eastAsia"/>
          <w:szCs w:val="28"/>
        </w:rPr>
        <w:t>——深化改革发展增添新活力。进一步全面深化改革任务高质高效完成，发展活力动力潜力充分释放，高标准市场体系基本形成。全过程人民民主深入发展，法治建设水平达到更高水平。深度融入全国统一大市场，深度嵌入现代化国际陆港，在服务建设向北开放重要桥头堡上贡献更大腹地力量。</w:t>
      </w:r>
    </w:p>
    <w:p w14:paraId="3ADEF3A0">
      <w:pPr>
        <w:ind w:firstLine="640"/>
        <w:rPr>
          <w:szCs w:val="28"/>
        </w:rPr>
      </w:pPr>
      <w:r>
        <w:rPr>
          <w:rFonts w:hint="eastAsia"/>
          <w:szCs w:val="28"/>
        </w:rPr>
        <w:t>——社会文明程度达到新高度。社会主义核心价值观广泛践行，公共文化服务体系、现代文化产业体系和市场体系更加健全，文化魅力更加彰显，各族人民精神文化生活更加丰富。国家卫生县城名片持续擦亮，群众道德素质、科学文化素质、身心健康素质进一步提高，中华民族共有精神家园更加巩固。</w:t>
      </w:r>
    </w:p>
    <w:p w14:paraId="16351665">
      <w:pPr>
        <w:ind w:firstLine="640"/>
        <w:rPr>
          <w:szCs w:val="28"/>
        </w:rPr>
      </w:pPr>
      <w:r>
        <w:rPr>
          <w:rFonts w:hint="eastAsia"/>
          <w:szCs w:val="28"/>
        </w:rPr>
        <w:t>——人民生活品质获得新提升。高质量充分就业稳步推进，居民收入继续保持较快增长，社会保障体系更加健全，基本公共服务均等化水平明显提升，群众获得感、幸福感、安全感更加充实、更有保障、更可持续，各族人民共同富裕扎实推进。</w:t>
      </w:r>
    </w:p>
    <w:p w14:paraId="0DA8EF4B">
      <w:pPr>
        <w:ind w:firstLine="640"/>
        <w:rPr>
          <w:szCs w:val="28"/>
        </w:rPr>
      </w:pPr>
      <w:r>
        <w:rPr>
          <w:rFonts w:hint="eastAsia"/>
          <w:szCs w:val="28"/>
        </w:rPr>
        <w:t>——平安莫力达瓦建设再创新局面。维护国家安全能力进一步加强，重点领域风险有效防范化解，社会治理和社会公共安全治理水平明显提高，执法效能持续优化提升，党政军警民联防联控机制更加健全，扫黑除恶常态化深入推进，各族人民安全感更强，祖国北疆安全稳定屏障更加牢固。</w:t>
      </w:r>
    </w:p>
    <w:p w14:paraId="24F0D87B">
      <w:pPr>
        <w:ind w:firstLine="640"/>
        <w:rPr>
          <w:b/>
          <w:bCs/>
          <w:kern w:val="0"/>
          <w:szCs w:val="32"/>
        </w:rPr>
      </w:pPr>
      <w:r>
        <w:rPr>
          <w:rFonts w:hint="eastAsia"/>
          <w:szCs w:val="28"/>
        </w:rPr>
        <w:t>在此基础上再奋斗五年，到二</w:t>
      </w:r>
      <w:r>
        <w:rPr>
          <w:rFonts w:hint="eastAsia" w:ascii="微软雅黑" w:hAnsi="微软雅黑" w:eastAsia="微软雅黑" w:cs="微软雅黑"/>
          <w:szCs w:val="28"/>
        </w:rPr>
        <w:t>〇</w:t>
      </w:r>
      <w:r>
        <w:rPr>
          <w:rFonts w:hint="eastAsia" w:ascii="仿宋_GB2312" w:hAnsi="仿宋_GB2312" w:cs="仿宋_GB2312"/>
          <w:szCs w:val="28"/>
        </w:rPr>
        <w:t>三五年全旗综合经济实力大幅跃升，人均地区生产总值和居民收入迈上更高台阶，在服务建设“两个屏障”“两个基地”“一个桥头堡”上作用更加明显，聚力自治区“在推进中华民族共同体建设、边疆民族地区共同富裕上继续走在前列，在建设国家生态安全屏障、安全稳定屏障上继续走在前列”争当表率，多做贡献，同全国全区全市一道基本实现社会主义现代化</w:t>
      </w:r>
      <w:r>
        <w:rPr>
          <w:rFonts w:hint="eastAsia"/>
          <w:szCs w:val="28"/>
        </w:rPr>
        <w:t>。</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8"/>
        <w:gridCol w:w="909"/>
        <w:gridCol w:w="3113"/>
        <w:gridCol w:w="843"/>
        <w:gridCol w:w="1526"/>
        <w:gridCol w:w="776"/>
        <w:gridCol w:w="1455"/>
      </w:tblGrid>
      <w:tr w14:paraId="0D956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7"/>
            <w:shd w:val="clear" w:color="000000" w:fill="FFFFFF"/>
            <w:vAlign w:val="center"/>
          </w:tcPr>
          <w:p w14:paraId="46AD9E0E">
            <w:pPr>
              <w:pStyle w:val="37"/>
            </w:pPr>
            <w:r>
              <w:rPr>
                <w:rFonts w:hint="eastAsia"/>
              </w:rPr>
              <w:t>莫旗“十五五”时期经济社会发展主要指标</w:t>
            </w:r>
          </w:p>
        </w:tc>
      </w:tr>
      <w:tr w14:paraId="3958C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36D75E61">
            <w:pPr>
              <w:pStyle w:val="40"/>
              <w:spacing w:before="0" w:after="0" w:line="360" w:lineRule="exact"/>
              <w:jc w:val="center"/>
              <w:rPr>
                <w:rFonts w:hint="eastAsia" w:ascii="黑体" w:hAnsi="黑体" w:eastAsia="黑体"/>
              </w:rPr>
            </w:pPr>
            <w:r>
              <w:rPr>
                <w:rFonts w:hint="eastAsia" w:ascii="黑体" w:hAnsi="黑体" w:eastAsia="黑体"/>
              </w:rPr>
              <w:t>序号</w:t>
            </w:r>
          </w:p>
        </w:tc>
        <w:tc>
          <w:tcPr>
            <w:tcW w:w="502" w:type="pct"/>
            <w:shd w:val="clear" w:color="000000" w:fill="FFFFFF"/>
            <w:vAlign w:val="center"/>
          </w:tcPr>
          <w:p w14:paraId="7F4C90F1">
            <w:pPr>
              <w:pStyle w:val="40"/>
              <w:spacing w:before="0" w:after="0" w:line="360" w:lineRule="exact"/>
              <w:jc w:val="center"/>
              <w:rPr>
                <w:rFonts w:hint="eastAsia" w:ascii="黑体" w:hAnsi="黑体" w:eastAsia="黑体"/>
              </w:rPr>
            </w:pPr>
            <w:r>
              <w:rPr>
                <w:rFonts w:hint="eastAsia" w:ascii="黑体" w:hAnsi="黑体" w:eastAsia="黑体"/>
              </w:rPr>
              <w:t>类别</w:t>
            </w:r>
          </w:p>
        </w:tc>
        <w:tc>
          <w:tcPr>
            <w:tcW w:w="1718" w:type="pct"/>
            <w:shd w:val="clear" w:color="000000" w:fill="FFFFFF"/>
            <w:vAlign w:val="center"/>
          </w:tcPr>
          <w:p w14:paraId="3761685C">
            <w:pPr>
              <w:pStyle w:val="40"/>
              <w:spacing w:before="0" w:after="0" w:line="360" w:lineRule="exact"/>
              <w:jc w:val="center"/>
              <w:rPr>
                <w:rFonts w:hint="eastAsia" w:ascii="黑体" w:hAnsi="黑体" w:eastAsia="黑体"/>
              </w:rPr>
            </w:pPr>
            <w:r>
              <w:rPr>
                <w:rFonts w:hint="eastAsia" w:ascii="黑体" w:hAnsi="黑体" w:eastAsia="黑体"/>
              </w:rPr>
              <w:t>指标</w:t>
            </w:r>
          </w:p>
        </w:tc>
        <w:tc>
          <w:tcPr>
            <w:tcW w:w="465" w:type="pct"/>
            <w:vAlign w:val="center"/>
          </w:tcPr>
          <w:p w14:paraId="2EED602C">
            <w:pPr>
              <w:pStyle w:val="40"/>
              <w:spacing w:before="0" w:after="0" w:line="360" w:lineRule="exact"/>
              <w:jc w:val="center"/>
              <w:rPr>
                <w:rFonts w:hint="eastAsia" w:ascii="黑体" w:hAnsi="黑体" w:eastAsia="黑体"/>
              </w:rPr>
            </w:pPr>
            <w:r>
              <w:rPr>
                <w:rFonts w:hint="eastAsia" w:ascii="黑体" w:hAnsi="黑体" w:eastAsia="黑体"/>
              </w:rPr>
              <w:t>2025年</w:t>
            </w:r>
          </w:p>
        </w:tc>
        <w:tc>
          <w:tcPr>
            <w:tcW w:w="842" w:type="pct"/>
            <w:vAlign w:val="center"/>
          </w:tcPr>
          <w:p w14:paraId="638F4E26">
            <w:pPr>
              <w:pStyle w:val="40"/>
              <w:spacing w:before="0" w:after="0" w:line="360" w:lineRule="exact"/>
              <w:jc w:val="center"/>
              <w:rPr>
                <w:rFonts w:hint="eastAsia" w:ascii="黑体" w:hAnsi="黑体" w:eastAsia="黑体"/>
              </w:rPr>
            </w:pPr>
            <w:r>
              <w:rPr>
                <w:rFonts w:hint="eastAsia" w:ascii="黑体" w:hAnsi="黑体" w:eastAsia="黑体"/>
              </w:rPr>
              <w:t>2030年</w:t>
            </w:r>
          </w:p>
        </w:tc>
        <w:tc>
          <w:tcPr>
            <w:tcW w:w="428" w:type="pct"/>
          </w:tcPr>
          <w:p w14:paraId="0BB603AA">
            <w:pPr>
              <w:pStyle w:val="40"/>
              <w:spacing w:before="0" w:after="0" w:line="360" w:lineRule="exact"/>
              <w:jc w:val="center"/>
              <w:rPr>
                <w:rFonts w:hint="eastAsia" w:ascii="黑体" w:hAnsi="黑体" w:eastAsia="黑体"/>
              </w:rPr>
            </w:pPr>
            <w:r>
              <w:rPr>
                <w:rFonts w:hint="eastAsia" w:ascii="黑体" w:hAnsi="黑体" w:eastAsia="黑体"/>
              </w:rPr>
              <w:t>年均/累计</w:t>
            </w:r>
          </w:p>
        </w:tc>
        <w:tc>
          <w:tcPr>
            <w:tcW w:w="803" w:type="pct"/>
            <w:shd w:val="clear" w:color="000000" w:fill="FFFFFF"/>
            <w:vAlign w:val="center"/>
          </w:tcPr>
          <w:p w14:paraId="60B74DE6">
            <w:pPr>
              <w:pStyle w:val="40"/>
              <w:spacing w:before="0" w:after="0" w:line="360" w:lineRule="exact"/>
              <w:jc w:val="center"/>
              <w:rPr>
                <w:rFonts w:hint="eastAsia" w:ascii="黑体" w:hAnsi="黑体" w:eastAsia="黑体"/>
              </w:rPr>
            </w:pPr>
            <w:r>
              <w:rPr>
                <w:rFonts w:hint="eastAsia" w:ascii="黑体" w:hAnsi="黑体" w:eastAsia="黑体"/>
              </w:rPr>
              <w:t>目标</w:t>
            </w:r>
          </w:p>
          <w:p w14:paraId="733452C8">
            <w:pPr>
              <w:pStyle w:val="40"/>
              <w:spacing w:before="0" w:after="0" w:line="360" w:lineRule="exact"/>
              <w:jc w:val="center"/>
              <w:rPr>
                <w:rFonts w:hint="eastAsia" w:ascii="黑体" w:hAnsi="黑体" w:eastAsia="黑体"/>
              </w:rPr>
            </w:pPr>
            <w:r>
              <w:rPr>
                <w:rFonts w:hint="eastAsia" w:ascii="黑体" w:hAnsi="黑体" w:eastAsia="黑体"/>
              </w:rPr>
              <w:t>属性</w:t>
            </w:r>
          </w:p>
        </w:tc>
      </w:tr>
      <w:tr w14:paraId="461F9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1DF8DB15">
            <w:pPr>
              <w:pStyle w:val="40"/>
              <w:spacing w:before="0" w:after="0" w:line="360" w:lineRule="exact"/>
              <w:jc w:val="center"/>
              <w:rPr>
                <w:rFonts w:ascii="Times New Roman" w:hAnsi="Times New Roman"/>
                <w:b w:val="0"/>
                <w:bCs w:val="0"/>
              </w:rPr>
            </w:pPr>
            <w:r>
              <w:rPr>
                <w:rFonts w:hint="eastAsia" w:ascii="Times New Roman" w:hAnsi="Times New Roman"/>
                <w:b w:val="0"/>
                <w:bCs w:val="0"/>
              </w:rPr>
              <w:t>1</w:t>
            </w:r>
          </w:p>
        </w:tc>
        <w:tc>
          <w:tcPr>
            <w:tcW w:w="502" w:type="pct"/>
            <w:vMerge w:val="restart"/>
            <w:shd w:val="clear" w:color="000000" w:fill="FFFFFF"/>
            <w:vAlign w:val="center"/>
          </w:tcPr>
          <w:p w14:paraId="6EF96E05">
            <w:pPr>
              <w:pStyle w:val="40"/>
              <w:spacing w:before="0" w:after="0" w:line="360" w:lineRule="exact"/>
              <w:jc w:val="center"/>
              <w:rPr>
                <w:rFonts w:ascii="Times New Roman" w:hAnsi="Times New Roman"/>
                <w:b w:val="0"/>
                <w:bCs w:val="0"/>
              </w:rPr>
            </w:pPr>
            <w:r>
              <w:rPr>
                <w:rFonts w:hint="eastAsia" w:ascii="Times New Roman" w:hAnsi="Times New Roman"/>
                <w:b w:val="0"/>
                <w:bCs w:val="0"/>
              </w:rPr>
              <w:t>经济发展</w:t>
            </w:r>
          </w:p>
        </w:tc>
        <w:tc>
          <w:tcPr>
            <w:tcW w:w="1718" w:type="pct"/>
            <w:shd w:val="clear" w:color="000000" w:fill="FFFFFF"/>
            <w:vAlign w:val="center"/>
          </w:tcPr>
          <w:p w14:paraId="71FEBB43">
            <w:pPr>
              <w:pStyle w:val="40"/>
              <w:spacing w:before="0" w:after="0" w:line="360" w:lineRule="exact"/>
              <w:jc w:val="left"/>
              <w:rPr>
                <w:rFonts w:ascii="Times New Roman" w:hAnsi="Times New Roman"/>
                <w:b w:val="0"/>
                <w:bCs w:val="0"/>
              </w:rPr>
            </w:pPr>
            <w:r>
              <w:rPr>
                <w:rFonts w:hint="eastAsia" w:ascii="Times New Roman" w:hAnsi="Times New Roman"/>
                <w:b w:val="0"/>
                <w:bCs w:val="0"/>
              </w:rPr>
              <w:t>地区生产总值增速（%）</w:t>
            </w:r>
          </w:p>
        </w:tc>
        <w:tc>
          <w:tcPr>
            <w:tcW w:w="465" w:type="pct"/>
            <w:vAlign w:val="center"/>
          </w:tcPr>
          <w:p w14:paraId="5462E682">
            <w:pPr>
              <w:pStyle w:val="40"/>
              <w:spacing w:before="0" w:after="0" w:line="360" w:lineRule="exact"/>
              <w:jc w:val="center"/>
              <w:rPr>
                <w:rFonts w:ascii="Times New Roman" w:hAnsi="Times New Roman"/>
                <w:b w:val="0"/>
                <w:bCs w:val="0"/>
              </w:rPr>
            </w:pPr>
            <w:r>
              <w:rPr>
                <w:rFonts w:hint="eastAsia" w:ascii="Times New Roman" w:hAnsi="Times New Roman"/>
                <w:b w:val="0"/>
                <w:bCs w:val="0"/>
              </w:rPr>
              <w:t>5.8</w:t>
            </w:r>
          </w:p>
        </w:tc>
        <w:tc>
          <w:tcPr>
            <w:tcW w:w="842" w:type="pct"/>
            <w:vAlign w:val="center"/>
          </w:tcPr>
          <w:p w14:paraId="7131FC17">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428" w:type="pct"/>
            <w:vAlign w:val="center"/>
          </w:tcPr>
          <w:p w14:paraId="25A0E9A8">
            <w:pPr>
              <w:pStyle w:val="40"/>
              <w:spacing w:before="0" w:after="0" w:line="360" w:lineRule="exact"/>
              <w:jc w:val="center"/>
              <w:rPr>
                <w:rFonts w:ascii="Times New Roman" w:hAnsi="Times New Roman"/>
                <w:b w:val="0"/>
                <w:bCs w:val="0"/>
              </w:rPr>
            </w:pPr>
            <w:r>
              <w:rPr>
                <w:rFonts w:hint="eastAsia" w:ascii="Times New Roman" w:hAnsi="Times New Roman"/>
                <w:b w:val="0"/>
                <w:bCs w:val="0"/>
              </w:rPr>
              <w:t>5</w:t>
            </w:r>
          </w:p>
        </w:tc>
        <w:tc>
          <w:tcPr>
            <w:tcW w:w="803" w:type="pct"/>
            <w:shd w:val="clear" w:color="000000" w:fill="FFFFFF"/>
            <w:vAlign w:val="center"/>
          </w:tcPr>
          <w:p w14:paraId="293089B4">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14:paraId="423F6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44E383D2">
            <w:pPr>
              <w:pStyle w:val="40"/>
              <w:spacing w:before="0" w:after="0" w:line="360" w:lineRule="exact"/>
              <w:jc w:val="center"/>
              <w:rPr>
                <w:rFonts w:ascii="Times New Roman" w:hAnsi="Times New Roman"/>
                <w:b w:val="0"/>
                <w:bCs w:val="0"/>
              </w:rPr>
            </w:pPr>
            <w:r>
              <w:rPr>
                <w:rFonts w:hint="eastAsia" w:ascii="Times New Roman" w:hAnsi="Times New Roman"/>
                <w:b w:val="0"/>
                <w:bCs w:val="0"/>
              </w:rPr>
              <w:t>2</w:t>
            </w:r>
          </w:p>
        </w:tc>
        <w:tc>
          <w:tcPr>
            <w:tcW w:w="502" w:type="pct"/>
            <w:vMerge w:val="continue"/>
            <w:vAlign w:val="center"/>
          </w:tcPr>
          <w:p w14:paraId="6744F27E">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14:paraId="5B17B87E">
            <w:pPr>
              <w:pStyle w:val="40"/>
              <w:spacing w:before="0" w:after="0" w:line="360" w:lineRule="exact"/>
              <w:jc w:val="left"/>
              <w:rPr>
                <w:rFonts w:ascii="Times New Roman" w:hAnsi="Times New Roman"/>
                <w:b w:val="0"/>
                <w:bCs w:val="0"/>
              </w:rPr>
            </w:pPr>
            <w:r>
              <w:rPr>
                <w:rFonts w:hint="eastAsia" w:ascii="Times New Roman" w:hAnsi="Times New Roman"/>
                <w:b w:val="0"/>
                <w:bCs w:val="0"/>
              </w:rPr>
              <w:t>全员劳动生产率增速（%）</w:t>
            </w:r>
          </w:p>
        </w:tc>
        <w:tc>
          <w:tcPr>
            <w:tcW w:w="465" w:type="pct"/>
            <w:vAlign w:val="center"/>
          </w:tcPr>
          <w:p w14:paraId="380DA91E">
            <w:pPr>
              <w:pStyle w:val="40"/>
              <w:spacing w:before="0" w:after="0" w:line="360" w:lineRule="exact"/>
              <w:jc w:val="center"/>
              <w:rPr>
                <w:rFonts w:ascii="Times New Roman" w:hAnsi="Times New Roman"/>
                <w:b w:val="0"/>
                <w:bCs w:val="0"/>
              </w:rPr>
            </w:pPr>
            <w:r>
              <w:rPr>
                <w:rFonts w:hint="eastAsia" w:ascii="Times New Roman" w:hAnsi="Times New Roman"/>
                <w:b w:val="0"/>
                <w:bCs w:val="0"/>
              </w:rPr>
              <w:t>9.1</w:t>
            </w:r>
          </w:p>
        </w:tc>
        <w:tc>
          <w:tcPr>
            <w:tcW w:w="842" w:type="pct"/>
            <w:vAlign w:val="center"/>
          </w:tcPr>
          <w:p w14:paraId="7F1DBA96">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428" w:type="pct"/>
            <w:vAlign w:val="center"/>
          </w:tcPr>
          <w:p w14:paraId="328C12C4">
            <w:pPr>
              <w:pStyle w:val="40"/>
              <w:spacing w:before="0" w:after="0" w:line="360" w:lineRule="exact"/>
              <w:jc w:val="center"/>
              <w:rPr>
                <w:rFonts w:ascii="Times New Roman" w:hAnsi="Times New Roman"/>
                <w:b w:val="0"/>
                <w:bCs w:val="0"/>
              </w:rPr>
            </w:pPr>
            <w:r>
              <w:rPr>
                <w:rFonts w:hint="eastAsia" w:ascii="Times New Roman" w:hAnsi="Times New Roman"/>
                <w:b w:val="0"/>
                <w:bCs w:val="0"/>
              </w:rPr>
              <w:t>7.3</w:t>
            </w:r>
          </w:p>
        </w:tc>
        <w:tc>
          <w:tcPr>
            <w:tcW w:w="803" w:type="pct"/>
            <w:shd w:val="clear" w:color="000000" w:fill="FFFFFF"/>
            <w:vAlign w:val="center"/>
          </w:tcPr>
          <w:p w14:paraId="42B8AFDC">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14:paraId="3DB17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16AFEB81">
            <w:pPr>
              <w:pStyle w:val="40"/>
              <w:spacing w:before="0" w:after="0" w:line="360" w:lineRule="exact"/>
              <w:jc w:val="center"/>
              <w:rPr>
                <w:rFonts w:ascii="Times New Roman" w:hAnsi="Times New Roman"/>
                <w:b w:val="0"/>
                <w:bCs w:val="0"/>
              </w:rPr>
            </w:pPr>
            <w:r>
              <w:rPr>
                <w:rFonts w:hint="eastAsia" w:ascii="Times New Roman" w:hAnsi="Times New Roman"/>
                <w:b w:val="0"/>
                <w:bCs w:val="0"/>
              </w:rPr>
              <w:t>3</w:t>
            </w:r>
          </w:p>
        </w:tc>
        <w:tc>
          <w:tcPr>
            <w:tcW w:w="502" w:type="pct"/>
            <w:vMerge w:val="continue"/>
            <w:vAlign w:val="center"/>
          </w:tcPr>
          <w:p w14:paraId="75EA6EE7">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14:paraId="3DAD9937">
            <w:pPr>
              <w:pStyle w:val="40"/>
              <w:spacing w:before="0" w:after="0" w:line="360" w:lineRule="exact"/>
              <w:jc w:val="left"/>
              <w:rPr>
                <w:rFonts w:ascii="Times New Roman" w:hAnsi="Times New Roman"/>
                <w:b w:val="0"/>
                <w:bCs w:val="0"/>
              </w:rPr>
            </w:pPr>
            <w:r>
              <w:rPr>
                <w:rFonts w:hint="eastAsia" w:ascii="Times New Roman" w:hAnsi="Times New Roman"/>
                <w:b w:val="0"/>
                <w:bCs w:val="0"/>
              </w:rPr>
              <w:t>常住人口城镇化率（%）</w:t>
            </w:r>
          </w:p>
        </w:tc>
        <w:tc>
          <w:tcPr>
            <w:tcW w:w="465" w:type="pct"/>
            <w:vAlign w:val="center"/>
          </w:tcPr>
          <w:p w14:paraId="47DBB237">
            <w:pPr>
              <w:pStyle w:val="40"/>
              <w:spacing w:before="0" w:after="0" w:line="360" w:lineRule="exact"/>
              <w:jc w:val="center"/>
              <w:rPr>
                <w:rFonts w:ascii="Times New Roman" w:hAnsi="Times New Roman"/>
                <w:b w:val="0"/>
                <w:bCs w:val="0"/>
              </w:rPr>
            </w:pPr>
            <w:r>
              <w:rPr>
                <w:rFonts w:hint="eastAsia" w:ascii="Times New Roman" w:hAnsi="Times New Roman"/>
                <w:b w:val="0"/>
                <w:bCs w:val="0"/>
              </w:rPr>
              <w:t>39.6</w:t>
            </w:r>
          </w:p>
        </w:tc>
        <w:tc>
          <w:tcPr>
            <w:tcW w:w="842" w:type="pct"/>
            <w:vAlign w:val="center"/>
          </w:tcPr>
          <w:p w14:paraId="5250BCA6">
            <w:pPr>
              <w:pStyle w:val="40"/>
              <w:spacing w:before="0" w:after="0" w:line="360" w:lineRule="exact"/>
              <w:jc w:val="center"/>
              <w:rPr>
                <w:rFonts w:ascii="Times New Roman" w:hAnsi="Times New Roman"/>
                <w:b w:val="0"/>
                <w:bCs w:val="0"/>
              </w:rPr>
            </w:pPr>
            <w:r>
              <w:rPr>
                <w:rFonts w:hint="eastAsia" w:ascii="Times New Roman" w:hAnsi="Times New Roman"/>
                <w:b w:val="0"/>
                <w:bCs w:val="0"/>
              </w:rPr>
              <w:t>49.3</w:t>
            </w:r>
          </w:p>
        </w:tc>
        <w:tc>
          <w:tcPr>
            <w:tcW w:w="428" w:type="pct"/>
            <w:vAlign w:val="center"/>
          </w:tcPr>
          <w:p w14:paraId="7E620FE2">
            <w:pPr>
              <w:pStyle w:val="40"/>
              <w:spacing w:before="0" w:after="0" w:line="360" w:lineRule="exact"/>
              <w:jc w:val="center"/>
              <w:rPr>
                <w:rFonts w:ascii="Times New Roman" w:hAnsi="Times New Roman"/>
                <w:b w:val="0"/>
                <w:bCs w:val="0"/>
              </w:rPr>
            </w:pPr>
            <w:r>
              <w:rPr>
                <w:rFonts w:hint="eastAsia" w:ascii="Times New Roman" w:hAnsi="Times New Roman"/>
                <w:b w:val="0"/>
                <w:bCs w:val="0"/>
              </w:rPr>
              <w:t>[9.7]</w:t>
            </w:r>
          </w:p>
        </w:tc>
        <w:tc>
          <w:tcPr>
            <w:tcW w:w="803" w:type="pct"/>
            <w:shd w:val="clear" w:color="000000" w:fill="FFFFFF"/>
            <w:vAlign w:val="center"/>
          </w:tcPr>
          <w:p w14:paraId="13083A4E">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14:paraId="3FB82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5C23FCAE">
            <w:pPr>
              <w:pStyle w:val="40"/>
              <w:spacing w:before="0" w:after="0" w:line="360" w:lineRule="exact"/>
              <w:jc w:val="center"/>
              <w:rPr>
                <w:rFonts w:ascii="Times New Roman" w:hAnsi="Times New Roman"/>
                <w:b w:val="0"/>
                <w:bCs w:val="0"/>
              </w:rPr>
            </w:pPr>
            <w:r>
              <w:rPr>
                <w:rFonts w:hint="eastAsia" w:ascii="Times New Roman" w:hAnsi="Times New Roman"/>
                <w:b w:val="0"/>
                <w:bCs w:val="0"/>
              </w:rPr>
              <w:t>4</w:t>
            </w:r>
          </w:p>
        </w:tc>
        <w:tc>
          <w:tcPr>
            <w:tcW w:w="502" w:type="pct"/>
            <w:vAlign w:val="center"/>
          </w:tcPr>
          <w:p w14:paraId="6BA193DF">
            <w:pPr>
              <w:pStyle w:val="40"/>
              <w:spacing w:before="0" w:after="0" w:line="360" w:lineRule="exact"/>
              <w:jc w:val="center"/>
              <w:rPr>
                <w:rFonts w:ascii="Times New Roman" w:hAnsi="Times New Roman"/>
                <w:b w:val="0"/>
                <w:bCs w:val="0"/>
              </w:rPr>
            </w:pPr>
            <w:r>
              <w:rPr>
                <w:rFonts w:hint="eastAsia" w:ascii="Times New Roman" w:hAnsi="Times New Roman"/>
                <w:b w:val="0"/>
                <w:bCs w:val="0"/>
              </w:rPr>
              <w:t>创新驱动</w:t>
            </w:r>
          </w:p>
        </w:tc>
        <w:tc>
          <w:tcPr>
            <w:tcW w:w="1718" w:type="pct"/>
            <w:shd w:val="clear" w:color="000000" w:fill="FFFFFF"/>
            <w:vAlign w:val="center"/>
          </w:tcPr>
          <w:p w14:paraId="30B2CB19">
            <w:pPr>
              <w:pStyle w:val="40"/>
              <w:spacing w:before="0" w:after="0" w:line="360" w:lineRule="exact"/>
              <w:jc w:val="left"/>
              <w:rPr>
                <w:rFonts w:ascii="Times New Roman" w:hAnsi="Times New Roman"/>
                <w:b w:val="0"/>
                <w:bCs w:val="0"/>
              </w:rPr>
            </w:pPr>
            <w:r>
              <w:rPr>
                <w:rFonts w:hint="eastAsia" w:ascii="Times New Roman" w:hAnsi="Times New Roman"/>
                <w:b w:val="0"/>
                <w:bCs w:val="0"/>
                <w:color w:val="auto"/>
              </w:rPr>
              <w:t>每万人口高价值发明专利拥有量（件）</w:t>
            </w:r>
          </w:p>
        </w:tc>
        <w:tc>
          <w:tcPr>
            <w:tcW w:w="465" w:type="pct"/>
            <w:vAlign w:val="center"/>
          </w:tcPr>
          <w:p w14:paraId="562645F0">
            <w:pPr>
              <w:pStyle w:val="40"/>
              <w:spacing w:before="0" w:after="0" w:line="360" w:lineRule="exact"/>
              <w:jc w:val="center"/>
              <w:rPr>
                <w:rFonts w:ascii="Times New Roman" w:hAnsi="Times New Roman"/>
                <w:b w:val="0"/>
                <w:bCs w:val="0"/>
              </w:rPr>
            </w:pPr>
            <w:r>
              <w:rPr>
                <w:rFonts w:hint="eastAsia" w:ascii="Times New Roman" w:hAnsi="Times New Roman"/>
                <w:b w:val="0"/>
                <w:bCs w:val="0"/>
              </w:rPr>
              <w:t>0.23</w:t>
            </w:r>
          </w:p>
        </w:tc>
        <w:tc>
          <w:tcPr>
            <w:tcW w:w="842" w:type="pct"/>
            <w:vAlign w:val="center"/>
          </w:tcPr>
          <w:p w14:paraId="1555E973">
            <w:pPr>
              <w:pStyle w:val="40"/>
              <w:spacing w:before="0" w:after="0" w:line="360" w:lineRule="exact"/>
              <w:jc w:val="center"/>
              <w:rPr>
                <w:rFonts w:ascii="Times New Roman" w:hAnsi="Times New Roman"/>
                <w:b w:val="0"/>
                <w:bCs w:val="0"/>
              </w:rPr>
            </w:pPr>
            <w:r>
              <w:rPr>
                <w:rFonts w:hint="eastAsia" w:ascii="Times New Roman" w:hAnsi="Times New Roman"/>
                <w:b w:val="0"/>
                <w:bCs w:val="0"/>
              </w:rPr>
              <w:t>[上级暂未下达指标任务]</w:t>
            </w:r>
          </w:p>
        </w:tc>
        <w:tc>
          <w:tcPr>
            <w:tcW w:w="428" w:type="pct"/>
            <w:vAlign w:val="center"/>
          </w:tcPr>
          <w:p w14:paraId="1BE98B6A">
            <w:pPr>
              <w:pStyle w:val="40"/>
              <w:spacing w:before="0" w:after="0" w:line="360" w:lineRule="exact"/>
              <w:jc w:val="center"/>
              <w:rPr>
                <w:rFonts w:ascii="Times New Roman" w:hAnsi="Times New Roman"/>
                <w:b w:val="0"/>
                <w:bCs w:val="0"/>
              </w:rPr>
            </w:pPr>
          </w:p>
        </w:tc>
        <w:tc>
          <w:tcPr>
            <w:tcW w:w="803" w:type="pct"/>
            <w:shd w:val="clear" w:color="000000" w:fill="FFFFFF"/>
            <w:vAlign w:val="center"/>
          </w:tcPr>
          <w:p w14:paraId="6996228B">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14:paraId="7317C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15F5F0F2">
            <w:pPr>
              <w:pStyle w:val="40"/>
              <w:spacing w:before="0" w:after="0" w:line="360" w:lineRule="exact"/>
              <w:jc w:val="center"/>
              <w:rPr>
                <w:rFonts w:ascii="Times New Roman" w:hAnsi="Times New Roman"/>
                <w:b w:val="0"/>
                <w:bCs w:val="0"/>
              </w:rPr>
            </w:pPr>
            <w:r>
              <w:rPr>
                <w:rFonts w:hint="eastAsia" w:ascii="Times New Roman" w:hAnsi="Times New Roman"/>
                <w:b w:val="0"/>
                <w:bCs w:val="0"/>
              </w:rPr>
              <w:t>5</w:t>
            </w:r>
          </w:p>
        </w:tc>
        <w:tc>
          <w:tcPr>
            <w:tcW w:w="502" w:type="pct"/>
            <w:vMerge w:val="restart"/>
            <w:shd w:val="clear" w:color="000000" w:fill="FFFFFF"/>
            <w:vAlign w:val="center"/>
          </w:tcPr>
          <w:p w14:paraId="1729393A">
            <w:pPr>
              <w:pStyle w:val="40"/>
              <w:spacing w:before="0" w:after="0" w:line="360" w:lineRule="exact"/>
              <w:jc w:val="center"/>
              <w:rPr>
                <w:rFonts w:ascii="Times New Roman" w:hAnsi="Times New Roman"/>
                <w:b w:val="0"/>
                <w:bCs w:val="0"/>
              </w:rPr>
            </w:pPr>
            <w:r>
              <w:rPr>
                <w:rFonts w:hint="eastAsia" w:ascii="Times New Roman" w:hAnsi="Times New Roman"/>
                <w:b w:val="0"/>
                <w:bCs w:val="0"/>
              </w:rPr>
              <w:t>民生福祉</w:t>
            </w:r>
          </w:p>
        </w:tc>
        <w:tc>
          <w:tcPr>
            <w:tcW w:w="1718" w:type="pct"/>
            <w:shd w:val="clear" w:color="000000" w:fill="FFFFFF"/>
            <w:vAlign w:val="center"/>
          </w:tcPr>
          <w:p w14:paraId="23851A39">
            <w:pPr>
              <w:pStyle w:val="40"/>
              <w:spacing w:before="0" w:after="0" w:line="360" w:lineRule="exact"/>
              <w:jc w:val="left"/>
              <w:rPr>
                <w:rFonts w:ascii="Times New Roman" w:hAnsi="Times New Roman"/>
                <w:b w:val="0"/>
                <w:bCs w:val="0"/>
              </w:rPr>
            </w:pPr>
            <w:r>
              <w:rPr>
                <w:rFonts w:hint="eastAsia" w:ascii="Times New Roman" w:hAnsi="Times New Roman"/>
                <w:b w:val="0"/>
                <w:bCs w:val="0"/>
              </w:rPr>
              <w:t>城镇新增就业（人）</w:t>
            </w:r>
          </w:p>
        </w:tc>
        <w:tc>
          <w:tcPr>
            <w:tcW w:w="465" w:type="pct"/>
            <w:vAlign w:val="center"/>
          </w:tcPr>
          <w:p w14:paraId="444BC05E">
            <w:pPr>
              <w:pStyle w:val="40"/>
              <w:spacing w:before="0" w:after="0" w:line="360" w:lineRule="exact"/>
              <w:jc w:val="center"/>
              <w:rPr>
                <w:rFonts w:ascii="Times New Roman" w:hAnsi="Times New Roman"/>
                <w:b w:val="0"/>
                <w:bCs w:val="0"/>
              </w:rPr>
            </w:pPr>
            <w:r>
              <w:rPr>
                <w:rFonts w:hint="eastAsia" w:ascii="Times New Roman" w:hAnsi="Times New Roman"/>
                <w:b w:val="0"/>
                <w:bCs w:val="0"/>
              </w:rPr>
              <w:t>262</w:t>
            </w:r>
          </w:p>
        </w:tc>
        <w:tc>
          <w:tcPr>
            <w:tcW w:w="842" w:type="pct"/>
            <w:vAlign w:val="center"/>
          </w:tcPr>
          <w:p w14:paraId="291FB0D0">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428" w:type="pct"/>
            <w:vAlign w:val="center"/>
          </w:tcPr>
          <w:p w14:paraId="3FCEED29">
            <w:pPr>
              <w:pStyle w:val="40"/>
              <w:spacing w:before="0" w:after="0" w:line="360" w:lineRule="exact"/>
              <w:jc w:val="center"/>
              <w:rPr>
                <w:rFonts w:ascii="Times New Roman" w:hAnsi="Times New Roman"/>
                <w:b w:val="0"/>
                <w:bCs w:val="0"/>
              </w:rPr>
            </w:pPr>
            <w:r>
              <w:rPr>
                <w:rFonts w:hint="eastAsia" w:ascii="Times New Roman" w:hAnsi="Times New Roman"/>
                <w:b w:val="0"/>
                <w:bCs w:val="0"/>
              </w:rPr>
              <w:t>[900]</w:t>
            </w:r>
          </w:p>
        </w:tc>
        <w:tc>
          <w:tcPr>
            <w:tcW w:w="803" w:type="pct"/>
            <w:shd w:val="clear" w:color="000000" w:fill="FFFFFF"/>
            <w:vAlign w:val="center"/>
          </w:tcPr>
          <w:p w14:paraId="006D1052">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14:paraId="4C705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720B084E">
            <w:pPr>
              <w:pStyle w:val="40"/>
              <w:spacing w:before="0" w:after="0" w:line="360" w:lineRule="exact"/>
              <w:jc w:val="center"/>
              <w:rPr>
                <w:rFonts w:ascii="Times New Roman" w:hAnsi="Times New Roman"/>
                <w:b w:val="0"/>
                <w:bCs w:val="0"/>
              </w:rPr>
            </w:pPr>
            <w:r>
              <w:rPr>
                <w:rFonts w:hint="eastAsia" w:ascii="Times New Roman" w:hAnsi="Times New Roman"/>
                <w:b w:val="0"/>
                <w:bCs w:val="0"/>
              </w:rPr>
              <w:t>6</w:t>
            </w:r>
          </w:p>
        </w:tc>
        <w:tc>
          <w:tcPr>
            <w:tcW w:w="502" w:type="pct"/>
            <w:vMerge w:val="continue"/>
            <w:shd w:val="clear" w:color="000000" w:fill="FFFFFF"/>
            <w:vAlign w:val="center"/>
          </w:tcPr>
          <w:p w14:paraId="2C4A99BD">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14:paraId="44F8B5CF">
            <w:pPr>
              <w:pStyle w:val="40"/>
              <w:spacing w:before="0" w:after="0" w:line="360" w:lineRule="exact"/>
              <w:jc w:val="left"/>
              <w:rPr>
                <w:rFonts w:ascii="Times New Roman" w:hAnsi="Times New Roman"/>
                <w:b w:val="0"/>
                <w:bCs w:val="0"/>
              </w:rPr>
            </w:pPr>
            <w:r>
              <w:rPr>
                <w:rFonts w:hint="eastAsia" w:ascii="Times New Roman" w:hAnsi="Times New Roman"/>
                <w:b w:val="0"/>
                <w:bCs w:val="0"/>
              </w:rPr>
              <w:t>居民人均可支配收入增长（元）</w:t>
            </w:r>
          </w:p>
        </w:tc>
        <w:tc>
          <w:tcPr>
            <w:tcW w:w="465" w:type="pct"/>
            <w:vAlign w:val="center"/>
          </w:tcPr>
          <w:p w14:paraId="1463B15A">
            <w:pPr>
              <w:pStyle w:val="40"/>
              <w:spacing w:before="0" w:after="0" w:line="360" w:lineRule="exact"/>
              <w:jc w:val="center"/>
              <w:rPr>
                <w:rFonts w:ascii="Times New Roman" w:hAnsi="Times New Roman"/>
                <w:b w:val="0"/>
                <w:bCs w:val="0"/>
              </w:rPr>
            </w:pPr>
            <w:r>
              <w:rPr>
                <w:rFonts w:ascii="Times New Roman" w:hAnsi="Times New Roman"/>
                <w:b w:val="0"/>
                <w:bCs w:val="0"/>
              </w:rPr>
              <w:t>2230</w:t>
            </w:r>
            <w:r>
              <w:rPr>
                <w:rFonts w:hint="eastAsia" w:ascii="Times New Roman" w:hAnsi="Times New Roman"/>
                <w:b w:val="0"/>
                <w:bCs w:val="0"/>
              </w:rPr>
              <w:t>3</w:t>
            </w:r>
          </w:p>
        </w:tc>
        <w:tc>
          <w:tcPr>
            <w:tcW w:w="842" w:type="pct"/>
            <w:vAlign w:val="center"/>
          </w:tcPr>
          <w:p w14:paraId="4F97736E">
            <w:pPr>
              <w:pStyle w:val="40"/>
              <w:spacing w:before="0" w:after="0" w:line="360" w:lineRule="exact"/>
              <w:jc w:val="center"/>
              <w:rPr>
                <w:rFonts w:ascii="Times New Roman" w:hAnsi="Times New Roman"/>
                <w:b w:val="0"/>
                <w:bCs w:val="0"/>
              </w:rPr>
            </w:pPr>
            <w:r>
              <w:rPr>
                <w:rFonts w:hint="eastAsia" w:ascii="Times New Roman" w:hAnsi="Times New Roman"/>
                <w:b w:val="0"/>
                <w:bCs w:val="0"/>
              </w:rPr>
              <w:t>[上级暂未下达指标任务]</w:t>
            </w:r>
          </w:p>
        </w:tc>
        <w:tc>
          <w:tcPr>
            <w:tcW w:w="428" w:type="pct"/>
            <w:vAlign w:val="center"/>
          </w:tcPr>
          <w:p w14:paraId="00342379">
            <w:pPr>
              <w:pStyle w:val="40"/>
              <w:spacing w:before="0" w:after="0" w:line="360" w:lineRule="exact"/>
              <w:jc w:val="center"/>
              <w:rPr>
                <w:rFonts w:ascii="Times New Roman" w:hAnsi="Times New Roman"/>
                <w:b w:val="0"/>
                <w:bCs w:val="0"/>
              </w:rPr>
            </w:pPr>
          </w:p>
        </w:tc>
        <w:tc>
          <w:tcPr>
            <w:tcW w:w="803" w:type="pct"/>
            <w:shd w:val="clear" w:color="000000" w:fill="FFFFFF"/>
            <w:vAlign w:val="center"/>
          </w:tcPr>
          <w:p w14:paraId="6B418AA2">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14:paraId="7AAD5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0C30E40A">
            <w:pPr>
              <w:pStyle w:val="40"/>
              <w:spacing w:before="0" w:after="0" w:line="360" w:lineRule="exact"/>
              <w:jc w:val="center"/>
              <w:rPr>
                <w:rFonts w:ascii="Times New Roman" w:hAnsi="Times New Roman"/>
                <w:b w:val="0"/>
                <w:bCs w:val="0"/>
              </w:rPr>
            </w:pPr>
            <w:r>
              <w:rPr>
                <w:rFonts w:hint="eastAsia" w:ascii="Times New Roman" w:hAnsi="Times New Roman"/>
                <w:b w:val="0"/>
                <w:bCs w:val="0"/>
              </w:rPr>
              <w:t>7</w:t>
            </w:r>
          </w:p>
        </w:tc>
        <w:tc>
          <w:tcPr>
            <w:tcW w:w="502" w:type="pct"/>
            <w:vMerge w:val="continue"/>
            <w:vAlign w:val="center"/>
          </w:tcPr>
          <w:p w14:paraId="4AA91412">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14:paraId="5373D878">
            <w:pPr>
              <w:pStyle w:val="40"/>
              <w:spacing w:before="0" w:after="0" w:line="360" w:lineRule="exact"/>
              <w:jc w:val="left"/>
              <w:rPr>
                <w:rFonts w:ascii="Times New Roman" w:hAnsi="Times New Roman"/>
                <w:b w:val="0"/>
                <w:bCs w:val="0"/>
              </w:rPr>
            </w:pPr>
            <w:r>
              <w:rPr>
                <w:rFonts w:hint="eastAsia" w:ascii="Times New Roman" w:hAnsi="Times New Roman"/>
                <w:b w:val="0"/>
                <w:bCs w:val="0"/>
              </w:rPr>
              <w:t>劳动年龄人口平均受教育年限（年）</w:t>
            </w:r>
          </w:p>
        </w:tc>
        <w:tc>
          <w:tcPr>
            <w:tcW w:w="465" w:type="pct"/>
            <w:vAlign w:val="center"/>
          </w:tcPr>
          <w:p w14:paraId="1E445CF2">
            <w:pPr>
              <w:pStyle w:val="40"/>
              <w:spacing w:before="0" w:after="0" w:line="360" w:lineRule="exact"/>
              <w:jc w:val="center"/>
              <w:rPr>
                <w:rFonts w:ascii="Times New Roman" w:hAnsi="Times New Roman"/>
                <w:b w:val="0"/>
                <w:bCs w:val="0"/>
              </w:rPr>
            </w:pPr>
            <w:r>
              <w:rPr>
                <w:rFonts w:hint="eastAsia" w:ascii="Times New Roman" w:hAnsi="Times New Roman"/>
                <w:b w:val="0"/>
                <w:bCs w:val="0"/>
              </w:rPr>
              <w:t>12</w:t>
            </w:r>
          </w:p>
        </w:tc>
        <w:tc>
          <w:tcPr>
            <w:tcW w:w="842" w:type="pct"/>
            <w:vAlign w:val="center"/>
          </w:tcPr>
          <w:p w14:paraId="3FAE723A">
            <w:pPr>
              <w:pStyle w:val="40"/>
              <w:spacing w:before="0" w:after="0" w:line="360" w:lineRule="exact"/>
              <w:jc w:val="center"/>
              <w:rPr>
                <w:rFonts w:ascii="Times New Roman" w:hAnsi="Times New Roman"/>
                <w:b w:val="0"/>
                <w:bCs w:val="0"/>
              </w:rPr>
            </w:pPr>
            <w:r>
              <w:rPr>
                <w:rFonts w:hint="eastAsia" w:ascii="Times New Roman" w:hAnsi="Times New Roman"/>
                <w:b w:val="0"/>
                <w:bCs w:val="0"/>
              </w:rPr>
              <w:t>13</w:t>
            </w:r>
          </w:p>
        </w:tc>
        <w:tc>
          <w:tcPr>
            <w:tcW w:w="428" w:type="pct"/>
            <w:vAlign w:val="center"/>
          </w:tcPr>
          <w:p w14:paraId="2260EB65">
            <w:pPr>
              <w:pStyle w:val="40"/>
              <w:spacing w:before="0" w:after="0" w:line="360" w:lineRule="exact"/>
              <w:jc w:val="center"/>
              <w:rPr>
                <w:rFonts w:ascii="Times New Roman" w:hAnsi="Times New Roman"/>
                <w:b w:val="0"/>
                <w:bCs w:val="0"/>
              </w:rPr>
            </w:pPr>
            <w:r>
              <w:rPr>
                <w:rFonts w:hint="eastAsia" w:ascii="Times New Roman" w:hAnsi="Times New Roman"/>
                <w:b w:val="0"/>
                <w:bCs w:val="0"/>
              </w:rPr>
              <w:t>[1]</w:t>
            </w:r>
          </w:p>
        </w:tc>
        <w:tc>
          <w:tcPr>
            <w:tcW w:w="803" w:type="pct"/>
            <w:shd w:val="clear" w:color="000000" w:fill="FFFFFF"/>
            <w:vAlign w:val="center"/>
          </w:tcPr>
          <w:p w14:paraId="7B3350BD">
            <w:pPr>
              <w:pStyle w:val="40"/>
              <w:spacing w:before="0" w:after="0" w:line="360" w:lineRule="exact"/>
              <w:jc w:val="center"/>
              <w:rPr>
                <w:rFonts w:ascii="Times New Roman" w:hAnsi="Times New Roman"/>
                <w:b w:val="0"/>
                <w:bCs w:val="0"/>
              </w:rPr>
            </w:pPr>
            <w:r>
              <w:rPr>
                <w:rFonts w:hint="eastAsia" w:ascii="Times New Roman" w:hAnsi="Times New Roman"/>
                <w:b w:val="0"/>
                <w:bCs w:val="0"/>
              </w:rPr>
              <w:t>约束性</w:t>
            </w:r>
          </w:p>
        </w:tc>
      </w:tr>
      <w:tr w14:paraId="1A402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6697428C">
            <w:pPr>
              <w:pStyle w:val="40"/>
              <w:spacing w:before="0" w:after="0" w:line="360" w:lineRule="exact"/>
              <w:jc w:val="center"/>
              <w:rPr>
                <w:rFonts w:ascii="Times New Roman" w:hAnsi="Times New Roman"/>
                <w:b w:val="0"/>
                <w:bCs w:val="0"/>
              </w:rPr>
            </w:pPr>
            <w:r>
              <w:rPr>
                <w:rFonts w:hint="eastAsia" w:ascii="Times New Roman" w:hAnsi="Times New Roman"/>
                <w:b w:val="0"/>
                <w:bCs w:val="0"/>
              </w:rPr>
              <w:t>8</w:t>
            </w:r>
          </w:p>
        </w:tc>
        <w:tc>
          <w:tcPr>
            <w:tcW w:w="502" w:type="pct"/>
            <w:vMerge w:val="continue"/>
            <w:vAlign w:val="center"/>
          </w:tcPr>
          <w:p w14:paraId="53E0E7E0">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14:paraId="762C4F3E">
            <w:pPr>
              <w:pStyle w:val="40"/>
              <w:spacing w:before="0" w:after="0" w:line="360" w:lineRule="exact"/>
              <w:jc w:val="left"/>
              <w:rPr>
                <w:rFonts w:ascii="Times New Roman" w:hAnsi="Times New Roman"/>
                <w:b w:val="0"/>
                <w:bCs w:val="0"/>
              </w:rPr>
            </w:pPr>
            <w:r>
              <w:rPr>
                <w:rFonts w:hint="eastAsia" w:ascii="Times New Roman" w:hAnsi="Times New Roman"/>
                <w:b w:val="0"/>
                <w:bCs w:val="0"/>
              </w:rPr>
              <w:t>人均预期寿命（岁）</w:t>
            </w:r>
          </w:p>
        </w:tc>
        <w:tc>
          <w:tcPr>
            <w:tcW w:w="465" w:type="pct"/>
            <w:vAlign w:val="center"/>
          </w:tcPr>
          <w:p w14:paraId="1CE8F9AF">
            <w:pPr>
              <w:pStyle w:val="40"/>
              <w:spacing w:before="0" w:after="0" w:line="360" w:lineRule="exact"/>
              <w:jc w:val="center"/>
              <w:rPr>
                <w:rFonts w:ascii="Times New Roman" w:hAnsi="Times New Roman"/>
                <w:b w:val="0"/>
                <w:bCs w:val="0"/>
              </w:rPr>
            </w:pPr>
            <w:r>
              <w:rPr>
                <w:rFonts w:hint="eastAsia" w:ascii="Times New Roman" w:hAnsi="Times New Roman"/>
                <w:b w:val="0"/>
                <w:bCs w:val="0"/>
              </w:rPr>
              <w:t>79</w:t>
            </w:r>
          </w:p>
        </w:tc>
        <w:tc>
          <w:tcPr>
            <w:tcW w:w="842" w:type="pct"/>
            <w:vAlign w:val="center"/>
          </w:tcPr>
          <w:p w14:paraId="30BF614D">
            <w:pPr>
              <w:pStyle w:val="40"/>
              <w:spacing w:before="0" w:after="0" w:line="360" w:lineRule="exact"/>
              <w:jc w:val="center"/>
              <w:rPr>
                <w:rFonts w:ascii="Times New Roman" w:hAnsi="Times New Roman"/>
                <w:b w:val="0"/>
                <w:bCs w:val="0"/>
              </w:rPr>
            </w:pPr>
            <w:r>
              <w:rPr>
                <w:rFonts w:hint="eastAsia" w:ascii="Times New Roman" w:hAnsi="Times New Roman"/>
                <w:b w:val="0"/>
                <w:bCs w:val="0"/>
              </w:rPr>
              <w:t>80</w:t>
            </w:r>
          </w:p>
        </w:tc>
        <w:tc>
          <w:tcPr>
            <w:tcW w:w="428" w:type="pct"/>
            <w:vAlign w:val="center"/>
          </w:tcPr>
          <w:p w14:paraId="39049FB0">
            <w:pPr>
              <w:pStyle w:val="40"/>
              <w:spacing w:before="0" w:after="0" w:line="360" w:lineRule="exact"/>
              <w:jc w:val="center"/>
              <w:rPr>
                <w:rFonts w:ascii="Times New Roman" w:hAnsi="Times New Roman"/>
                <w:b w:val="0"/>
                <w:bCs w:val="0"/>
              </w:rPr>
            </w:pPr>
            <w:r>
              <w:rPr>
                <w:rFonts w:hint="eastAsia" w:ascii="Times New Roman" w:hAnsi="Times New Roman"/>
                <w:b w:val="0"/>
                <w:bCs w:val="0"/>
              </w:rPr>
              <w:t>[1]</w:t>
            </w:r>
          </w:p>
        </w:tc>
        <w:tc>
          <w:tcPr>
            <w:tcW w:w="803" w:type="pct"/>
            <w:shd w:val="clear" w:color="000000" w:fill="FFFFFF"/>
            <w:vAlign w:val="center"/>
          </w:tcPr>
          <w:p w14:paraId="016EFF2E">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14:paraId="1243E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2ADE2CA0">
            <w:pPr>
              <w:pStyle w:val="40"/>
              <w:spacing w:before="0" w:after="0" w:line="360" w:lineRule="exact"/>
              <w:jc w:val="center"/>
              <w:rPr>
                <w:rFonts w:ascii="Times New Roman" w:hAnsi="Times New Roman"/>
                <w:b w:val="0"/>
                <w:bCs w:val="0"/>
              </w:rPr>
            </w:pPr>
            <w:r>
              <w:rPr>
                <w:rFonts w:hint="eastAsia" w:ascii="Times New Roman" w:hAnsi="Times New Roman"/>
                <w:b w:val="0"/>
                <w:bCs w:val="0"/>
              </w:rPr>
              <w:t>9</w:t>
            </w:r>
          </w:p>
        </w:tc>
        <w:tc>
          <w:tcPr>
            <w:tcW w:w="502" w:type="pct"/>
            <w:vMerge w:val="continue"/>
            <w:vAlign w:val="center"/>
          </w:tcPr>
          <w:p w14:paraId="2862B57B">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14:paraId="6DD8E61E">
            <w:pPr>
              <w:pStyle w:val="40"/>
              <w:spacing w:before="0" w:after="0" w:line="360" w:lineRule="exact"/>
              <w:jc w:val="left"/>
              <w:rPr>
                <w:rFonts w:ascii="Times New Roman" w:hAnsi="Times New Roman"/>
                <w:b w:val="0"/>
                <w:bCs w:val="0"/>
              </w:rPr>
            </w:pPr>
            <w:r>
              <w:rPr>
                <w:rFonts w:hint="eastAsia" w:ascii="Times New Roman" w:hAnsi="Times New Roman"/>
                <w:b w:val="0"/>
                <w:bCs w:val="0"/>
              </w:rPr>
              <w:t>每千人口拥有执业（助理）医师与注册护士数（人）</w:t>
            </w:r>
          </w:p>
        </w:tc>
        <w:tc>
          <w:tcPr>
            <w:tcW w:w="465" w:type="pct"/>
            <w:vAlign w:val="center"/>
          </w:tcPr>
          <w:p w14:paraId="3500F876">
            <w:pPr>
              <w:pStyle w:val="40"/>
              <w:spacing w:before="0" w:after="0" w:line="360" w:lineRule="exact"/>
              <w:jc w:val="center"/>
              <w:rPr>
                <w:rFonts w:ascii="Times New Roman" w:hAnsi="Times New Roman"/>
                <w:b w:val="0"/>
                <w:bCs w:val="0"/>
              </w:rPr>
            </w:pPr>
            <w:r>
              <w:rPr>
                <w:rFonts w:hint="eastAsia" w:ascii="Times New Roman" w:hAnsi="Times New Roman"/>
                <w:b w:val="0"/>
                <w:bCs w:val="0"/>
              </w:rPr>
              <w:t>3.8/3.6</w:t>
            </w:r>
          </w:p>
        </w:tc>
        <w:tc>
          <w:tcPr>
            <w:tcW w:w="842" w:type="pct"/>
            <w:vAlign w:val="center"/>
          </w:tcPr>
          <w:p w14:paraId="014883CA">
            <w:pPr>
              <w:pStyle w:val="40"/>
              <w:spacing w:before="0" w:after="0" w:line="360" w:lineRule="exact"/>
              <w:jc w:val="center"/>
              <w:rPr>
                <w:rFonts w:ascii="Times New Roman" w:hAnsi="Times New Roman"/>
                <w:b w:val="0"/>
                <w:bCs w:val="0"/>
              </w:rPr>
            </w:pPr>
            <w:r>
              <w:rPr>
                <w:rFonts w:hint="eastAsia" w:ascii="Times New Roman" w:hAnsi="Times New Roman"/>
                <w:b w:val="0"/>
                <w:bCs w:val="0"/>
              </w:rPr>
              <w:t>[上级暂未下达指标任务]</w:t>
            </w:r>
          </w:p>
        </w:tc>
        <w:tc>
          <w:tcPr>
            <w:tcW w:w="428" w:type="pct"/>
            <w:vAlign w:val="center"/>
          </w:tcPr>
          <w:p w14:paraId="55F48358">
            <w:pPr>
              <w:pStyle w:val="40"/>
              <w:spacing w:before="0" w:after="0" w:line="360" w:lineRule="exact"/>
              <w:jc w:val="center"/>
              <w:rPr>
                <w:rFonts w:ascii="Times New Roman" w:hAnsi="Times New Roman"/>
                <w:b w:val="0"/>
                <w:bCs w:val="0"/>
              </w:rPr>
            </w:pPr>
          </w:p>
        </w:tc>
        <w:tc>
          <w:tcPr>
            <w:tcW w:w="803" w:type="pct"/>
            <w:shd w:val="clear" w:color="000000" w:fill="FFFFFF"/>
            <w:vAlign w:val="center"/>
          </w:tcPr>
          <w:p w14:paraId="205FB232">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14:paraId="5FB92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519B653F">
            <w:pPr>
              <w:pStyle w:val="40"/>
              <w:spacing w:before="0" w:after="0" w:line="360" w:lineRule="exact"/>
              <w:jc w:val="center"/>
              <w:rPr>
                <w:rFonts w:ascii="Times New Roman" w:hAnsi="Times New Roman"/>
                <w:b w:val="0"/>
                <w:bCs w:val="0"/>
              </w:rPr>
            </w:pPr>
            <w:r>
              <w:rPr>
                <w:rFonts w:hint="eastAsia" w:ascii="Times New Roman" w:hAnsi="Times New Roman"/>
                <w:b w:val="0"/>
                <w:bCs w:val="0"/>
              </w:rPr>
              <w:t>10</w:t>
            </w:r>
          </w:p>
        </w:tc>
        <w:tc>
          <w:tcPr>
            <w:tcW w:w="502" w:type="pct"/>
            <w:vMerge w:val="continue"/>
            <w:shd w:val="clear" w:color="000000" w:fill="FFFFFF"/>
            <w:vAlign w:val="center"/>
          </w:tcPr>
          <w:p w14:paraId="51880FF5">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14:paraId="6BD8FD52">
            <w:pPr>
              <w:pStyle w:val="40"/>
              <w:spacing w:before="0" w:after="0" w:line="360" w:lineRule="exact"/>
              <w:jc w:val="left"/>
              <w:rPr>
                <w:rFonts w:ascii="Times New Roman" w:hAnsi="Times New Roman"/>
                <w:b w:val="0"/>
                <w:bCs w:val="0"/>
              </w:rPr>
            </w:pPr>
            <w:r>
              <w:rPr>
                <w:rFonts w:hint="eastAsia" w:ascii="Times New Roman" w:hAnsi="Times New Roman"/>
                <w:b w:val="0"/>
                <w:bCs w:val="0"/>
              </w:rPr>
              <w:t>养老机构护理型床位占比（%）</w:t>
            </w:r>
          </w:p>
        </w:tc>
        <w:tc>
          <w:tcPr>
            <w:tcW w:w="465" w:type="pct"/>
            <w:vAlign w:val="center"/>
          </w:tcPr>
          <w:p w14:paraId="7E7B3263">
            <w:pPr>
              <w:pStyle w:val="40"/>
              <w:spacing w:before="0" w:after="0" w:line="360" w:lineRule="exact"/>
              <w:jc w:val="center"/>
              <w:rPr>
                <w:rFonts w:ascii="Times New Roman" w:hAnsi="Times New Roman"/>
                <w:b w:val="0"/>
                <w:bCs w:val="0"/>
              </w:rPr>
            </w:pPr>
            <w:r>
              <w:rPr>
                <w:rFonts w:hint="eastAsia" w:ascii="Times New Roman" w:hAnsi="Times New Roman"/>
                <w:b w:val="0"/>
                <w:bCs w:val="0"/>
              </w:rPr>
              <w:t>65</w:t>
            </w:r>
          </w:p>
        </w:tc>
        <w:tc>
          <w:tcPr>
            <w:tcW w:w="842" w:type="pct"/>
            <w:vAlign w:val="center"/>
          </w:tcPr>
          <w:p w14:paraId="57490D0E">
            <w:pPr>
              <w:pStyle w:val="40"/>
              <w:spacing w:before="0" w:after="0" w:line="360" w:lineRule="exact"/>
              <w:jc w:val="center"/>
              <w:rPr>
                <w:rFonts w:ascii="Times New Roman" w:hAnsi="Times New Roman"/>
                <w:b w:val="0"/>
                <w:bCs w:val="0"/>
              </w:rPr>
            </w:pPr>
            <w:r>
              <w:rPr>
                <w:rFonts w:hint="eastAsia" w:ascii="Times New Roman" w:hAnsi="Times New Roman"/>
                <w:b w:val="0"/>
                <w:bCs w:val="0"/>
              </w:rPr>
              <w:t>70</w:t>
            </w:r>
          </w:p>
        </w:tc>
        <w:tc>
          <w:tcPr>
            <w:tcW w:w="428" w:type="pct"/>
            <w:vAlign w:val="center"/>
          </w:tcPr>
          <w:p w14:paraId="2886AD20">
            <w:pPr>
              <w:pStyle w:val="40"/>
              <w:spacing w:before="0" w:after="0" w:line="360" w:lineRule="exact"/>
              <w:jc w:val="center"/>
              <w:rPr>
                <w:rFonts w:ascii="Times New Roman" w:hAnsi="Times New Roman"/>
                <w:b w:val="0"/>
                <w:bCs w:val="0"/>
              </w:rPr>
            </w:pPr>
            <w:r>
              <w:rPr>
                <w:rFonts w:hint="eastAsia" w:ascii="Times New Roman" w:hAnsi="Times New Roman"/>
                <w:b w:val="0"/>
                <w:bCs w:val="0"/>
              </w:rPr>
              <w:t>[5]</w:t>
            </w:r>
          </w:p>
        </w:tc>
        <w:tc>
          <w:tcPr>
            <w:tcW w:w="803" w:type="pct"/>
            <w:shd w:val="clear" w:color="000000" w:fill="FFFFFF"/>
            <w:vAlign w:val="center"/>
          </w:tcPr>
          <w:p w14:paraId="51AC72B3">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14:paraId="2DCDD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5C3BC279">
            <w:pPr>
              <w:pStyle w:val="40"/>
              <w:spacing w:before="0" w:after="0" w:line="360" w:lineRule="exact"/>
              <w:jc w:val="center"/>
              <w:rPr>
                <w:rFonts w:ascii="Times New Roman" w:hAnsi="Times New Roman"/>
                <w:b w:val="0"/>
                <w:bCs w:val="0"/>
              </w:rPr>
            </w:pPr>
            <w:r>
              <w:rPr>
                <w:rFonts w:hint="eastAsia" w:ascii="Times New Roman" w:hAnsi="Times New Roman"/>
                <w:b w:val="0"/>
                <w:bCs w:val="0"/>
              </w:rPr>
              <w:t>11</w:t>
            </w:r>
          </w:p>
        </w:tc>
        <w:tc>
          <w:tcPr>
            <w:tcW w:w="502" w:type="pct"/>
            <w:vMerge w:val="continue"/>
            <w:vAlign w:val="center"/>
          </w:tcPr>
          <w:p w14:paraId="7BA07C16">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14:paraId="56C559EB">
            <w:pPr>
              <w:pStyle w:val="40"/>
              <w:spacing w:before="0" w:after="0" w:line="360" w:lineRule="exact"/>
              <w:jc w:val="left"/>
              <w:rPr>
                <w:rFonts w:ascii="Times New Roman" w:hAnsi="Times New Roman"/>
                <w:b w:val="0"/>
                <w:bCs w:val="0"/>
              </w:rPr>
            </w:pPr>
            <w:r>
              <w:rPr>
                <w:rFonts w:hint="eastAsia" w:ascii="Times New Roman" w:hAnsi="Times New Roman"/>
                <w:b w:val="0"/>
                <w:bCs w:val="0"/>
              </w:rPr>
              <w:t>3岁以下婴幼儿入托率（%）</w:t>
            </w:r>
          </w:p>
        </w:tc>
        <w:tc>
          <w:tcPr>
            <w:tcW w:w="465" w:type="pct"/>
            <w:vAlign w:val="center"/>
          </w:tcPr>
          <w:p w14:paraId="6C176502">
            <w:pPr>
              <w:pStyle w:val="40"/>
              <w:spacing w:before="0" w:after="0" w:line="360" w:lineRule="exact"/>
              <w:jc w:val="center"/>
              <w:rPr>
                <w:rFonts w:ascii="Times New Roman" w:hAnsi="Times New Roman"/>
                <w:b w:val="0"/>
                <w:bCs w:val="0"/>
              </w:rPr>
            </w:pPr>
          </w:p>
        </w:tc>
        <w:tc>
          <w:tcPr>
            <w:tcW w:w="842" w:type="pct"/>
            <w:vAlign w:val="center"/>
          </w:tcPr>
          <w:p w14:paraId="588AF95B">
            <w:pPr>
              <w:pStyle w:val="40"/>
              <w:spacing w:before="0" w:after="0" w:line="360" w:lineRule="exact"/>
              <w:jc w:val="center"/>
              <w:rPr>
                <w:rFonts w:ascii="Times New Roman" w:hAnsi="Times New Roman"/>
                <w:b w:val="0"/>
                <w:bCs w:val="0"/>
              </w:rPr>
            </w:pPr>
            <w:r>
              <w:rPr>
                <w:rFonts w:hint="eastAsia" w:ascii="Times New Roman" w:hAnsi="Times New Roman"/>
                <w:b w:val="0"/>
                <w:bCs w:val="0"/>
              </w:rPr>
              <w:t>5.5</w:t>
            </w:r>
          </w:p>
        </w:tc>
        <w:tc>
          <w:tcPr>
            <w:tcW w:w="428" w:type="pct"/>
            <w:vAlign w:val="center"/>
          </w:tcPr>
          <w:p w14:paraId="668D0D2B">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803" w:type="pct"/>
            <w:shd w:val="clear" w:color="000000" w:fill="FFFFFF"/>
            <w:vAlign w:val="center"/>
          </w:tcPr>
          <w:p w14:paraId="4C3F2727">
            <w:pPr>
              <w:pStyle w:val="40"/>
              <w:spacing w:before="0" w:after="0" w:line="360" w:lineRule="exact"/>
              <w:jc w:val="center"/>
              <w:rPr>
                <w:rFonts w:ascii="Times New Roman" w:hAnsi="Times New Roman"/>
                <w:b w:val="0"/>
                <w:bCs w:val="0"/>
              </w:rPr>
            </w:pPr>
            <w:r>
              <w:rPr>
                <w:rFonts w:hint="eastAsia" w:ascii="Times New Roman" w:hAnsi="Times New Roman"/>
                <w:b w:val="0"/>
                <w:bCs w:val="0"/>
              </w:rPr>
              <w:t>预期性</w:t>
            </w:r>
          </w:p>
        </w:tc>
      </w:tr>
      <w:tr w14:paraId="7DA26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4CFDAEE6">
            <w:pPr>
              <w:pStyle w:val="40"/>
              <w:spacing w:before="0" w:after="0" w:line="360" w:lineRule="exact"/>
              <w:jc w:val="center"/>
              <w:rPr>
                <w:rFonts w:ascii="Times New Roman" w:hAnsi="Times New Roman"/>
                <w:b w:val="0"/>
                <w:bCs w:val="0"/>
              </w:rPr>
            </w:pPr>
            <w:r>
              <w:rPr>
                <w:rFonts w:hint="eastAsia" w:ascii="Times New Roman" w:hAnsi="Times New Roman"/>
                <w:b w:val="0"/>
                <w:bCs w:val="0"/>
              </w:rPr>
              <w:t>12</w:t>
            </w:r>
          </w:p>
        </w:tc>
        <w:tc>
          <w:tcPr>
            <w:tcW w:w="502" w:type="pct"/>
            <w:vMerge w:val="restart"/>
            <w:vAlign w:val="center"/>
          </w:tcPr>
          <w:p w14:paraId="3B2B8FC9">
            <w:pPr>
              <w:pStyle w:val="40"/>
              <w:spacing w:before="0" w:after="0" w:line="360" w:lineRule="exact"/>
              <w:jc w:val="center"/>
              <w:rPr>
                <w:rFonts w:ascii="Times New Roman" w:hAnsi="Times New Roman"/>
                <w:b w:val="0"/>
                <w:bCs w:val="0"/>
              </w:rPr>
            </w:pPr>
            <w:r>
              <w:rPr>
                <w:rFonts w:hint="eastAsia" w:ascii="Times New Roman" w:hAnsi="Times New Roman"/>
                <w:b w:val="0"/>
                <w:bCs w:val="0"/>
              </w:rPr>
              <w:t>绿色低碳</w:t>
            </w:r>
          </w:p>
        </w:tc>
        <w:tc>
          <w:tcPr>
            <w:tcW w:w="1718" w:type="pct"/>
            <w:shd w:val="clear" w:color="000000" w:fill="FFFFFF"/>
            <w:vAlign w:val="center"/>
          </w:tcPr>
          <w:p w14:paraId="1137F0E2">
            <w:pPr>
              <w:pStyle w:val="40"/>
              <w:spacing w:before="0" w:after="0" w:line="360" w:lineRule="exact"/>
              <w:jc w:val="left"/>
              <w:rPr>
                <w:rFonts w:ascii="Times New Roman" w:hAnsi="Times New Roman"/>
                <w:b w:val="0"/>
                <w:bCs w:val="0"/>
              </w:rPr>
            </w:pPr>
            <w:r>
              <w:rPr>
                <w:rFonts w:hint="eastAsia" w:ascii="Times New Roman" w:hAnsi="Times New Roman"/>
                <w:b w:val="0"/>
                <w:bCs w:val="0"/>
              </w:rPr>
              <w:t>中心城区细颗粒物（PM2.5）浓度（微克/立方米）</w:t>
            </w:r>
          </w:p>
        </w:tc>
        <w:tc>
          <w:tcPr>
            <w:tcW w:w="465" w:type="pct"/>
            <w:vAlign w:val="center"/>
          </w:tcPr>
          <w:p w14:paraId="2A20BFEE">
            <w:pPr>
              <w:pStyle w:val="40"/>
              <w:spacing w:before="0" w:after="0" w:line="360" w:lineRule="exact"/>
              <w:jc w:val="center"/>
              <w:rPr>
                <w:rFonts w:ascii="Times New Roman" w:hAnsi="Times New Roman"/>
                <w:b w:val="0"/>
                <w:bCs w:val="0"/>
              </w:rPr>
            </w:pPr>
            <w:r>
              <w:rPr>
                <w:rFonts w:hint="eastAsia" w:ascii="Times New Roman" w:hAnsi="Times New Roman"/>
                <w:b w:val="0"/>
                <w:bCs w:val="0"/>
              </w:rPr>
              <w:t>33</w:t>
            </w:r>
          </w:p>
        </w:tc>
        <w:tc>
          <w:tcPr>
            <w:tcW w:w="842" w:type="pct"/>
            <w:vAlign w:val="center"/>
          </w:tcPr>
          <w:p w14:paraId="456FDF48">
            <w:pPr>
              <w:pStyle w:val="40"/>
              <w:spacing w:before="0" w:after="0" w:line="360" w:lineRule="exact"/>
              <w:jc w:val="center"/>
              <w:rPr>
                <w:rFonts w:ascii="Times New Roman" w:hAnsi="Times New Roman"/>
                <w:b w:val="0"/>
                <w:bCs w:val="0"/>
              </w:rPr>
            </w:pPr>
            <w:r>
              <w:rPr>
                <w:rFonts w:hint="eastAsia" w:ascii="Times New Roman" w:hAnsi="Times New Roman"/>
                <w:b w:val="0"/>
                <w:bCs w:val="0"/>
              </w:rPr>
              <w:t>25</w:t>
            </w:r>
          </w:p>
        </w:tc>
        <w:tc>
          <w:tcPr>
            <w:tcW w:w="428" w:type="pct"/>
            <w:vAlign w:val="center"/>
          </w:tcPr>
          <w:p w14:paraId="6FD5B47B">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803" w:type="pct"/>
            <w:shd w:val="clear" w:color="000000" w:fill="FFFFFF"/>
            <w:vAlign w:val="center"/>
          </w:tcPr>
          <w:p w14:paraId="7479BF07">
            <w:pPr>
              <w:pStyle w:val="40"/>
              <w:spacing w:before="0" w:after="0" w:line="360" w:lineRule="exact"/>
              <w:jc w:val="center"/>
              <w:rPr>
                <w:rFonts w:ascii="Times New Roman" w:hAnsi="Times New Roman"/>
                <w:b w:val="0"/>
                <w:bCs w:val="0"/>
              </w:rPr>
            </w:pPr>
            <w:r>
              <w:rPr>
                <w:rFonts w:hint="eastAsia" w:ascii="Times New Roman" w:hAnsi="Times New Roman"/>
                <w:b w:val="0"/>
                <w:bCs w:val="0"/>
              </w:rPr>
              <w:t>约束性</w:t>
            </w:r>
          </w:p>
        </w:tc>
      </w:tr>
      <w:tr w14:paraId="0029A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59ABDAE5">
            <w:pPr>
              <w:pStyle w:val="40"/>
              <w:spacing w:before="0" w:after="0" w:line="360" w:lineRule="exact"/>
              <w:jc w:val="center"/>
              <w:rPr>
                <w:rFonts w:ascii="Times New Roman" w:hAnsi="Times New Roman"/>
                <w:b w:val="0"/>
                <w:bCs w:val="0"/>
              </w:rPr>
            </w:pPr>
            <w:r>
              <w:rPr>
                <w:rFonts w:hint="eastAsia" w:ascii="Times New Roman" w:hAnsi="Times New Roman"/>
                <w:b w:val="0"/>
                <w:bCs w:val="0"/>
              </w:rPr>
              <w:t>13</w:t>
            </w:r>
          </w:p>
        </w:tc>
        <w:tc>
          <w:tcPr>
            <w:tcW w:w="502" w:type="pct"/>
            <w:vMerge w:val="continue"/>
            <w:shd w:val="clear" w:color="000000" w:fill="FFFFFF"/>
            <w:vAlign w:val="center"/>
          </w:tcPr>
          <w:p w14:paraId="30F96007">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14:paraId="69E5C867">
            <w:pPr>
              <w:pStyle w:val="40"/>
              <w:spacing w:before="0" w:after="0" w:line="360" w:lineRule="exact"/>
              <w:jc w:val="left"/>
              <w:rPr>
                <w:rFonts w:ascii="Times New Roman" w:hAnsi="Times New Roman"/>
                <w:b w:val="0"/>
                <w:bCs w:val="0"/>
              </w:rPr>
            </w:pPr>
            <w:r>
              <w:rPr>
                <w:rFonts w:hint="eastAsia" w:ascii="Times New Roman" w:hAnsi="Times New Roman"/>
                <w:b w:val="0"/>
                <w:bCs w:val="0"/>
              </w:rPr>
              <w:t>地表水达到或好于Ⅲ类水体比例（%）</w:t>
            </w:r>
          </w:p>
        </w:tc>
        <w:tc>
          <w:tcPr>
            <w:tcW w:w="465" w:type="pct"/>
            <w:vAlign w:val="center"/>
          </w:tcPr>
          <w:p w14:paraId="2F460BC8">
            <w:pPr>
              <w:pStyle w:val="40"/>
              <w:spacing w:before="0" w:after="0" w:line="360" w:lineRule="exact"/>
              <w:jc w:val="center"/>
              <w:rPr>
                <w:rFonts w:ascii="Times New Roman" w:hAnsi="Times New Roman"/>
                <w:b w:val="0"/>
                <w:bCs w:val="0"/>
              </w:rPr>
            </w:pPr>
            <w:r>
              <w:rPr>
                <w:rFonts w:hint="eastAsia" w:ascii="Times New Roman" w:hAnsi="Times New Roman"/>
                <w:b w:val="0"/>
                <w:bCs w:val="0"/>
              </w:rPr>
              <w:t>100</w:t>
            </w:r>
          </w:p>
        </w:tc>
        <w:tc>
          <w:tcPr>
            <w:tcW w:w="842" w:type="pct"/>
            <w:vAlign w:val="center"/>
          </w:tcPr>
          <w:p w14:paraId="2D3ED4DE">
            <w:pPr>
              <w:pStyle w:val="40"/>
              <w:spacing w:before="0" w:after="0" w:line="360" w:lineRule="exact"/>
              <w:jc w:val="center"/>
              <w:rPr>
                <w:rFonts w:ascii="Times New Roman" w:hAnsi="Times New Roman"/>
                <w:b w:val="0"/>
                <w:bCs w:val="0"/>
              </w:rPr>
            </w:pPr>
            <w:r>
              <w:rPr>
                <w:rFonts w:hint="eastAsia" w:ascii="Times New Roman" w:hAnsi="Times New Roman"/>
                <w:b w:val="0"/>
                <w:bCs w:val="0"/>
              </w:rPr>
              <w:t>达到上级考核要求</w:t>
            </w:r>
          </w:p>
        </w:tc>
        <w:tc>
          <w:tcPr>
            <w:tcW w:w="428" w:type="pct"/>
            <w:vAlign w:val="center"/>
          </w:tcPr>
          <w:p w14:paraId="5E7920FD">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803" w:type="pct"/>
            <w:shd w:val="clear" w:color="000000" w:fill="FFFFFF"/>
            <w:vAlign w:val="center"/>
          </w:tcPr>
          <w:p w14:paraId="67F369AB">
            <w:pPr>
              <w:pStyle w:val="40"/>
              <w:spacing w:before="0" w:after="0" w:line="360" w:lineRule="exact"/>
              <w:jc w:val="center"/>
              <w:rPr>
                <w:rFonts w:ascii="Times New Roman" w:hAnsi="Times New Roman"/>
                <w:b w:val="0"/>
                <w:bCs w:val="0"/>
              </w:rPr>
            </w:pPr>
            <w:r>
              <w:rPr>
                <w:rFonts w:hint="eastAsia" w:ascii="Times New Roman" w:hAnsi="Times New Roman"/>
                <w:b w:val="0"/>
                <w:bCs w:val="0"/>
              </w:rPr>
              <w:t>约束性</w:t>
            </w:r>
          </w:p>
        </w:tc>
      </w:tr>
      <w:tr w14:paraId="29F65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588D4BFC">
            <w:pPr>
              <w:pStyle w:val="40"/>
              <w:spacing w:before="0" w:after="0" w:line="360" w:lineRule="exact"/>
              <w:jc w:val="center"/>
              <w:rPr>
                <w:rFonts w:ascii="Times New Roman" w:hAnsi="Times New Roman"/>
                <w:b w:val="0"/>
                <w:bCs w:val="0"/>
              </w:rPr>
            </w:pPr>
            <w:r>
              <w:rPr>
                <w:rFonts w:hint="eastAsia" w:ascii="Times New Roman" w:hAnsi="Times New Roman"/>
                <w:b w:val="0"/>
                <w:bCs w:val="0"/>
              </w:rPr>
              <w:t>14</w:t>
            </w:r>
          </w:p>
        </w:tc>
        <w:tc>
          <w:tcPr>
            <w:tcW w:w="502" w:type="pct"/>
            <w:vMerge w:val="continue"/>
            <w:vAlign w:val="center"/>
          </w:tcPr>
          <w:p w14:paraId="3FA8EE5F">
            <w:pPr>
              <w:pStyle w:val="40"/>
              <w:spacing w:before="0" w:after="0" w:line="360" w:lineRule="exact"/>
              <w:jc w:val="center"/>
              <w:rPr>
                <w:rFonts w:ascii="Times New Roman" w:hAnsi="Times New Roman"/>
                <w:b w:val="0"/>
                <w:bCs w:val="0"/>
              </w:rPr>
            </w:pPr>
          </w:p>
        </w:tc>
        <w:tc>
          <w:tcPr>
            <w:tcW w:w="1718" w:type="pct"/>
            <w:shd w:val="clear" w:color="000000" w:fill="FFFFFF"/>
            <w:vAlign w:val="center"/>
          </w:tcPr>
          <w:p w14:paraId="4ECD82FC">
            <w:pPr>
              <w:pStyle w:val="40"/>
              <w:spacing w:before="0" w:after="0" w:line="360" w:lineRule="exact"/>
              <w:jc w:val="left"/>
              <w:rPr>
                <w:rFonts w:ascii="Times New Roman" w:hAnsi="Times New Roman"/>
                <w:b w:val="0"/>
                <w:bCs w:val="0"/>
              </w:rPr>
            </w:pPr>
            <w:r>
              <w:rPr>
                <w:rFonts w:hint="eastAsia" w:ascii="Times New Roman" w:hAnsi="Times New Roman"/>
                <w:b w:val="0"/>
                <w:bCs w:val="0"/>
              </w:rPr>
              <w:t>森林覆盖率（%）</w:t>
            </w:r>
          </w:p>
        </w:tc>
        <w:tc>
          <w:tcPr>
            <w:tcW w:w="465" w:type="pct"/>
            <w:vAlign w:val="center"/>
          </w:tcPr>
          <w:p w14:paraId="3D26DA89">
            <w:pPr>
              <w:pStyle w:val="40"/>
              <w:spacing w:before="0" w:after="0" w:line="360" w:lineRule="exact"/>
              <w:jc w:val="center"/>
              <w:rPr>
                <w:rFonts w:ascii="Times New Roman" w:hAnsi="Times New Roman"/>
                <w:b w:val="0"/>
                <w:bCs w:val="0"/>
              </w:rPr>
            </w:pPr>
            <w:r>
              <w:rPr>
                <w:rFonts w:hint="eastAsia" w:ascii="Times New Roman" w:hAnsi="Times New Roman"/>
                <w:b w:val="0"/>
                <w:bCs w:val="0"/>
              </w:rPr>
              <w:t>19.43</w:t>
            </w:r>
          </w:p>
        </w:tc>
        <w:tc>
          <w:tcPr>
            <w:tcW w:w="842" w:type="pct"/>
            <w:vAlign w:val="center"/>
          </w:tcPr>
          <w:p w14:paraId="169A7D35">
            <w:pPr>
              <w:pStyle w:val="40"/>
              <w:spacing w:before="0" w:after="0" w:line="360" w:lineRule="exact"/>
              <w:jc w:val="center"/>
              <w:rPr>
                <w:rFonts w:ascii="Times New Roman" w:hAnsi="Times New Roman"/>
                <w:b w:val="0"/>
                <w:bCs w:val="0"/>
              </w:rPr>
            </w:pPr>
            <w:r>
              <w:rPr>
                <w:rFonts w:hint="eastAsia" w:ascii="Times New Roman" w:hAnsi="Times New Roman"/>
                <w:b w:val="0"/>
                <w:bCs w:val="0"/>
              </w:rPr>
              <w:t>19.43</w:t>
            </w:r>
          </w:p>
        </w:tc>
        <w:tc>
          <w:tcPr>
            <w:tcW w:w="428" w:type="pct"/>
            <w:vAlign w:val="center"/>
          </w:tcPr>
          <w:p w14:paraId="3FC22003">
            <w:pPr>
              <w:pStyle w:val="40"/>
              <w:spacing w:before="0" w:after="0" w:line="360" w:lineRule="exact"/>
              <w:jc w:val="center"/>
              <w:rPr>
                <w:rFonts w:ascii="Times New Roman" w:hAnsi="Times New Roman"/>
                <w:b w:val="0"/>
                <w:bCs w:val="0"/>
              </w:rPr>
            </w:pPr>
            <w:r>
              <w:rPr>
                <w:rFonts w:hint="eastAsia" w:ascii="Times New Roman" w:hAnsi="Times New Roman"/>
                <w:b w:val="0"/>
                <w:bCs w:val="0"/>
              </w:rPr>
              <w:t>-</w:t>
            </w:r>
          </w:p>
        </w:tc>
        <w:tc>
          <w:tcPr>
            <w:tcW w:w="803" w:type="pct"/>
            <w:shd w:val="clear" w:color="000000" w:fill="FFFFFF"/>
            <w:vAlign w:val="center"/>
          </w:tcPr>
          <w:p w14:paraId="1552F10E">
            <w:pPr>
              <w:pStyle w:val="40"/>
              <w:spacing w:before="0" w:after="0" w:line="360" w:lineRule="exact"/>
              <w:jc w:val="center"/>
              <w:rPr>
                <w:rFonts w:ascii="Times New Roman" w:hAnsi="Times New Roman"/>
                <w:b w:val="0"/>
                <w:bCs w:val="0"/>
              </w:rPr>
            </w:pPr>
            <w:r>
              <w:rPr>
                <w:rFonts w:hint="eastAsia" w:ascii="Times New Roman" w:hAnsi="Times New Roman"/>
                <w:b w:val="0"/>
                <w:bCs w:val="0"/>
              </w:rPr>
              <w:t>约束性</w:t>
            </w:r>
          </w:p>
        </w:tc>
      </w:tr>
      <w:tr w14:paraId="673C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2" w:type="pct"/>
            <w:shd w:val="clear" w:color="000000" w:fill="FFFFFF"/>
            <w:vAlign w:val="center"/>
          </w:tcPr>
          <w:p w14:paraId="698F09BA">
            <w:pPr>
              <w:pStyle w:val="40"/>
              <w:spacing w:before="0" w:after="0" w:line="360" w:lineRule="exact"/>
              <w:jc w:val="center"/>
              <w:rPr>
                <w:rFonts w:ascii="Times New Roman" w:hAnsi="Times New Roman"/>
                <w:b w:val="0"/>
                <w:bCs w:val="0"/>
              </w:rPr>
            </w:pPr>
            <w:r>
              <w:rPr>
                <w:rFonts w:hint="eastAsia" w:ascii="Times New Roman" w:hAnsi="Times New Roman"/>
                <w:b w:val="0"/>
                <w:bCs w:val="0"/>
              </w:rPr>
              <w:t>15</w:t>
            </w:r>
          </w:p>
        </w:tc>
        <w:tc>
          <w:tcPr>
            <w:tcW w:w="502" w:type="pct"/>
            <w:shd w:val="clear" w:color="000000" w:fill="FFFFFF"/>
            <w:vAlign w:val="center"/>
          </w:tcPr>
          <w:p w14:paraId="2F750767">
            <w:pPr>
              <w:pStyle w:val="40"/>
              <w:spacing w:before="0" w:after="0" w:line="360" w:lineRule="exact"/>
              <w:jc w:val="center"/>
              <w:rPr>
                <w:rFonts w:ascii="Times New Roman" w:hAnsi="Times New Roman"/>
                <w:b w:val="0"/>
                <w:bCs w:val="0"/>
              </w:rPr>
            </w:pPr>
            <w:r>
              <w:rPr>
                <w:rFonts w:hint="eastAsia" w:ascii="Times New Roman" w:hAnsi="Times New Roman"/>
                <w:b w:val="0"/>
                <w:bCs w:val="0"/>
              </w:rPr>
              <w:t>安全保障</w:t>
            </w:r>
          </w:p>
        </w:tc>
        <w:tc>
          <w:tcPr>
            <w:tcW w:w="1718" w:type="pct"/>
            <w:shd w:val="clear" w:color="000000" w:fill="FFFFFF"/>
            <w:vAlign w:val="center"/>
          </w:tcPr>
          <w:p w14:paraId="37A9C44C">
            <w:pPr>
              <w:pStyle w:val="40"/>
              <w:spacing w:before="0" w:after="0" w:line="360" w:lineRule="exact"/>
              <w:jc w:val="left"/>
              <w:rPr>
                <w:rFonts w:ascii="Times New Roman" w:hAnsi="Times New Roman"/>
                <w:b w:val="0"/>
                <w:bCs w:val="0"/>
              </w:rPr>
            </w:pPr>
            <w:r>
              <w:rPr>
                <w:rFonts w:hint="eastAsia" w:ascii="Times New Roman" w:hAnsi="Times New Roman"/>
                <w:b w:val="0"/>
                <w:bCs w:val="0"/>
              </w:rPr>
              <w:t>粮食综合生产能力（亿斤）</w:t>
            </w:r>
          </w:p>
        </w:tc>
        <w:tc>
          <w:tcPr>
            <w:tcW w:w="465" w:type="pct"/>
            <w:vAlign w:val="center"/>
          </w:tcPr>
          <w:p w14:paraId="06DC7533">
            <w:pPr>
              <w:pStyle w:val="40"/>
              <w:spacing w:before="0" w:after="0" w:line="360" w:lineRule="exact"/>
              <w:jc w:val="center"/>
              <w:rPr>
                <w:rFonts w:ascii="Times New Roman" w:hAnsi="Times New Roman"/>
                <w:b w:val="0"/>
                <w:bCs w:val="0"/>
              </w:rPr>
            </w:pPr>
            <w:r>
              <w:rPr>
                <w:rFonts w:hint="eastAsia" w:ascii="Times New Roman" w:hAnsi="Times New Roman"/>
                <w:b w:val="0"/>
                <w:bCs w:val="0"/>
              </w:rPr>
              <w:t>47.5</w:t>
            </w:r>
          </w:p>
        </w:tc>
        <w:tc>
          <w:tcPr>
            <w:tcW w:w="842" w:type="pct"/>
            <w:vAlign w:val="center"/>
          </w:tcPr>
          <w:p w14:paraId="5288D3FB">
            <w:pPr>
              <w:pStyle w:val="40"/>
              <w:spacing w:before="0" w:after="0" w:line="360" w:lineRule="exact"/>
              <w:jc w:val="center"/>
              <w:rPr>
                <w:rFonts w:ascii="Times New Roman" w:hAnsi="Times New Roman"/>
                <w:b w:val="0"/>
                <w:bCs w:val="0"/>
              </w:rPr>
            </w:pPr>
            <w:r>
              <w:rPr>
                <w:rFonts w:hint="eastAsia" w:ascii="Times New Roman" w:hAnsi="Times New Roman"/>
                <w:b w:val="0"/>
                <w:bCs w:val="0"/>
              </w:rPr>
              <w:t>[上级暂未下达指标任务]</w:t>
            </w:r>
          </w:p>
        </w:tc>
        <w:tc>
          <w:tcPr>
            <w:tcW w:w="428" w:type="pct"/>
            <w:vAlign w:val="center"/>
          </w:tcPr>
          <w:p w14:paraId="663935B3">
            <w:pPr>
              <w:pStyle w:val="40"/>
              <w:spacing w:before="0" w:after="0" w:line="360" w:lineRule="exact"/>
              <w:jc w:val="center"/>
              <w:rPr>
                <w:rFonts w:ascii="Times New Roman" w:hAnsi="Times New Roman"/>
                <w:b w:val="0"/>
                <w:bCs w:val="0"/>
              </w:rPr>
            </w:pPr>
          </w:p>
        </w:tc>
        <w:tc>
          <w:tcPr>
            <w:tcW w:w="803" w:type="pct"/>
            <w:shd w:val="clear" w:color="000000" w:fill="FFFFFF"/>
            <w:vAlign w:val="center"/>
          </w:tcPr>
          <w:p w14:paraId="3BCDF4FC">
            <w:pPr>
              <w:pStyle w:val="40"/>
              <w:spacing w:before="0" w:after="0" w:line="360" w:lineRule="exact"/>
              <w:jc w:val="center"/>
              <w:rPr>
                <w:rFonts w:ascii="Times New Roman" w:hAnsi="Times New Roman"/>
                <w:b w:val="0"/>
                <w:bCs w:val="0"/>
              </w:rPr>
            </w:pPr>
            <w:r>
              <w:rPr>
                <w:rFonts w:hint="eastAsia" w:ascii="Times New Roman" w:hAnsi="Times New Roman"/>
                <w:b w:val="0"/>
                <w:bCs w:val="0"/>
              </w:rPr>
              <w:t>约束性</w:t>
            </w:r>
          </w:p>
        </w:tc>
      </w:tr>
      <w:tr w14:paraId="12541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7"/>
            <w:shd w:val="clear" w:color="000000" w:fill="FFFFFF"/>
            <w:vAlign w:val="center"/>
          </w:tcPr>
          <w:p w14:paraId="0DE481CB">
            <w:pPr>
              <w:pStyle w:val="40"/>
              <w:spacing w:before="0" w:after="0" w:line="360" w:lineRule="exact"/>
              <w:jc w:val="left"/>
              <w:rPr>
                <w:rFonts w:ascii="Times New Roman" w:hAnsi="Times New Roman"/>
                <w:b w:val="0"/>
                <w:bCs w:val="0"/>
              </w:rPr>
            </w:pPr>
            <w:r>
              <w:rPr>
                <w:rFonts w:hint="eastAsia" w:ascii="Times New Roman" w:hAnsi="Times New Roman"/>
                <w:b w:val="0"/>
                <w:bCs w:val="0"/>
              </w:rPr>
              <w:t>注：年均/累计，[]为五年累计目标，其他为五年年均目标</w:t>
            </w:r>
          </w:p>
        </w:tc>
      </w:tr>
    </w:tbl>
    <w:p w14:paraId="3E97BEFF">
      <w:pPr>
        <w:ind w:firstLine="640"/>
        <w:sectPr>
          <w:pgSz w:w="11906" w:h="16838"/>
          <w:pgMar w:top="2098" w:right="1531" w:bottom="1984" w:left="1531" w:header="851" w:footer="992" w:gutter="0"/>
          <w:cols w:space="425" w:num="1"/>
          <w:docGrid w:type="lines" w:linePitch="312" w:charSpace="0"/>
        </w:sectPr>
      </w:pPr>
    </w:p>
    <w:p w14:paraId="5E8707A3">
      <w:pPr>
        <w:pStyle w:val="4"/>
        <w:spacing w:before="312" w:after="312"/>
      </w:pPr>
      <w:bookmarkStart w:id="13" w:name="_Toc228206075"/>
      <w:r>
        <w:rPr>
          <w:rFonts w:hint="eastAsia"/>
        </w:rPr>
        <w:t>第三章 铸牢中华民族共同体意识，推进中华民族共同体建设</w:t>
      </w:r>
      <w:bookmarkEnd w:id="13"/>
      <w:r>
        <w:rPr>
          <w:rFonts w:hint="eastAsia"/>
        </w:rPr>
        <w:t xml:space="preserve"> </w:t>
      </w:r>
    </w:p>
    <w:p w14:paraId="7D3CF198">
      <w:pPr>
        <w:spacing w:line="560" w:lineRule="exact"/>
        <w:ind w:firstLine="640"/>
        <w:rPr>
          <w:rFonts w:hint="eastAsia" w:ascii="仿宋_GB2312" w:hAnsi="仿宋_GB2312" w:cs="仿宋_GB2312"/>
          <w:color w:val="000000"/>
          <w:szCs w:val="32"/>
        </w:rPr>
      </w:pPr>
      <w:r>
        <w:rPr>
          <w:rFonts w:hint="eastAsia" w:ascii="仿宋_GB2312" w:hAnsi="仿宋_GB2312" w:cs="仿宋_GB2312"/>
          <w:color w:val="000000"/>
          <w:szCs w:val="32"/>
        </w:rPr>
        <w:t>牢牢把握铸牢中华民族共同体意识这一新时代党的民族工作和民族地区各项工作的主线，把主线要求具体深入地贯彻落实到全旗经济建设、政治建设、文化建设、社会建设、生态文明建设和党的建设等各项工作中，加强各民族深度交往交流交融，有形有感有效推进中华民族共同体建设。</w:t>
      </w:r>
    </w:p>
    <w:p w14:paraId="260D5E50">
      <w:pPr>
        <w:pStyle w:val="5"/>
        <w:spacing w:before="156" w:after="156"/>
      </w:pPr>
      <w:bookmarkStart w:id="14" w:name="_Toc228206076"/>
      <w:r>
        <w:rPr>
          <w:rFonts w:hint="eastAsia"/>
        </w:rPr>
        <w:t>第一节 健全完善贯彻主线要求制度机制</w:t>
      </w:r>
      <w:bookmarkEnd w:id="14"/>
    </w:p>
    <w:p w14:paraId="69E7F3E8">
      <w:pPr>
        <w:spacing w:line="560" w:lineRule="exact"/>
        <w:ind w:firstLine="640"/>
        <w:rPr>
          <w:rFonts w:hint="eastAsia" w:ascii="仿宋_GB2312" w:hAnsi="仿宋_GB2312" w:cs="仿宋_GB2312"/>
          <w:color w:val="333333"/>
          <w:szCs w:val="32"/>
          <w:shd w:val="clear" w:color="auto" w:fill="FFFFFF"/>
        </w:rPr>
      </w:pPr>
      <w:r>
        <w:rPr>
          <w:rFonts w:hint="eastAsia" w:ascii="仿宋_GB2312" w:hAnsi="仿宋_GB2312" w:cs="仿宋_GB2312"/>
          <w:color w:val="333333"/>
          <w:szCs w:val="32"/>
          <w:shd w:val="clear" w:color="auto" w:fill="FFFFFF"/>
        </w:rPr>
        <w:t>强化各党委（党组）和领导干部的主线意识，严格落实铸牢中华民族共同体意识工作责任制和工作协调机制。完善重大经济社会发展政策贯彻主线要求、赋予所有改革发展以“三个意义”的审核评估机制。加强法规政策前置审核、备案审查工作，以铸牢中华民族共同体意识为基本前提，强化中华民族共同性，增强中华民族共同体意识。加强民族领域普法和民族事务依法治理，不断增强全社会民族工作法治观念，有效凝聚社会共识，为各民族交往交流交融提供稳定、透明、可预期的制度环境，夯实民族团结的社会基础和法治基础，依法保障各族群众合法权益。使各族群众共享改革发展成果，不断增强获得感、幸福感、安全感。落实民族工作数字化要求。</w:t>
      </w:r>
    </w:p>
    <w:p w14:paraId="02850B1D">
      <w:pPr>
        <w:pStyle w:val="5"/>
        <w:spacing w:before="156" w:after="156"/>
      </w:pPr>
      <w:bookmarkStart w:id="15" w:name="_Toc228206077"/>
      <w:r>
        <w:rPr>
          <w:rFonts w:hint="eastAsia"/>
        </w:rPr>
        <w:t>第二节 加强铸牢中华民族共同体意识理论研究和宣传教育</w:t>
      </w:r>
      <w:bookmarkEnd w:id="15"/>
    </w:p>
    <w:p w14:paraId="4508065E">
      <w:pPr>
        <w:spacing w:line="560" w:lineRule="exact"/>
        <w:ind w:firstLine="640"/>
        <w:rPr>
          <w:rFonts w:hint="eastAsia" w:ascii="仿宋_GB2312" w:hAnsi="仿宋_GB2312" w:cs="仿宋_GB2312"/>
          <w:color w:val="333333"/>
          <w:szCs w:val="32"/>
          <w:shd w:val="clear" w:color="auto" w:fill="FFFFFF"/>
        </w:rPr>
      </w:pPr>
      <w:r>
        <w:rPr>
          <w:rFonts w:hint="eastAsia" w:ascii="仿宋_GB2312" w:hAnsi="仿宋_GB2312" w:cs="仿宋_GB2312"/>
          <w:color w:val="333333"/>
          <w:szCs w:val="32"/>
          <w:shd w:val="clear" w:color="auto" w:fill="FFFFFF"/>
        </w:rPr>
        <w:t>强化铸牢中华民族共同体意识理论和实践研究，持续深化实施铸牢中华民族共同体意识研究基地、教育基地和青少年研学基地“三个基地”提升工程，持续深入开展对“三个离不开”“五个共同”“四个与共”“五个认同”“五观”和“七个作模范”等理念和要求的宣传阐释。推进铸牢中华民族共同体意识宣传教育常态化长效化，分类抓好干部教育、党员教育、国民教育、社会教育，深入开展“感党恩、听党话、跟党走”群众教育，引导各族干部群众牢固树立休戚与共、荣辱与共、生死与共、命运与共的共同体理念。增进对中华文化的认同，把主线要求贯彻落实到历史文化宣传教育、公共文化设施建设、城市标志性建筑建设、旅游景观陈列等相关方面，树立和突出各民族共有共享的中华文化符号和中华民族形象，构筑中华民族共有精神家园。</w:t>
      </w:r>
    </w:p>
    <w:p w14:paraId="5FE90BC8">
      <w:pPr>
        <w:pStyle w:val="5"/>
        <w:spacing w:before="156" w:after="156"/>
      </w:pPr>
      <w:bookmarkStart w:id="16" w:name="_Toc228206078"/>
      <w:r>
        <w:rPr>
          <w:rFonts w:hint="eastAsia"/>
        </w:rPr>
        <w:t>第三节 深入持久开展民族团结进步创建</w:t>
      </w:r>
      <w:bookmarkEnd w:id="16"/>
    </w:p>
    <w:p w14:paraId="0A75DB04">
      <w:pPr>
        <w:spacing w:line="560" w:lineRule="exact"/>
        <w:ind w:firstLine="640"/>
        <w:rPr>
          <w:rFonts w:hint="eastAsia" w:ascii="仿宋_GB2312" w:hAnsi="仿宋_GB2312" w:cs="仿宋_GB2312"/>
          <w:color w:val="333333"/>
          <w:szCs w:val="32"/>
          <w:shd w:val="clear" w:color="auto" w:fill="FFFFFF"/>
        </w:rPr>
      </w:pPr>
      <w:bookmarkStart w:id="17" w:name="_Hlk220939896"/>
      <w:r>
        <w:rPr>
          <w:rFonts w:hint="eastAsia" w:ascii="仿宋_GB2312" w:hAnsi="仿宋_GB2312" w:cs="仿宋_GB2312"/>
          <w:color w:val="333333"/>
          <w:szCs w:val="32"/>
          <w:shd w:val="clear" w:color="auto" w:fill="FFFFFF"/>
        </w:rPr>
        <w:t>持续打造“石榴红·莫力达瓦”创建品牌，丰富品牌内涵，讲好新时代中华民族共同体故事，擦亮全国民族团结进步示范旗“金字招牌”。深化民族团结进步宣传教育，充分利用民族政策宣传月、民族团结进步活动月、民族法治宣传周开展宣传教育，推动创建活动进机关、进企业、进社区、进乡镇、进学校、进连队、进宗教活动场所、进网络等各领域，有形有感有效铸牢中华民族共同体意识。全面推行使用国家统编教材，全面推广普及国家通用语言文字</w:t>
      </w:r>
      <w:bookmarkEnd w:id="17"/>
      <w:r>
        <w:rPr>
          <w:rFonts w:hint="eastAsia" w:ascii="仿宋_GB2312" w:hAnsi="仿宋_GB2312" w:cs="仿宋_GB2312"/>
          <w:color w:val="333333"/>
          <w:szCs w:val="32"/>
          <w:shd w:val="clear" w:color="auto" w:fill="FFFFFF"/>
        </w:rPr>
        <w:t>。科学保护各民族语言文字，尊重和保障少数民族语言文字学习和使用。</w:t>
      </w:r>
    </w:p>
    <w:p w14:paraId="665FD662">
      <w:pPr>
        <w:pStyle w:val="5"/>
        <w:spacing w:before="156" w:after="156"/>
      </w:pPr>
      <w:bookmarkStart w:id="18" w:name="_Toc228206079"/>
      <w:r>
        <w:rPr>
          <w:rFonts w:hint="eastAsia"/>
        </w:rPr>
        <w:t>第四节 深入实施促进各民族交往交流交融“三项计划”</w:t>
      </w:r>
      <w:bookmarkEnd w:id="18"/>
    </w:p>
    <w:p w14:paraId="05B054B5">
      <w:pPr>
        <w:spacing w:line="560" w:lineRule="exact"/>
        <w:ind w:firstLine="640"/>
        <w:rPr>
          <w:rFonts w:hint="eastAsia" w:ascii="仿宋_GB2312" w:hAnsi="仿宋_GB2312" w:cs="仿宋_GB2312"/>
          <w:color w:val="333333"/>
          <w:szCs w:val="32"/>
          <w:shd w:val="clear" w:color="auto" w:fill="FFFFFF"/>
        </w:rPr>
        <w:sectPr>
          <w:pgSz w:w="11906" w:h="16838"/>
          <w:pgMar w:top="2098" w:right="1531" w:bottom="1984" w:left="1531" w:header="851" w:footer="992" w:gutter="0"/>
          <w:cols w:space="425" w:num="1"/>
          <w:docGrid w:type="lines" w:linePitch="312" w:charSpace="0"/>
        </w:sectPr>
      </w:pPr>
      <w:r>
        <w:rPr>
          <w:rFonts w:hint="eastAsia" w:ascii="仿宋_GB2312" w:hAnsi="仿宋_GB2312" w:cs="仿宋_GB2312"/>
          <w:color w:val="333333"/>
          <w:szCs w:val="32"/>
          <w:shd w:val="clear" w:color="auto" w:fill="FFFFFF"/>
        </w:rPr>
        <w:t>持续深化各族群众互嵌式发展计划、各民族青少年交流计划、旅游促进各民族交往交流交融计划引领工程，创新活动载体，拓宽参与渠道，打造曲棍球促“三交”等莫旗特色品牌，提升活动吸引力和影响力，促进各民族深度交往交流交融。统筹城乡建设布局规划和公共服务资源配置，持续深化构建互嵌式社会结构和社区环境，促进各民族在空间、文化、经济、社会、心理等方面全方位嵌入，创造更加完善的各族群众共居共学、共建共享、共事共乐社会条件。</w:t>
      </w:r>
    </w:p>
    <w:p w14:paraId="58AE54D5">
      <w:pPr>
        <w:pStyle w:val="4"/>
        <w:spacing w:before="312" w:after="312"/>
      </w:pPr>
      <w:bookmarkStart w:id="19" w:name="_Toc228206080"/>
      <w:r>
        <w:rPr>
          <w:rFonts w:hint="eastAsia"/>
        </w:rPr>
        <w:t>第四章 筑牢生态屏障，绘就绿色发展壮美画卷</w:t>
      </w:r>
      <w:bookmarkEnd w:id="19"/>
    </w:p>
    <w:p w14:paraId="32F9483F">
      <w:pPr>
        <w:ind w:firstLine="640"/>
        <w:rPr>
          <w:rFonts w:eastAsia="仿宋" w:cs="Times New Roman"/>
          <w:szCs w:val="36"/>
        </w:rPr>
      </w:pPr>
      <w:r>
        <w:rPr>
          <w:rFonts w:hint="eastAsia" w:ascii="仿宋" w:hAnsi="仿宋"/>
          <w:szCs w:val="28"/>
        </w:rPr>
        <w:t>牢固树立和践行绿水青山就是金山银山的理念，坚持山水林田湖草沙一体化保护和系统治理，将生态文明建设贯穿始终，协同推进降碳、减污、扩绿、增长，促进生态优先、节约集约、绿色低碳发展，建设我国北方重要生态安全屏障。</w:t>
      </w:r>
    </w:p>
    <w:p w14:paraId="20555CB3">
      <w:pPr>
        <w:pStyle w:val="5"/>
        <w:spacing w:before="156" w:after="156"/>
      </w:pPr>
      <w:bookmarkStart w:id="20" w:name="_Toc228206081"/>
      <w:r>
        <w:rPr>
          <w:rFonts w:hint="eastAsia"/>
        </w:rPr>
        <w:t>第一节 提升生态系统稳定性持续性</w:t>
      </w:r>
      <w:bookmarkEnd w:id="20"/>
    </w:p>
    <w:p w14:paraId="05D20145">
      <w:pPr>
        <w:ind w:firstLine="643"/>
        <w:rPr>
          <w:b/>
          <w:bCs/>
          <w:szCs w:val="28"/>
        </w:rPr>
      </w:pPr>
      <w:r>
        <w:rPr>
          <w:rFonts w:hint="eastAsia"/>
          <w:b/>
          <w:bCs/>
          <w:szCs w:val="28"/>
        </w:rPr>
        <w:t>加强林草湿生态保护修复。</w:t>
      </w:r>
      <w:r>
        <w:rPr>
          <w:rFonts w:hint="eastAsia"/>
          <w:szCs w:val="28"/>
        </w:rPr>
        <w:t>全面落实“林长制”，严格林、草、湿地用途管制</w:t>
      </w:r>
      <w:r>
        <w:rPr>
          <w:rFonts w:ascii="Segoe UI" w:hAnsi="Segoe UI" w:cs="Segoe UI"/>
          <w:color w:val="0F1115"/>
          <w:szCs w:val="28"/>
          <w:shd w:val="clear" w:color="auto" w:fill="FFFFFF"/>
        </w:rPr>
        <w:t>与生态空间管控</w:t>
      </w:r>
      <w:r>
        <w:rPr>
          <w:rFonts w:hint="eastAsia"/>
          <w:szCs w:val="28"/>
        </w:rPr>
        <w:t>，科学规划修复退化林草湿生态系统。扎实推进国土绿化与生态修复，加快“三北”工程林草湿荒一体化保护修复，</w:t>
      </w:r>
      <w:r>
        <w:rPr>
          <w:rFonts w:ascii="Segoe UI" w:hAnsi="Segoe UI" w:cs="Segoe UI"/>
          <w:color w:val="0F1115"/>
          <w:szCs w:val="28"/>
          <w:shd w:val="clear" w:color="auto" w:fill="FFFFFF"/>
        </w:rPr>
        <w:t>精准提升森林质量，持续实施森林抚育、退化林修复和人工乔木造林</w:t>
      </w:r>
      <w:r>
        <w:rPr>
          <w:rFonts w:hint="eastAsia"/>
          <w:szCs w:val="28"/>
        </w:rPr>
        <w:t>，</w:t>
      </w:r>
      <w:r>
        <w:rPr>
          <w:rFonts w:ascii="Segoe UI" w:hAnsi="Segoe UI" w:cs="Segoe UI"/>
          <w:color w:val="0F1115"/>
          <w:szCs w:val="28"/>
          <w:shd w:val="clear" w:color="auto" w:fill="FFFFFF"/>
        </w:rPr>
        <w:t>重点推进</w:t>
      </w:r>
      <w:r>
        <w:rPr>
          <w:rFonts w:hint="eastAsia"/>
          <w:szCs w:val="28"/>
        </w:rPr>
        <w:t>三北巩固提升、森林可持续经营、岭南林草过渡带生态综合治理、重点区域绿化等关键项目。持续巩固退耕还林还湿成果，</w:t>
      </w:r>
      <w:r>
        <w:rPr>
          <w:rFonts w:ascii="Segoe UI" w:hAnsi="Segoe UI" w:cs="Segoe UI"/>
          <w:color w:val="0F1115"/>
          <w:szCs w:val="28"/>
          <w:shd w:val="clear" w:color="auto" w:fill="FFFFFF"/>
        </w:rPr>
        <w:t>加强后期管护与成效监测</w:t>
      </w:r>
      <w:r>
        <w:rPr>
          <w:rFonts w:hint="eastAsia"/>
          <w:szCs w:val="28"/>
        </w:rPr>
        <w:t>。全面落实草原休牧、草畜平衡制度，</w:t>
      </w:r>
      <w:r>
        <w:rPr>
          <w:rFonts w:ascii="Segoe UI" w:hAnsi="Segoe UI" w:cs="Segoe UI"/>
          <w:color w:val="0F1115"/>
          <w:szCs w:val="28"/>
          <w:shd w:val="clear" w:color="auto" w:fill="FFFFFF"/>
        </w:rPr>
        <w:t>促进草原休养生息和可持续发展</w:t>
      </w:r>
      <w:r>
        <w:rPr>
          <w:rFonts w:hint="eastAsia"/>
          <w:szCs w:val="28"/>
        </w:rPr>
        <w:t>。完善湿地生态修复机制，推进巴彦国家湿地公园基础设施建设，</w:t>
      </w:r>
      <w:r>
        <w:rPr>
          <w:rFonts w:ascii="Segoe UI" w:hAnsi="Segoe UI" w:cs="Segoe UI"/>
          <w:color w:val="0F1115"/>
          <w:szCs w:val="28"/>
          <w:shd w:val="clear" w:color="auto" w:fill="FFFFFF"/>
        </w:rPr>
        <w:t>提升湿地生态系统的自我维持与恢复能力</w:t>
      </w:r>
      <w:r>
        <w:rPr>
          <w:rFonts w:hint="eastAsia"/>
          <w:szCs w:val="28"/>
        </w:rPr>
        <w:t>。到2030年，森林覆盖率达到</w:t>
      </w:r>
      <w:r>
        <w:rPr>
          <w:szCs w:val="28"/>
        </w:rPr>
        <w:t>19.43</w:t>
      </w:r>
      <w:r>
        <w:rPr>
          <w:rFonts w:hint="eastAsia"/>
          <w:szCs w:val="28"/>
        </w:rPr>
        <w:t>%，湿地保护率达到5.14%，草原综合植被盖度达到</w:t>
      </w:r>
      <w:r>
        <w:rPr>
          <w:szCs w:val="28"/>
        </w:rPr>
        <w:t>90.5</w:t>
      </w:r>
      <w:r>
        <w:rPr>
          <w:rFonts w:hint="eastAsia"/>
          <w:szCs w:val="28"/>
        </w:rPr>
        <w:t>%，基本草原保护面积不少于14.61万亩，生态保护红线面积不低于1152.77平方千米。</w:t>
      </w:r>
    </w:p>
    <w:p w14:paraId="6487570E">
      <w:pPr>
        <w:ind w:firstLine="643"/>
        <w:rPr>
          <w:b/>
          <w:bCs/>
          <w:szCs w:val="28"/>
        </w:rPr>
      </w:pPr>
      <w:r>
        <w:rPr>
          <w:rFonts w:hint="eastAsia"/>
          <w:b/>
          <w:bCs/>
          <w:szCs w:val="28"/>
        </w:rPr>
        <w:t>推进美丽河湖建设和矿山保护。</w:t>
      </w:r>
      <w:r>
        <w:rPr>
          <w:rFonts w:hint="eastAsia"/>
          <w:szCs w:val="28"/>
        </w:rPr>
        <w:t>实施重点河湖生态保护修复工程，围绕尼尔基水利枢纽下游河道、中小河流水岸线、诺敏河及甘河，推进莫旗嫩江河道空间保护修复项目、诺敏河及甘河生态修复项目等系列生态工程，</w:t>
      </w:r>
      <w:r>
        <w:rPr>
          <w:rFonts w:ascii="Segoe UI" w:hAnsi="Segoe UI" w:cs="Segoe UI"/>
          <w:color w:val="0F1115"/>
          <w:szCs w:val="28"/>
          <w:shd w:val="clear" w:color="auto" w:fill="FFFFFF"/>
        </w:rPr>
        <w:t>稳定河岸、恢复河流自然形态</w:t>
      </w:r>
      <w:r>
        <w:rPr>
          <w:rFonts w:hint="eastAsia"/>
          <w:szCs w:val="28"/>
        </w:rPr>
        <w:t>。持续推动尼尔基水库入库支流霍日里河生态保护修复工程、莫旗小流域综合治理工程，</w:t>
      </w:r>
      <w:r>
        <w:rPr>
          <w:rFonts w:ascii="Segoe UI" w:hAnsi="Segoe UI" w:cs="Segoe UI"/>
          <w:color w:val="0F1115"/>
          <w:szCs w:val="28"/>
          <w:shd w:val="clear" w:color="auto" w:fill="FFFFFF"/>
        </w:rPr>
        <w:t>减少面源污染入河</w:t>
      </w:r>
      <w:r>
        <w:rPr>
          <w:rFonts w:hint="eastAsia" w:ascii="Segoe UI" w:hAnsi="Segoe UI" w:cs="Segoe UI"/>
          <w:color w:val="0F1115"/>
          <w:szCs w:val="28"/>
          <w:shd w:val="clear" w:color="auto" w:fill="FFFFFF"/>
        </w:rPr>
        <w:t>。</w:t>
      </w:r>
      <w:r>
        <w:rPr>
          <w:rFonts w:ascii="Segoe UI" w:hAnsi="Segoe UI" w:cs="Segoe UI"/>
          <w:color w:val="0F1115"/>
          <w:szCs w:val="28"/>
          <w:shd w:val="clear" w:color="auto" w:fill="FFFFFF"/>
        </w:rPr>
        <w:t>加强水域岸线生态化改造与空间管控</w:t>
      </w:r>
      <w:r>
        <w:rPr>
          <w:rFonts w:hint="eastAsia" w:ascii="Segoe UI" w:hAnsi="Segoe UI" w:cs="Segoe UI"/>
          <w:color w:val="0F1115"/>
          <w:szCs w:val="28"/>
          <w:shd w:val="clear" w:color="auto" w:fill="FFFFFF"/>
        </w:rPr>
        <w:t>，推进</w:t>
      </w:r>
      <w:r>
        <w:rPr>
          <w:rFonts w:hint="eastAsia"/>
          <w:szCs w:val="28"/>
        </w:rPr>
        <w:t>莫旗水域岸线生态化改造工程、河湖生态缓冲带保护修复项目落地，</w:t>
      </w:r>
      <w:r>
        <w:rPr>
          <w:rFonts w:ascii="Segoe UI" w:hAnsi="Segoe UI" w:cs="Segoe UI"/>
          <w:color w:val="0F1115"/>
          <w:szCs w:val="28"/>
          <w:shd w:val="clear" w:color="auto" w:fill="FFFFFF"/>
        </w:rPr>
        <w:t>恢复沿岸植被群落，增强水陆交错带生态功能</w:t>
      </w:r>
      <w:r>
        <w:rPr>
          <w:rFonts w:hint="eastAsia"/>
          <w:szCs w:val="28"/>
        </w:rPr>
        <w:t>。健全“河湖长制”，推进河湖“清四乱”常态化规范化，强化执法检查力度，提升打击</w:t>
      </w:r>
      <w:r>
        <w:rPr>
          <w:rFonts w:ascii="Segoe UI" w:hAnsi="Segoe UI" w:cs="Segoe UI"/>
          <w:color w:val="0F1115"/>
          <w:szCs w:val="28"/>
          <w:shd w:val="clear" w:color="auto" w:fill="FFFFFF"/>
        </w:rPr>
        <w:t>非法采砂、违法围垦、侵占水域岸线</w:t>
      </w:r>
      <w:r>
        <w:rPr>
          <w:rFonts w:hint="eastAsia"/>
          <w:szCs w:val="28"/>
        </w:rPr>
        <w:t>等破坏河湖环境行为，</w:t>
      </w:r>
      <w:r>
        <w:rPr>
          <w:rFonts w:ascii="Segoe UI" w:hAnsi="Segoe UI" w:cs="Segoe UI"/>
          <w:color w:val="0F1115"/>
          <w:szCs w:val="28"/>
          <w:shd w:val="clear" w:color="auto" w:fill="FFFFFF"/>
        </w:rPr>
        <w:t>保障河湖生态空间完整</w:t>
      </w:r>
      <w:r>
        <w:rPr>
          <w:rFonts w:hint="eastAsia"/>
          <w:szCs w:val="28"/>
        </w:rPr>
        <w:t>。加强矿山生态保护和修复，重点实施历史遗留无主废弃采坑重点生态保护修复治理项目。全面推进绿色矿山建设。</w:t>
      </w:r>
    </w:p>
    <w:p w14:paraId="3723AD9F">
      <w:pPr>
        <w:ind w:firstLine="643"/>
        <w:rPr>
          <w:szCs w:val="28"/>
        </w:rPr>
      </w:pPr>
      <w:r>
        <w:rPr>
          <w:rFonts w:hint="eastAsia"/>
          <w:b/>
          <w:bCs/>
          <w:szCs w:val="28"/>
        </w:rPr>
        <w:t>推进生物多样性保护。</w:t>
      </w:r>
      <w:r>
        <w:rPr>
          <w:rFonts w:hint="eastAsia"/>
          <w:szCs w:val="28"/>
        </w:rPr>
        <w:t>强化自然保护地体系建设与监管，加强巴彦国家湿地公园等自然保护地建设，明确功能区划，完善界碑界桩、巡护道路、生态监测等基础设施。保护濒危物种及其生长环境，对重点物种实施栖息地修复、生态廊道建设和专项保育计划。加强生物资源养护与可持续利用，推行水生生物增殖放流，促进嫩江流域及重要水库的水生生物资源恢复。严格落实禁渔期、禁渔区制度，常态化开展禁渔执法与水生野生动物保护专项检查，严厉打击非法捕捞和破坏水生生物栖息环境的行为。严格管控外来物种，强化草原鼠害、林业松材线虫病等有害生物防治。</w:t>
      </w:r>
    </w:p>
    <w:p w14:paraId="6EC87810">
      <w:pPr>
        <w:pStyle w:val="5"/>
        <w:spacing w:before="156" w:after="156"/>
      </w:pPr>
      <w:bookmarkStart w:id="21" w:name="_Toc228206082"/>
      <w:r>
        <w:rPr>
          <w:rFonts w:hint="eastAsia"/>
        </w:rPr>
        <w:t>第二节 深入打好污染防治攻坚战</w:t>
      </w:r>
      <w:bookmarkEnd w:id="21"/>
    </w:p>
    <w:p w14:paraId="1BB2ECB5">
      <w:pPr>
        <w:ind w:firstLine="643"/>
        <w:rPr>
          <w:b/>
          <w:bCs/>
          <w:szCs w:val="28"/>
        </w:rPr>
      </w:pPr>
      <w:bookmarkStart w:id="22" w:name="OLE_LINK15"/>
      <w:r>
        <w:rPr>
          <w:rFonts w:hint="eastAsia"/>
          <w:b/>
          <w:bCs/>
          <w:szCs w:val="28"/>
        </w:rPr>
        <w:t>持续深入打好蓝天保卫战。</w:t>
      </w:r>
      <w:r>
        <w:rPr>
          <w:rFonts w:hint="eastAsia"/>
          <w:szCs w:val="28"/>
        </w:rPr>
        <w:t>优化大气治理技术路线，以细颗粒物控制为主线，强化臭氧、氮氧化物和挥发性有机物（V</w:t>
      </w:r>
      <w:r>
        <w:rPr>
          <w:szCs w:val="28"/>
        </w:rPr>
        <w:t>OC</w:t>
      </w:r>
      <w:r>
        <w:rPr>
          <w:rFonts w:hint="eastAsia"/>
          <w:szCs w:val="28"/>
        </w:rPr>
        <w:t>s）协同控制。系统优化</w:t>
      </w:r>
      <w:r>
        <w:rPr>
          <w:rFonts w:ascii="Segoe UI" w:hAnsi="Segoe UI" w:cs="Segoe UI"/>
          <w:color w:val="0F1115"/>
          <w:szCs w:val="28"/>
          <w:shd w:val="clear" w:color="auto" w:fill="FFFFFF"/>
        </w:rPr>
        <w:t>大气污染防治技术路径</w:t>
      </w:r>
      <w:r>
        <w:rPr>
          <w:rFonts w:hint="eastAsia" w:ascii="Segoe UI" w:hAnsi="Segoe UI" w:cs="Segoe UI"/>
          <w:color w:val="0F1115"/>
          <w:szCs w:val="28"/>
          <w:shd w:val="clear" w:color="auto" w:fill="FFFFFF"/>
        </w:rPr>
        <w:t>，强化挥发性有机物综合治理，实施源头替代工程。</w:t>
      </w:r>
      <w:r>
        <w:rPr>
          <w:rFonts w:hint="eastAsia"/>
          <w:szCs w:val="28"/>
        </w:rPr>
        <w:t>强化工业锅炉烟气和V</w:t>
      </w:r>
      <w:r>
        <w:rPr>
          <w:szCs w:val="28"/>
        </w:rPr>
        <w:t>OC</w:t>
      </w:r>
      <w:r>
        <w:rPr>
          <w:rFonts w:hint="eastAsia"/>
          <w:szCs w:val="28"/>
        </w:rPr>
        <w:t>s管控防治。强化大气污染源监测，实施尼尔基镇大气监测能力建设项目，优化监测点位布局，增配VOCs等污染监测设备。强化移动源与面源污染管控，加强机动车尾气治理，淘汰高排放老旧车辆，</w:t>
      </w:r>
      <w:r>
        <w:rPr>
          <w:rFonts w:ascii="Segoe UI" w:hAnsi="Segoe UI" w:cs="Segoe UI"/>
          <w:color w:val="0F1115"/>
          <w:szCs w:val="28"/>
          <w:shd w:val="clear" w:color="auto" w:fill="FFFFFF"/>
        </w:rPr>
        <w:t>严格非道路移动机械编码登记与排放管理</w:t>
      </w:r>
      <w:r>
        <w:rPr>
          <w:rFonts w:hint="eastAsia"/>
          <w:szCs w:val="28"/>
        </w:rPr>
        <w:t>；坚持疏堵结合，加强秸秆焚烧管控，完善网格化监管体系；持续整治散煤污染，稳妥推进农村地区清洁取暖改造，确保环境空气质量稳中向好，实现莫旗蓝天常驻。加强扬尘污染综合治理。强化大气环境执法与排污许可管理，完善跨部门联合执法机制。到</w:t>
      </w:r>
      <w:r>
        <w:rPr>
          <w:szCs w:val="28"/>
        </w:rPr>
        <w:t>2030</w:t>
      </w:r>
      <w:r>
        <w:rPr>
          <w:rFonts w:hint="eastAsia"/>
          <w:szCs w:val="28"/>
        </w:rPr>
        <w:t>年，细颗粒物平均浓度下降到25微克/立方米以下。</w:t>
      </w:r>
    </w:p>
    <w:bookmarkEnd w:id="22"/>
    <w:p w14:paraId="3A2FAF00">
      <w:pPr>
        <w:ind w:firstLine="643"/>
        <w:rPr>
          <w:b/>
          <w:bCs/>
          <w:szCs w:val="28"/>
        </w:rPr>
      </w:pPr>
      <w:bookmarkStart w:id="23" w:name="OLE_LINK13"/>
      <w:r>
        <w:rPr>
          <w:rFonts w:hint="eastAsia"/>
          <w:b/>
          <w:bCs/>
          <w:szCs w:val="28"/>
        </w:rPr>
        <w:t>持续深入打好碧水保卫战。</w:t>
      </w:r>
      <w:r>
        <w:rPr>
          <w:rFonts w:hint="eastAsia"/>
          <w:szCs w:val="28"/>
        </w:rPr>
        <w:t>统筹水资源、水环境、水生态治理和监测，推进</w:t>
      </w:r>
      <w:r>
        <w:rPr>
          <w:szCs w:val="28"/>
        </w:rPr>
        <w:t>河湖治理工程</w:t>
      </w:r>
      <w:r>
        <w:rPr>
          <w:rFonts w:hint="eastAsia"/>
          <w:szCs w:val="28"/>
        </w:rPr>
        <w:t>。强化饮用水水源全链条安全保障，全力保障群众饮水安全，完善隔离防护、警示宣传与视频监控设施。加强水源涵养区与补给区的生态保护，严格控制上游及周边地区的开发活动，保障水源地水质长期稳定达标。提升城乡污水治理效能，推进尼尔基镇城区污水处理厂改造、莫旗尼尔基镇污水管网改造及设施工程，加强生活污水处理。加强江河湖泊环境治理，重点加强水体富营养化治理，深化嫩江流域水环境联防联控机制。提升莫旗水生态监管能力，推动数字化赋能“三水”统筹科学管控，支撑水污染溯源和水质预测预警。</w:t>
      </w:r>
    </w:p>
    <w:bookmarkEnd w:id="23"/>
    <w:p w14:paraId="52596545">
      <w:pPr>
        <w:ind w:firstLine="643"/>
        <w:rPr>
          <w:szCs w:val="28"/>
        </w:rPr>
      </w:pPr>
      <w:bookmarkStart w:id="24" w:name="OLE_LINK12"/>
      <w:r>
        <w:rPr>
          <w:rFonts w:hint="eastAsia"/>
          <w:b/>
          <w:bCs/>
          <w:szCs w:val="28"/>
        </w:rPr>
        <w:t>持续深入打好净土保卫战。</w:t>
      </w:r>
      <w:r>
        <w:rPr>
          <w:rFonts w:hint="eastAsia"/>
          <w:szCs w:val="28"/>
        </w:rPr>
        <w:t>坚决贯彻“预防为主、保护优先”原则，开展土壤污染源头防控行动，严防新增污染。严格建设项目环境准入，聚焦重点行业企业，强化涉重金属行业污染管控，严防工矿用地新增土壤污染。推进受污染耕地安全利用和风险防控，加强农业面源污染治理，优化畜禽粪污处理和利用模式。强化优先保护类耕地保护，做好耕地安全利用和风险管控。全面开展土壤污染重点监管单位周边土壤和地下水环境监测，因地制宜地下水污染调查评价，强化地下水型饮用水水源地环境保护，加快推动地下水生态环境状况调查项目、地下水环境监管能力建设项目，严控地下水污染防治重点区环境风险。</w:t>
      </w:r>
    </w:p>
    <w:bookmarkEnd w:id="24"/>
    <w:p w14:paraId="4A8EF2D7">
      <w:pPr>
        <w:ind w:firstLine="643"/>
        <w:rPr>
          <w:szCs w:val="28"/>
        </w:rPr>
      </w:pPr>
      <w:r>
        <w:rPr>
          <w:rFonts w:hint="eastAsia"/>
          <w:b/>
          <w:bCs/>
          <w:szCs w:val="28"/>
        </w:rPr>
        <w:t>加强固体废物和新污染物治理</w:t>
      </w:r>
      <w:r>
        <w:rPr>
          <w:rFonts w:hint="eastAsia"/>
          <w:szCs w:val="28"/>
        </w:rPr>
        <w:t>。加快“无废城市”建设，系统推进固体废物减量化、资源化、无害化。全面推进生活垃圾分类提质增效，合理布局并配建智能分类收集设施与标准化转运站，健全分类收运体系。加快推进餐厨垃圾资源化处理设施建设，实现餐厨垃圾高效利用与安全处置。重点推动莫旗垃圾焚烧处理中心建设，配套建设一般固体废物填埋场，补齐城乡生活垃圾与一般固废终端处置能力短板。强化医疗废物全过程监管，提升收集、贮存与转运环节规范化水平，实现医疗废物安全处置全覆盖；持续加强医疗机构辐射安全管理和废弃化学品风险管控。落实新污染物治理行动方案，加强化工、农药、医药等行业新污染物排放管控，推动绿色替代与清洁生产。到2030年，力争实现固体废物产生强度显著下降。</w:t>
      </w:r>
    </w:p>
    <w:p w14:paraId="6906F5B9">
      <w:pPr>
        <w:pStyle w:val="5"/>
        <w:spacing w:before="156" w:after="156"/>
      </w:pPr>
      <w:bookmarkStart w:id="25" w:name="_Toc228206083"/>
      <w:bookmarkStart w:id="26" w:name="OLE_LINK4"/>
      <w:r>
        <w:rPr>
          <w:rFonts w:hint="eastAsia"/>
        </w:rPr>
        <w:t>第三节 积极稳妥推进碳达峰碳中和</w:t>
      </w:r>
      <w:bookmarkEnd w:id="25"/>
    </w:p>
    <w:p w14:paraId="4B0DAF52">
      <w:pPr>
        <w:ind w:firstLine="643"/>
        <w:rPr>
          <w:szCs w:val="28"/>
        </w:rPr>
      </w:pPr>
      <w:r>
        <w:rPr>
          <w:rFonts w:hint="eastAsia"/>
          <w:b/>
          <w:bCs/>
          <w:szCs w:val="28"/>
        </w:rPr>
        <w:t>落实节能降碳增效行动。</w:t>
      </w:r>
      <w:r>
        <w:rPr>
          <w:rFonts w:hint="eastAsia"/>
          <w:szCs w:val="28"/>
        </w:rPr>
        <w:t>加快工业、农业重点领域绿色低碳转型，实施重点行业节能降碳工程和重大节能降碳技术示范工程，提升信息化基础设施能效水平。加速农牧业绿色化、智能化转型，布局新能源装备制造、生物质能利用等战略性产业，推进工业园区循环化改造，推动零碳园区建设。完善能源计量体系，健全节能监察体系。重点推进</w:t>
      </w:r>
      <w:r>
        <w:rPr>
          <w:rFonts w:hint="eastAsia" w:ascii="仿宋_GB2312" w:hAnsi="仿宋_GB2312" w:cs="仿宋_GB2312"/>
          <w:szCs w:val="28"/>
        </w:rPr>
        <w:t>农畜产品加工</w:t>
      </w:r>
      <w:r>
        <w:rPr>
          <w:rFonts w:hint="eastAsia"/>
          <w:szCs w:val="28"/>
        </w:rPr>
        <w:t>、农机制造、冷链物流等重点行业企业节能技术改造，提升数字化信息化基础设施能效水平。构建绿色制造体系，鼓励企业开展绿色低碳工厂、绿色设计、绿色制造、绿色低碳供应链等申报工作。落实峰谷分时电价政策，推进销售电价改革。推动工业园区、大型企业、机关、事业单位等可再生能源替代，因地制宜开展绿色电力直供</w:t>
      </w:r>
      <w:r>
        <w:rPr>
          <w:rFonts w:hint="eastAsia"/>
          <w:color w:val="auto"/>
          <w:szCs w:val="28"/>
        </w:rPr>
        <w:t>替代</w:t>
      </w:r>
      <w:r>
        <w:rPr>
          <w:rFonts w:hint="eastAsia"/>
          <w:szCs w:val="28"/>
        </w:rPr>
        <w:t>，逐步提升非化石能源消费比重。应用多能互补、源网荷储、虚拟电厂等新型电力系统模式。</w:t>
      </w:r>
    </w:p>
    <w:p w14:paraId="670BB2F4">
      <w:pPr>
        <w:ind w:firstLine="643"/>
        <w:rPr>
          <w:szCs w:val="28"/>
        </w:rPr>
      </w:pPr>
      <w:r>
        <w:rPr>
          <w:rFonts w:hint="eastAsia"/>
          <w:b/>
          <w:bCs/>
          <w:szCs w:val="28"/>
        </w:rPr>
        <w:t>严格落实碳排放“双控”工作</w:t>
      </w:r>
      <w:r>
        <w:rPr>
          <w:rFonts w:hint="eastAsia"/>
          <w:szCs w:val="28"/>
        </w:rPr>
        <w:t>。落实上级碳排放统计核算体系要求，探索建立符合旗情的重点企业碳排放监测与管理制度。加强对重点用能单位的二氧化碳排放管控，推动传统产业绿色低碳改造，支持减排技术应用。积极推广产品碳足迹管理理念，鼓励企业参与相关认证，探索开展碳普惠等公众参与机制。</w:t>
      </w:r>
    </w:p>
    <w:p w14:paraId="46DD367F">
      <w:pPr>
        <w:ind w:firstLine="643"/>
        <w:rPr>
          <w:szCs w:val="28"/>
        </w:rPr>
      </w:pPr>
      <w:r>
        <w:rPr>
          <w:rFonts w:hint="eastAsia"/>
          <w:b/>
          <w:bCs/>
          <w:szCs w:val="28"/>
        </w:rPr>
        <w:t>践行绿色低碳生活方式。</w:t>
      </w:r>
      <w:r>
        <w:rPr>
          <w:rFonts w:hint="eastAsia"/>
          <w:szCs w:val="28"/>
        </w:rPr>
        <w:t>开展城市建筑、交通、照明、供热等基础设施节能升级改造，规范引导农村居民实施灶具、采暖节能改造。积极推广装配式建筑、“光储直柔”建筑。构建绿色交通体系，加强自行车服务系统、步行道和骑行道等建设，推广电动货车、环保集装箱等清洁能源运输工具。推进绿色生活创建行动，深入开展节约型机关、绿色家庭、绿色学校、绿色社区、绿色出行、绿色商场、绿色建筑创建。</w:t>
      </w:r>
    </w:p>
    <w:bookmarkEnd w:id="26"/>
    <w:p w14:paraId="2F8089A5">
      <w:pPr>
        <w:pStyle w:val="5"/>
        <w:spacing w:before="156" w:after="156"/>
      </w:pPr>
      <w:bookmarkStart w:id="27" w:name="_Toc228206084"/>
      <w:r>
        <w:rPr>
          <w:rFonts w:hint="eastAsia"/>
        </w:rPr>
        <w:t>第四节 全面加强资源节约集约利用</w:t>
      </w:r>
      <w:bookmarkEnd w:id="27"/>
    </w:p>
    <w:p w14:paraId="712D3ACE">
      <w:pPr>
        <w:ind w:firstLine="643"/>
        <w:rPr>
          <w:szCs w:val="28"/>
        </w:rPr>
      </w:pPr>
      <w:r>
        <w:rPr>
          <w:rFonts w:hint="eastAsia"/>
          <w:b/>
          <w:bCs/>
          <w:szCs w:val="28"/>
        </w:rPr>
        <w:t>加强水资源节约集约利用</w:t>
      </w:r>
      <w:r>
        <w:rPr>
          <w:rFonts w:hint="eastAsia"/>
          <w:szCs w:val="28"/>
        </w:rPr>
        <w:t>。以资源化、生态化和可持续化为导向，实行最严格的水资源管理制度，严格用水总量和强度双控，加强用水定额和计划用水的规范化管理。改善农村生活供水基础设施，坚持量水用地，发展节水农牧业；推进企业和园区用水系统集成优化，探索推动工业废水循环利用。强化地下水保护开发利用管理，实行地下水取水总量控制。完善再生水利用设施。实行阶梯式水价制度。加大节水宣传力度，增强社会节水意识。</w:t>
      </w:r>
    </w:p>
    <w:p w14:paraId="6F35F60E">
      <w:pPr>
        <w:ind w:firstLine="643"/>
        <w:rPr>
          <w:szCs w:val="28"/>
        </w:rPr>
      </w:pPr>
      <w:r>
        <w:rPr>
          <w:rFonts w:hint="eastAsia"/>
          <w:b/>
          <w:bCs/>
          <w:szCs w:val="28"/>
        </w:rPr>
        <w:t>推动土地资源节约集约发展</w:t>
      </w:r>
      <w:r>
        <w:rPr>
          <w:rFonts w:hint="eastAsia"/>
          <w:szCs w:val="28"/>
        </w:rPr>
        <w:t>。严控建设用地规模，推进城镇建设用地集约化发展，合理保障区域基础设施用地，推进建设用地由“增量扩张”向“增存并举”转型。盘活低效用地，消化批而未供和闲置土地，提高土地资源利用效率。完善产业用地配置方式，鼓励以长期租赁、先租后让、租让结合等供地方式供应。统筹新增建设用地计划指标和城乡建设用地增减挂钩指标，集中向重点产业、重点项目倾斜，经营性用地原则上使用城乡建设用地增减挂钩指标。到2030年，城镇建设用地面积不高于4398.68公顷，乡村建设用地面积不高于20174.62公顷，通过城乡建设增减挂钩项目生成指标100亩。</w:t>
      </w:r>
    </w:p>
    <w:p w14:paraId="042D75CB">
      <w:pPr>
        <w:ind w:firstLine="643"/>
        <w:rPr>
          <w:szCs w:val="28"/>
        </w:rPr>
      </w:pPr>
      <w:r>
        <w:rPr>
          <w:rFonts w:hint="eastAsia"/>
          <w:b/>
          <w:bCs/>
          <w:szCs w:val="28"/>
        </w:rPr>
        <w:t>建立再生资源循环利用体系</w:t>
      </w:r>
      <w:r>
        <w:rPr>
          <w:rFonts w:hint="eastAsia"/>
          <w:szCs w:val="28"/>
        </w:rPr>
        <w:t>。完善重点企业废物循环体系建设，推进工业园区集聚生产、集中治污、集约发展，推进产业循环式组合。加强废弃资源源头控制，完善再生资源回收利用体系，推进建筑垃圾、餐厨废弃物、生活垃圾资源化等废物综合利用，推进社会废旧物资分类回收。开展农业循环体建设行动，推动农作物秸秆“五化”利用，重点推动材料化、基料化利用，引进全降解餐饮具生产线，发展符合环保标准的快餐盒等产品，构建“秸秆-培养基-食用菌-菌渣还田”循环模式；加强农药包装废物和废旧农膜的回收、处理和综合利用，实施畜禽粪便资源化利用和无害化处理，建立“畜禽粪污-有机肥-有机农田”循环模式，力争到2</w:t>
      </w:r>
      <w:r>
        <w:rPr>
          <w:szCs w:val="28"/>
        </w:rPr>
        <w:t>030</w:t>
      </w:r>
      <w:r>
        <w:rPr>
          <w:rFonts w:hint="eastAsia"/>
          <w:szCs w:val="28"/>
        </w:rPr>
        <w:t>年，粪肥还田达3万亩以上。</w:t>
      </w:r>
    </w:p>
    <w:p w14:paraId="5F0CA637">
      <w:pPr>
        <w:pStyle w:val="5"/>
        <w:spacing w:before="156" w:after="156"/>
      </w:pPr>
      <w:bookmarkStart w:id="28" w:name="_Toc228206085"/>
      <w:r>
        <w:rPr>
          <w:rFonts w:hint="eastAsia"/>
        </w:rPr>
        <w:t>第五节 健全生态产品价值实现机制</w:t>
      </w:r>
      <w:bookmarkEnd w:id="28"/>
    </w:p>
    <w:p w14:paraId="03517209">
      <w:pPr>
        <w:ind w:firstLine="643"/>
        <w:rPr>
          <w:szCs w:val="28"/>
        </w:rPr>
      </w:pPr>
      <w:r>
        <w:rPr>
          <w:rFonts w:hint="eastAsia"/>
          <w:b/>
          <w:bCs/>
          <w:szCs w:val="28"/>
        </w:rPr>
        <w:t>健全生态产品监测与核算体系。</w:t>
      </w:r>
      <w:r>
        <w:rPr>
          <w:rFonts w:hint="eastAsia"/>
          <w:szCs w:val="28"/>
        </w:rPr>
        <w:t>开展本地生态资源调查，制定并动态更新莫旗生态产品目录清单。推进林草湿河湖黑土地等自然资源统一确权登记。稳步推进生态系统生产总值（GEP）核算，探索核算结果在本旗生态保护补偿、经营开发融资等领域的应用。依托本地森林、草原、湿地、冰雪等优质生态资源，推动生态产业化与产业生态化。重点将生态优势转化为文旅、绿色农牧等特色产业发展动能，积极推动林下经济、草原碳汇、绿色农畜产品等本地特色生态产品的价值实现。积极谋划莫旗尼尔基水库流域环境保护和产业发展（E</w:t>
      </w:r>
      <w:r>
        <w:rPr>
          <w:szCs w:val="28"/>
        </w:rPr>
        <w:t>OD</w:t>
      </w:r>
      <w:r>
        <w:rPr>
          <w:rFonts w:hint="eastAsia"/>
          <w:szCs w:val="28"/>
        </w:rPr>
        <w:t>）项目，实现生态收益反哺。</w:t>
      </w:r>
    </w:p>
    <w:p w14:paraId="669085E1">
      <w:pPr>
        <w:ind w:firstLine="643"/>
        <w:rPr>
          <w:szCs w:val="28"/>
        </w:rPr>
      </w:pPr>
      <w:r>
        <w:rPr>
          <w:rFonts w:hint="eastAsia"/>
          <w:b/>
          <w:bCs/>
          <w:szCs w:val="28"/>
        </w:rPr>
        <w:t>拓展生态产品价值实现模式。</w:t>
      </w:r>
      <w:r>
        <w:rPr>
          <w:rFonts w:hint="eastAsia"/>
          <w:szCs w:val="28"/>
        </w:rPr>
        <w:t>深化林草资源可持续利用，因地制宜发展林下种养殖、特色经济林等产业。推广科学的养殖与生产经营模式。在防沙治沙、矿山修复等领域，主动借鉴并转化自治区成熟的“光伏+治理”、“林药结合”等生态产品价值实现模式。积极对接并利用自治区生态产品交易平台，推动本地生态产品供需对接。探索开发生态信贷等绿色金融产品。</w:t>
      </w:r>
    </w:p>
    <w:p w14:paraId="516CF4F0">
      <w:pPr>
        <w:ind w:firstLine="643"/>
        <w:rPr>
          <w:szCs w:val="28"/>
        </w:rPr>
      </w:pPr>
      <w:r>
        <w:rPr>
          <w:rFonts w:hint="eastAsia"/>
          <w:b/>
          <w:bCs/>
          <w:szCs w:val="28"/>
        </w:rPr>
        <w:t>强化生态产品价值实现保障。</w:t>
      </w:r>
      <w:r>
        <w:rPr>
          <w:rFonts w:hint="eastAsia"/>
          <w:szCs w:val="28"/>
        </w:rPr>
        <w:t>积极争取上级重点生态功能区转移支付，完善本地森林、草原、湿地等领域的生态保护补偿标准。 加快落实生态环境损害赔偿制度。积极推动和参与用能权、用水权、碳排放权等资源环境权益交易。探索建立跨区域生态补偿机制，尝试推动与齐齐哈尔等下游地区建立诺敏河流域横向生态补偿。主动对接自治区林草碳汇试点工作，挖掘本地林草碳汇潜力，为参与碳排放权交易奠定基础。</w:t>
      </w:r>
    </w:p>
    <w:p w14:paraId="5BFD70C1">
      <w:pPr>
        <w:pStyle w:val="5"/>
        <w:spacing w:before="156" w:after="156"/>
      </w:pPr>
      <w:bookmarkStart w:id="29" w:name="_Toc228206086"/>
      <w:r>
        <w:rPr>
          <w:rFonts w:hint="eastAsia"/>
        </w:rPr>
        <w:t>第六节 完善北方生态安全屏障体系</w:t>
      </w:r>
      <w:bookmarkEnd w:id="29"/>
    </w:p>
    <w:p w14:paraId="24DB8697">
      <w:pPr>
        <w:ind w:firstLine="643"/>
        <w:rPr>
          <w:b/>
          <w:bCs/>
          <w:szCs w:val="28"/>
        </w:rPr>
      </w:pPr>
      <w:r>
        <w:rPr>
          <w:rFonts w:hint="eastAsia"/>
          <w:b/>
          <w:bCs/>
          <w:szCs w:val="28"/>
        </w:rPr>
        <w:t>夯实生态环境保护责任体系。</w:t>
      </w:r>
      <w:r>
        <w:rPr>
          <w:rFonts w:hint="eastAsia"/>
          <w:szCs w:val="28"/>
        </w:rPr>
        <w:t>严格落实“党政同责、一岗双责”，细化部门责任清单，构建主体明确、分工协作、齐抓共管的大环保格局。领导干部自然资源资产离任（任中）审计纳入经济责任审计范围一并实施，深化生态环境损害责任终身追究制。</w:t>
      </w:r>
    </w:p>
    <w:p w14:paraId="14C7069B">
      <w:pPr>
        <w:ind w:firstLine="643"/>
        <w:rPr>
          <w:szCs w:val="28"/>
        </w:rPr>
      </w:pPr>
      <w:bookmarkStart w:id="30" w:name="OLE_LINK17"/>
      <w:r>
        <w:rPr>
          <w:rFonts w:hint="eastAsia"/>
          <w:b/>
          <w:bCs/>
          <w:szCs w:val="28"/>
        </w:rPr>
        <w:t>筑牢生态安全防护壁垒。</w:t>
      </w:r>
      <w:r>
        <w:rPr>
          <w:rFonts w:hint="eastAsia"/>
          <w:szCs w:val="28"/>
        </w:rPr>
        <w:t>健全完善“大生态”监管体系，构建覆盖生态环境全要素、全方位的“天空地”一体化监管体系，实现数字化、智能化生态环境监管。系统开展自然灾害综合风险普查，加强监测预报预警，全面提升防灾减灾救灾能力。</w:t>
      </w:r>
      <w:bookmarkEnd w:id="30"/>
    </w:p>
    <w:p w14:paraId="3255212E">
      <w:pPr>
        <w:ind w:firstLine="643"/>
        <w:rPr>
          <w:szCs w:val="28"/>
        </w:rPr>
      </w:pPr>
      <w:r>
        <w:rPr>
          <w:rFonts w:hint="eastAsia"/>
          <w:b/>
          <w:bCs/>
          <w:szCs w:val="28"/>
        </w:rPr>
        <w:t>提升生态综合执法效能。</w:t>
      </w:r>
      <w:r>
        <w:rPr>
          <w:rFonts w:hint="eastAsia"/>
          <w:szCs w:val="28"/>
        </w:rPr>
        <w:t>完善落实生态环境执法制度，完成生态环境综合行政执法体制改革，健全生态环境部门与各部门联合执法工作机制。实行“双随机、一公开”常态化监管。强化应对气候变化、生态监管等领域执法能力，推广“互联网+统一指挥+综合执法”非现场监管模式。持续加强生态环境综合行政执法队伍建设，提升生态环境执法效能。完善“生态警长＋生态义警”联勤联动工作模式，加强6个森林派出所建设，提高案件侦办质效，加快构建多主体协同的生态守护体系。</w:t>
      </w:r>
    </w:p>
    <w:p w14:paraId="06E6B662">
      <w:pPr>
        <w:ind w:firstLine="640"/>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0FAD5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5BEF8AD1">
            <w:pPr>
              <w:pStyle w:val="37"/>
            </w:pPr>
            <w:r>
              <w:rPr>
                <w:rFonts w:hint="eastAsia"/>
              </w:rPr>
              <w:t>绿色发展工程</w:t>
            </w:r>
          </w:p>
        </w:tc>
      </w:tr>
      <w:tr w14:paraId="7FB76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08DA6F5E">
            <w:pPr>
              <w:pStyle w:val="38"/>
              <w:ind w:firstLine="562"/>
            </w:pPr>
            <w:r>
              <w:rPr>
                <w:rFonts w:hint="eastAsia"/>
                <w:b/>
              </w:rPr>
              <w:t>生态修复：</w:t>
            </w:r>
            <w:r>
              <w:rPr>
                <w:rFonts w:hint="eastAsia"/>
              </w:rPr>
              <w:t>重点区域绿化项目植被恢复，岭南林草过渡带生态综合治理项目人工乔木造林，莫旗诺敏河生态修复项目、莫旗甘河生态修复项目。</w:t>
            </w:r>
          </w:p>
          <w:p w14:paraId="3EEF1B5A">
            <w:pPr>
              <w:pStyle w:val="38"/>
              <w:ind w:firstLine="562"/>
              <w:rPr>
                <w:b/>
              </w:rPr>
            </w:pPr>
            <w:r>
              <w:rPr>
                <w:rFonts w:hint="eastAsia"/>
                <w:b/>
              </w:rPr>
              <w:t>节能降碳：</w:t>
            </w:r>
            <w:r>
              <w:rPr>
                <w:rFonts w:hint="eastAsia"/>
              </w:rPr>
              <w:t>莫旗绿色节能环保供热系统升级改造项目。</w:t>
            </w:r>
          </w:p>
          <w:p w14:paraId="75F919FE">
            <w:pPr>
              <w:pStyle w:val="38"/>
              <w:ind w:firstLine="562"/>
            </w:pPr>
            <w:r>
              <w:rPr>
                <w:rFonts w:hint="eastAsia"/>
                <w:b/>
              </w:rPr>
              <w:t>固碳增汇</w:t>
            </w:r>
            <w:r>
              <w:rPr>
                <w:rFonts w:hint="eastAsia"/>
              </w:rPr>
              <w:t>：莫旗农作物碳汇项目。</w:t>
            </w:r>
          </w:p>
          <w:p w14:paraId="70671E5B">
            <w:pPr>
              <w:pStyle w:val="38"/>
              <w:ind w:firstLine="562"/>
            </w:pPr>
            <w:r>
              <w:rPr>
                <w:rFonts w:hint="eastAsia"/>
                <w:b/>
              </w:rPr>
              <w:t>林草湿地碳汇评估：</w:t>
            </w:r>
            <w:r>
              <w:rPr>
                <w:rFonts w:hint="eastAsia"/>
              </w:rPr>
              <w:t>碳汇项目（林草湿碳汇潜力评估和监测项目）</w:t>
            </w:r>
          </w:p>
          <w:p w14:paraId="3F047747">
            <w:pPr>
              <w:pStyle w:val="38"/>
              <w:ind w:firstLine="562"/>
            </w:pPr>
            <w:r>
              <w:rPr>
                <w:rFonts w:hint="eastAsia"/>
                <w:b/>
              </w:rPr>
              <w:t>废弃物综合利用：</w:t>
            </w:r>
            <w:r>
              <w:rPr>
                <w:rFonts w:hint="eastAsia"/>
              </w:rPr>
              <w:t>莫旗秸秆循环利用项目、生物质秸秆制造餐具盒及包装纸箱项目、农业废弃物资源化利用项目、尼尔基镇建筑垃圾消纳场工程。</w:t>
            </w:r>
          </w:p>
          <w:p w14:paraId="2960C020">
            <w:pPr>
              <w:pStyle w:val="38"/>
              <w:ind w:firstLine="562"/>
            </w:pPr>
            <w:r>
              <w:rPr>
                <w:rFonts w:hint="eastAsia"/>
                <w:b/>
              </w:rPr>
              <w:t>生态安全防护：</w:t>
            </w:r>
            <w:r>
              <w:rPr>
                <w:rFonts w:hint="eastAsia"/>
              </w:rPr>
              <w:t>综合监测体系建设。</w:t>
            </w:r>
          </w:p>
        </w:tc>
      </w:tr>
    </w:tbl>
    <w:p w14:paraId="39747B23">
      <w:pPr>
        <w:ind w:firstLine="640"/>
        <w:sectPr>
          <w:pgSz w:w="11906" w:h="16838"/>
          <w:pgMar w:top="2098" w:right="1531" w:bottom="1984" w:left="1531" w:header="851" w:footer="992" w:gutter="0"/>
          <w:cols w:space="425" w:num="1"/>
          <w:docGrid w:type="lines" w:linePitch="312" w:charSpace="0"/>
        </w:sectPr>
      </w:pPr>
    </w:p>
    <w:p w14:paraId="44A4BB1E">
      <w:pPr>
        <w:pStyle w:val="4"/>
        <w:spacing w:before="312" w:after="312"/>
      </w:pPr>
      <w:bookmarkStart w:id="31" w:name="_Toc228206087"/>
      <w:r>
        <w:rPr>
          <w:rFonts w:hint="eastAsia"/>
        </w:rPr>
        <w:t>第五章 维护安全稳定，夯实和谐发展坚实根基</w:t>
      </w:r>
      <w:bookmarkEnd w:id="31"/>
    </w:p>
    <w:p w14:paraId="7EAB39B9">
      <w:pPr>
        <w:ind w:firstLine="640"/>
        <w:rPr>
          <w:szCs w:val="28"/>
        </w:rPr>
      </w:pPr>
      <w:r>
        <w:rPr>
          <w:rFonts w:hint="eastAsia"/>
          <w:szCs w:val="28"/>
        </w:rPr>
        <w:t>牢固树立和践行总体国家安全观，加快国家安全体系和能力现代化建设，完善公共安全体系，提升社会治理效能，维护民族团结、社会和谐、边疆稳固的良好局面，筑牢祖国北疆安全稳定屏障。</w:t>
      </w:r>
    </w:p>
    <w:p w14:paraId="09D26785">
      <w:pPr>
        <w:pStyle w:val="5"/>
        <w:spacing w:before="156" w:after="156"/>
      </w:pPr>
      <w:bookmarkStart w:id="32" w:name="_Toc228206088"/>
      <w:r>
        <w:rPr>
          <w:rFonts w:hint="eastAsia"/>
        </w:rPr>
        <w:t>第一节 坚决维护国家政治安全</w:t>
      </w:r>
      <w:bookmarkEnd w:id="32"/>
    </w:p>
    <w:p w14:paraId="67DA0FCA">
      <w:pPr>
        <w:ind w:firstLine="640"/>
        <w:rPr>
          <w:szCs w:val="28"/>
        </w:rPr>
      </w:pPr>
      <w:r>
        <w:rPr>
          <w:rFonts w:hint="eastAsia"/>
          <w:szCs w:val="28"/>
        </w:rPr>
        <w:t>坚定维护国家政权安全、制度安全、意识形态安全、秘密安全，捍卫国家安全和发展利益。全面落实意识形态工作责任制，坚持马克思主义在意识形态领域指导地位的根本制度，加强意识形态阵地建设和管理，有效防范化解意识形态风险。加强国家安全宣传教育，增强全民国家安全意识。推进国家安全人民防线建设，健全情报信息网络，做好国家安全风险研判、防控协同、防范化解工作，加大对各类影响政治安全风险隐患的基础调查、滚动摸排力度，提升防范化解政治安全风险的能力。推动落实党管保密政治责任，强化保密纪律刚性约束，严格落实保密管理要求，强化开源信息泄密风险防范，构筑人防、物防、技防综合防范体系，及时发现和消除泄密风险隐患，堵塞泄密漏洞，筑牢安全保密防线。严密防范和严厉打击敌对势力渗透颠覆破坏、暴力恐怖、民族分裂活动，维护正常宗教活动秩序。强化网络、大数据、人工智能等领域国家安全能力建设。健全国家安全教育与全民国防教育体系。强化国防动员和后备力量建设，服务和保障驻旗部队和军事基地建设，巩固军政军地军民团结，提升国防动员能力现代化水平。</w:t>
      </w:r>
    </w:p>
    <w:p w14:paraId="339C943F">
      <w:pPr>
        <w:pStyle w:val="5"/>
        <w:spacing w:before="156" w:after="156"/>
      </w:pPr>
      <w:bookmarkStart w:id="33" w:name="_Toc228206089"/>
      <w:r>
        <w:rPr>
          <w:rFonts w:hint="eastAsia"/>
        </w:rPr>
        <w:t>第二节 强化经济安全保障能力</w:t>
      </w:r>
      <w:bookmarkEnd w:id="33"/>
    </w:p>
    <w:p w14:paraId="18F002E4">
      <w:pPr>
        <w:ind w:firstLine="640"/>
        <w:rPr>
          <w:szCs w:val="28"/>
        </w:rPr>
      </w:pPr>
      <w:r>
        <w:rPr>
          <w:rFonts w:hint="eastAsia"/>
          <w:szCs w:val="28"/>
        </w:rPr>
        <w:t>加强经济安全风险预警、防控机制和能力建设，实现关键领域安全可控。规范政府举债融资与化债长效机制，坚决遏制增量、化解存量，分类推进政府债务有序降低风险等级，有效防范化解债务风险。全面加强金融组织监管，完善金融风险预警机制，严厉打击非法金融活动。全面落实粮食安全党政同责，加强粮食收购管理，健全四级粮食储备工作体系，推动玉米、大豆等粮食“产运储加消”全链减损，健全农畜产品质量安全网格化管理体系，严厉打击压等压价、“打白条”和“转圈粮”等违法违规行为。加强电力等能源供应保障能力建设，加快规划建设新型能源体系。健全安全保密保障体系，将保密工作纳入本级国民经济和社会发展规划，所需经费列入本级预算。切实提升产品供应保障能力，增强产业链供应链韧性和安全水平。防范信息安全风险，保障重要基础设施安全，落实数据安全治理要求，提高数据安全保障能力。加强产业链供应链安全建设，增强产业体系抗冲击能力。</w:t>
      </w:r>
    </w:p>
    <w:p w14:paraId="4AAB9BAD">
      <w:pPr>
        <w:pStyle w:val="5"/>
        <w:spacing w:before="156" w:after="156"/>
      </w:pPr>
      <w:bookmarkStart w:id="34" w:name="_Toc228206090"/>
      <w:r>
        <w:rPr>
          <w:rFonts w:hint="eastAsia"/>
        </w:rPr>
        <w:t>第三节 提高公共安全治理水平</w:t>
      </w:r>
      <w:bookmarkEnd w:id="34"/>
    </w:p>
    <w:p w14:paraId="34801430">
      <w:pPr>
        <w:ind w:firstLine="643"/>
        <w:rPr>
          <w:szCs w:val="28"/>
        </w:rPr>
      </w:pPr>
      <w:r>
        <w:rPr>
          <w:rFonts w:hint="eastAsia" w:ascii="仿宋_GB2312" w:cs="仿宋_GB2312"/>
          <w:b/>
          <w:bCs/>
          <w:kern w:val="0"/>
          <w:szCs w:val="36"/>
        </w:rPr>
        <w:t>推进安全生产治理体系和治理能力现代化。</w:t>
      </w:r>
      <w:r>
        <w:rPr>
          <w:rFonts w:hint="eastAsia" w:ascii="仿宋_GB2312" w:cs="仿宋_GB2312"/>
          <w:kern w:val="0"/>
          <w:szCs w:val="36"/>
        </w:rPr>
        <w:t>深化安全生产治本攻坚行动，</w:t>
      </w:r>
      <w:r>
        <w:rPr>
          <w:rFonts w:hint="eastAsia"/>
          <w:szCs w:val="28"/>
        </w:rPr>
        <w:t>严格落实安全生产责任制和“三管三必须”要求，形成安全隐患自查自改的长效机制，持续开展安全生产旗县互检工作。健全“党政同责、一岗双责、齐抓共管、失职追责”的安全生产责任体系，全面强化安全生产管理，高质量开展安全生产排查整治。坚持每月对在期采矿权开展安全生产检查和地质灾害隐患点排查，严厉打击各类土地矿产违规违法行为。推动建设项目安全设施同时设计、同时施工、同时投入生产和使用，建设城市生命线及重大危险源安全风险监测预警网络，加强危爆物品、危险化学品等重点行业领域监督检查，严格企业安全生产许可管理，强化道路运输安全隐患排查治理和风险分级管控。持续开展重点行业领域专项整治，严厉打击非法生产经营行为。</w:t>
      </w:r>
    </w:p>
    <w:p w14:paraId="30935532">
      <w:pPr>
        <w:ind w:firstLine="643"/>
      </w:pPr>
      <w:r>
        <w:rPr>
          <w:rFonts w:hint="eastAsia"/>
          <w:b/>
          <w:bCs/>
          <w:szCs w:val="28"/>
        </w:rPr>
        <w:t>筑牢食品药品安全监管防线。</w:t>
      </w:r>
      <w:r>
        <w:rPr>
          <w:rFonts w:hint="eastAsia"/>
          <w:szCs w:val="28"/>
        </w:rPr>
        <w:t>完善粮食质量安全检验监测体系，严禁不符合食品安全标准的粮食流入口粮市场和食品生产企业。实行生产企业食品安全风险分级管理，严厉打击制售“三无”食品、假冒食品、劣质食品、过期食品等违法违规行为。深化“互联网+明厨亮灶”智慧监管建设，完善食品安全全链条监管机制，</w:t>
      </w:r>
      <w:r>
        <w:rPr>
          <w:rFonts w:hint="eastAsia" w:ascii="仿宋" w:hAnsi="仿宋" w:eastAsia="仿宋" w:cs="仿宋"/>
          <w:bCs/>
          <w:color w:val="auto"/>
          <w:szCs w:val="36"/>
        </w:rPr>
        <w:t>强化“阳光经营社会监督”</w:t>
      </w:r>
      <w:r>
        <w:rPr>
          <w:rFonts w:hint="eastAsia"/>
          <w:szCs w:val="28"/>
        </w:rPr>
        <w:t>。</w:t>
      </w:r>
      <w:r>
        <w:rPr>
          <w:rFonts w:hint="eastAsia"/>
        </w:rPr>
        <w:t>深入贯彻落实党政同责工作机制，建立健全药品监管体系，持续推进基层药品监管能力标准化建设，常态化开展药品安全专项整治行动，全面开展“两品一械”专项检查行动，持续加强“两品一械”高风险品种层级监管指导，严厉打击药品尤其是疫苗等高风险违法犯罪行为。</w:t>
      </w:r>
    </w:p>
    <w:p w14:paraId="1F383E40">
      <w:pPr>
        <w:ind w:firstLine="643"/>
        <w:rPr>
          <w:szCs w:val="28"/>
        </w:rPr>
      </w:pPr>
      <w:r>
        <w:rPr>
          <w:rFonts w:hint="eastAsia"/>
          <w:b/>
          <w:bCs/>
          <w:szCs w:val="28"/>
        </w:rPr>
        <w:t>筑牢特种设备安全底线。</w:t>
      </w:r>
      <w:r>
        <w:rPr>
          <w:rFonts w:hint="eastAsia"/>
          <w:szCs w:val="28"/>
        </w:rPr>
        <w:t>扎实推进风险分级管控和隐患排查治理双重预防机制建设，持续开展特种设备证后监管、超期设备、检验检测治理等专项整治。创新特种设备精细化、网格化监管。充分应用内蒙古自治区特种设备信息化平台开展特种设备安全执法监督检查工作。</w:t>
      </w:r>
    </w:p>
    <w:p w14:paraId="4BB8E3FB">
      <w:pPr>
        <w:ind w:firstLine="643"/>
        <w:rPr>
          <w:szCs w:val="28"/>
        </w:rPr>
      </w:pPr>
      <w:r>
        <w:rPr>
          <w:rFonts w:hint="eastAsia"/>
          <w:b/>
          <w:bCs/>
          <w:szCs w:val="28"/>
        </w:rPr>
        <w:t>持续加强应急管理体系建设。</w:t>
      </w:r>
      <w:r>
        <w:rPr>
          <w:rFonts w:hint="eastAsia"/>
          <w:szCs w:val="28"/>
        </w:rPr>
        <w:t>积极参与安全风险监测预警体系和突发事件应急预案体系建设，提升防灾减灾智慧化水平。深入实施气象科技能力现代化和社会服务现代化建设，优化气象观测站网布局，完善以气象灾害预警为先导的应急联动响应机制，提高森林草原防灭火气象保障水平，强化天空地立体实时监测等防灭火全程化服务。加强专业救援力量建设，强化多灾种专业化训练，提高队伍极端条件下综合救援能力。推动组建应急救援队伍，引导社会组织积极参与减灾救灾，建设微型应急救援站，构建政府主导、多元联动、协同配合、有序参与的防灾减灾新格局，增强自然灾害风险防治能力。补齐消防救援队伍能力建设短板，更新升级消防装备设施，保持公共消防设施完好有效，实施打通消防“生命通道”工程，实现基层消防力量全覆盖并实体化运行。改善城乡防灾基础条件，提高城市重要建筑、基础设施系统和基层防灾能力及标准，实施农村抗灾能力提升计划，提升学校、医院等公共服务设施和居民住宅容灾备灾水平。健全应急物资保障体系，建立政府和社会、实物和产能相结合的应急物资储备模式，完善应急物资更新轮换机制，推动应急管理科技水平和智能化水平，提高应急物资产能保障能力。推动将安全素质教育纳入国民教育体系，建立公众安全科普宣教媒体绿色通道。</w:t>
      </w:r>
    </w:p>
    <w:p w14:paraId="0F0F0002">
      <w:pPr>
        <w:pStyle w:val="5"/>
        <w:spacing w:before="156" w:after="156"/>
      </w:pPr>
      <w:bookmarkStart w:id="35" w:name="_Toc228206091"/>
      <w:r>
        <w:rPr>
          <w:rFonts w:hint="eastAsia"/>
        </w:rPr>
        <w:t>第四节 健全完善社会治理体系</w:t>
      </w:r>
      <w:bookmarkEnd w:id="35"/>
    </w:p>
    <w:p w14:paraId="4D800ED0">
      <w:pPr>
        <w:ind w:firstLine="643"/>
        <w:rPr>
          <w:szCs w:val="28"/>
        </w:rPr>
      </w:pPr>
      <w:r>
        <w:rPr>
          <w:rFonts w:hint="eastAsia"/>
          <w:b/>
          <w:bCs/>
          <w:szCs w:val="28"/>
        </w:rPr>
        <w:t>推进平安莫旗建设。</w:t>
      </w:r>
      <w:r>
        <w:rPr>
          <w:rFonts w:hint="eastAsia"/>
          <w:szCs w:val="28"/>
        </w:rPr>
        <w:t>持续加强社会治安防控体系和能力建设，加快推进莫旗公共安全视频监控资源建设整合，加强重点区域、重点物品排查管控，完善物防技防设施配备，常态化开展社会治安重点地区和突出问题排查整治。扎实推进旗域“五大工程”建设和“平安义警”队伍建设，健全“6+4+3+2+N”警务运行协作机制，促进社会治理、群防群治的相互融合。常态化推进扫黑除恶，依法严厉打击严重暴力犯罪、“盗抢骗”“黄赌毒”、电信网络诈骗、涉黑恶等群众关切的违法犯罪。加强严重精神障碍患者、刑满释放人员、“三失一偏”等重点人员服务管理，强化未成年人违法犯罪预防和治理，全面准确贯彻宽严相济刑事政策，依</w:t>
      </w:r>
      <w:r>
        <w:rPr>
          <w:rFonts w:hint="eastAsia"/>
          <w:spacing w:val="-6"/>
          <w:szCs w:val="28"/>
        </w:rPr>
        <w:t>法处置违法犯罪，提升刑罚执行质效，切实增强人民群众安全感。</w:t>
      </w:r>
    </w:p>
    <w:p w14:paraId="44C52358">
      <w:pPr>
        <w:ind w:firstLine="643"/>
        <w:rPr>
          <w:szCs w:val="28"/>
        </w:rPr>
      </w:pPr>
      <w:r>
        <w:rPr>
          <w:rFonts w:hint="eastAsia"/>
          <w:b/>
          <w:bCs/>
          <w:szCs w:val="28"/>
        </w:rPr>
        <w:t>多元化解矛盾纠纷。</w:t>
      </w:r>
      <w:r>
        <w:rPr>
          <w:rFonts w:hint="eastAsia"/>
          <w:szCs w:val="28"/>
        </w:rPr>
        <w:t>健全矛盾风险防控协同、矛盾纠纷多元化解机制，发挥调解、仲裁、行政裁决、行政复议、诉讼等作用，规范化建设各级综治中心。健全“12345”热线投诉转办机制，提高投诉处置效能。坚持和发展新时代“枫桥经验”，推进综治中心规范化实战化建设，促进人民调解、行政调解、司法调解有机衔接，优化完善医患、劳动人事争议、交通事故损害赔偿、消费、物业服务、婚恋家事等纠纷人民调解工作机制，</w:t>
      </w:r>
      <w:r>
        <w:rPr>
          <w:rFonts w:hint="eastAsia"/>
        </w:rPr>
        <w:t>深入推动矛盾纠纷源头化解、多元化解、有序化解</w:t>
      </w:r>
      <w:r>
        <w:rPr>
          <w:rFonts w:hint="eastAsia"/>
          <w:szCs w:val="28"/>
        </w:rPr>
        <w:t>。推动一站式矛盾纠纷调处平台建设，整合人民调解、行政调解、行业专业调解力量，推行“公证+”“仲裁+”“行政复议+”等复合型纠纷化解方式，不断完善全旗、乡镇、村（社区）三级调解机制。加快推进信访工作法治化，全面推行信访代办制，及时回应解决信访诉求，有效化解信访积案，依法保护人民群众合法权益。</w:t>
      </w:r>
    </w:p>
    <w:p w14:paraId="59E9C261">
      <w:pPr>
        <w:ind w:firstLine="643"/>
        <w:rPr>
          <w:szCs w:val="28"/>
        </w:rPr>
      </w:pPr>
      <w:r>
        <w:rPr>
          <w:rFonts w:hint="eastAsia"/>
          <w:b/>
          <w:bCs/>
          <w:szCs w:val="28"/>
        </w:rPr>
        <w:t>提升社会治理水平。</w:t>
      </w:r>
      <w:r>
        <w:rPr>
          <w:rFonts w:hint="eastAsia"/>
          <w:szCs w:val="28"/>
        </w:rPr>
        <w:t>健全基层党组织领导的自治、法治、德治相结合的基层社会治理体系，提升基层治理能力，建设社会治理共同体。强化网上网下协同治理，发挥村规民约作用，推进移风易俗。加强党建引领基层治理和基层政权建设，全面实施乡镇履行职责事项清单，健全村（社区）工作事项准入制度。深化智慧司法、智慧公安、智慧交管和智慧平安社区建设，打造数据驱动、人机协同、跨界融合、共创分享的智能化治理新模式。培育现代社区，加强社会工作者队伍建设，提高专业化服务水平。建立健全社会工作机制。完善凝聚服务群众工作机制，夯实社会治理群众基础。健全基层微治理体系，推广“街乡吹哨、部门报到、接诉即办”等基层管理机制经验，推动资源、管理、服务向社区下沉。加强家庭家教家风建设。加强新经济组织、新社会组织、新就业群体党的建设。</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72ED7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7D2F427">
            <w:pPr>
              <w:pStyle w:val="37"/>
              <w:spacing w:before="0" w:after="0"/>
              <w:ind w:firstLine="640"/>
            </w:pPr>
            <w:r>
              <w:rPr>
                <w:rFonts w:hint="eastAsia"/>
              </w:rPr>
              <w:t>安全保障工程</w:t>
            </w:r>
          </w:p>
        </w:tc>
      </w:tr>
      <w:tr w14:paraId="2D00A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A3F4C0E">
            <w:pPr>
              <w:pStyle w:val="2"/>
              <w:spacing w:afterLines="0"/>
              <w:ind w:left="0" w:leftChars="0" w:firstLine="562"/>
              <w:jc w:val="both"/>
              <w:rPr>
                <w:lang w:eastAsia="zh-CN"/>
              </w:rPr>
            </w:pPr>
            <w:r>
              <w:rPr>
                <w:rFonts w:hint="eastAsia"/>
                <w:b/>
                <w:bCs/>
                <w:lang w:eastAsia="zh-CN"/>
              </w:rPr>
              <w:t>应急处置：</w:t>
            </w:r>
            <w:r>
              <w:rPr>
                <w:rFonts w:hint="eastAsia"/>
                <w:lang w:eastAsia="zh-CN"/>
              </w:rPr>
              <w:t>莫旗专职消防站建设项目、莫力达瓦达斡尔族自治旗消防救援站项目、莫旗应急避难场所建设项目、莫旗森林草原防灭火靠前驻防营地建设项目</w:t>
            </w:r>
          </w:p>
          <w:p w14:paraId="09556B43">
            <w:pPr>
              <w:pStyle w:val="2"/>
              <w:spacing w:afterLines="0"/>
              <w:ind w:left="0" w:leftChars="0" w:firstLine="562"/>
              <w:jc w:val="both"/>
              <w:rPr>
                <w:lang w:eastAsia="zh-CN"/>
              </w:rPr>
            </w:pPr>
            <w:r>
              <w:rPr>
                <w:rFonts w:hint="eastAsia"/>
                <w:b/>
                <w:bCs/>
                <w:lang w:eastAsia="zh-CN"/>
              </w:rPr>
              <w:t>平安建设：</w:t>
            </w:r>
            <w:r>
              <w:rPr>
                <w:rFonts w:hint="eastAsia"/>
                <w:lang w:eastAsia="zh-CN"/>
              </w:rPr>
              <w:t>莫旗人民法院审判法庭用房及6个派出人民法庭审判用房建设项目</w:t>
            </w:r>
          </w:p>
        </w:tc>
      </w:tr>
    </w:tbl>
    <w:p w14:paraId="0D6CDA01">
      <w:pPr>
        <w:ind w:firstLine="640"/>
        <w:sectPr>
          <w:pgSz w:w="11906" w:h="16838"/>
          <w:pgMar w:top="2098" w:right="1531" w:bottom="1984" w:left="1531" w:header="851" w:footer="992" w:gutter="0"/>
          <w:cols w:space="425" w:num="1"/>
          <w:docGrid w:type="lines" w:linePitch="312" w:charSpace="0"/>
        </w:sectPr>
      </w:pPr>
    </w:p>
    <w:p w14:paraId="23F40DB7">
      <w:pPr>
        <w:pStyle w:val="4"/>
        <w:spacing w:before="312" w:after="312"/>
      </w:pPr>
      <w:bookmarkStart w:id="36" w:name="_Toc228206092"/>
      <w:r>
        <w:rPr>
          <w:rFonts w:hint="eastAsia"/>
        </w:rPr>
        <w:t>第六章 发展能源经济，增强绿色发展强劲动能</w:t>
      </w:r>
      <w:bookmarkEnd w:id="36"/>
    </w:p>
    <w:p w14:paraId="64BEE58B">
      <w:pPr>
        <w:ind w:firstLine="640"/>
        <w:rPr>
          <w:szCs w:val="28"/>
        </w:rPr>
      </w:pPr>
      <w:r>
        <w:rPr>
          <w:rFonts w:hint="eastAsia"/>
          <w:szCs w:val="28"/>
        </w:rPr>
        <w:t>立足资源禀赋，围绕清洁能源输出基地建设目标，聚焦“发储输用造”关键环节，夯实传统能源保障基础，规模化开发风光水生物质等清洁能源，拓展多元化应用场景与绿电消纳，加强矿产资源保护与开发，精准引进装备制造与运维服务，构建集群发展、价值链高端化的现代能源体系。</w:t>
      </w:r>
    </w:p>
    <w:p w14:paraId="0A78EAF4">
      <w:pPr>
        <w:pStyle w:val="5"/>
        <w:spacing w:before="156" w:after="156"/>
      </w:pPr>
      <w:bookmarkStart w:id="37" w:name="_Toc228206093"/>
      <w:r>
        <w:rPr>
          <w:rFonts w:hint="eastAsia"/>
        </w:rPr>
        <w:t>第一节 夯实传统能源保障基础</w:t>
      </w:r>
      <w:bookmarkEnd w:id="37"/>
    </w:p>
    <w:p w14:paraId="5BDA43DE">
      <w:pPr>
        <w:pStyle w:val="9"/>
        <w:ind w:firstLine="640"/>
        <w:jc w:val="both"/>
        <w:rPr>
          <w:color w:val="auto"/>
          <w:szCs w:val="28"/>
        </w:rPr>
      </w:pPr>
      <w:r>
        <w:rPr>
          <w:rFonts w:hint="eastAsia"/>
          <w:color w:val="auto"/>
          <w:szCs w:val="28"/>
        </w:rPr>
        <w:t>夯实煤炭稳产保供基础，支持煤矿开展技改工程并投产达效，加快谋划120万吨/年扩储技改项目，有序释放优质产能。加快扎如木台区块勘探及周边资源整合，到2030年，矿井生产规模提升至90万吨/年以上，形成稳定的产能接续。</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141B5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834" w:type="dxa"/>
          </w:tcPr>
          <w:p w14:paraId="5F6A8273">
            <w:pPr>
              <w:pStyle w:val="37"/>
              <w:rPr>
                <w:color w:val="auto"/>
                <w:szCs w:val="28"/>
              </w:rPr>
            </w:pPr>
            <w:r>
              <w:rPr>
                <w:rFonts w:hint="eastAsia"/>
              </w:rPr>
              <w:t>煤炭稳产保供工程</w:t>
            </w:r>
          </w:p>
        </w:tc>
      </w:tr>
      <w:tr w14:paraId="4BA46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7800A41A">
            <w:pPr>
              <w:pStyle w:val="38"/>
              <w:ind w:firstLine="560"/>
            </w:pPr>
            <w:r>
              <w:rPr>
                <w:rFonts w:hint="eastAsia"/>
              </w:rPr>
              <w:t>莫旗兴达煤矿技术改造项目、莫旗利民煤矿技术改造项目。</w:t>
            </w:r>
          </w:p>
        </w:tc>
      </w:tr>
    </w:tbl>
    <w:p w14:paraId="7C550FA8">
      <w:pPr>
        <w:pStyle w:val="5"/>
        <w:spacing w:before="156" w:after="156"/>
      </w:pPr>
      <w:bookmarkStart w:id="38" w:name="_Toc228206094"/>
      <w:r>
        <w:rPr>
          <w:rFonts w:hint="eastAsia"/>
        </w:rPr>
        <w:t>第二节 推进清洁能源开发利用</w:t>
      </w:r>
      <w:bookmarkEnd w:id="38"/>
    </w:p>
    <w:p w14:paraId="66469C69">
      <w:pPr>
        <w:pStyle w:val="9"/>
        <w:ind w:firstLine="640"/>
        <w:jc w:val="both"/>
        <w:rPr>
          <w:color w:val="auto"/>
          <w:szCs w:val="28"/>
        </w:rPr>
      </w:pPr>
      <w:r>
        <w:rPr>
          <w:rFonts w:hint="eastAsia"/>
          <w:color w:val="auto"/>
          <w:szCs w:val="28"/>
        </w:rPr>
        <w:t>充分利用风光资源开发潜力优势，积极争取大型风电光伏基地建设，谋划实施大型新能源发电项目及送出工程，招引谋划新能源集中供热、园区绿电等市场化项目建设。积极探索构建多元化制氢体系，推广“绿电</w:t>
      </w:r>
      <w:r>
        <w:rPr>
          <w:color w:val="auto"/>
          <w:szCs w:val="28"/>
        </w:rPr>
        <w:t>+</w:t>
      </w:r>
      <w:r>
        <w:rPr>
          <w:rFonts w:hint="eastAsia"/>
          <w:color w:val="auto"/>
          <w:szCs w:val="28"/>
        </w:rPr>
        <w:t>绿氢”发展新模式，加快布局风光氢储一体化建设项目，促进绿电绿氢产业融合发展。充分发挥水资源总量占全市近</w:t>
      </w:r>
      <w:r>
        <w:rPr>
          <w:color w:val="auto"/>
          <w:szCs w:val="28"/>
        </w:rPr>
        <w:t>46%</w:t>
      </w:r>
      <w:r>
        <w:rPr>
          <w:rFonts w:hint="eastAsia"/>
          <w:color w:val="auto"/>
          <w:szCs w:val="28"/>
        </w:rPr>
        <w:t>的优势，在嫩江、诺敏河、甘河等流域，规划发展一批水电站项目，争取纳入水网规划，有序推动水电开发。推动农作物废弃物、畜禽粪便、城市垃圾、工业废弃物等生物质资源综合利用，有序发展农林生物质发电、沼气发电和生物质热电联产等生物质能，重点推进秸秆压块成型及炭化技术应用，生产成型炭、生物煤等清洁燃料。</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08518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3DEB5611">
            <w:pPr>
              <w:pStyle w:val="37"/>
              <w:spacing w:before="0" w:after="0"/>
              <w:ind w:firstLine="640"/>
            </w:pPr>
            <w:r>
              <w:rPr>
                <w:rFonts w:hint="eastAsia"/>
              </w:rPr>
              <w:t>清洁能源开发利用工程</w:t>
            </w:r>
          </w:p>
        </w:tc>
      </w:tr>
      <w:tr w14:paraId="22D30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3BFD426E">
            <w:pPr>
              <w:pStyle w:val="38"/>
              <w:ind w:firstLine="562"/>
            </w:pPr>
            <w:r>
              <w:rPr>
                <w:rFonts w:hint="eastAsia"/>
                <w:b/>
                <w:bCs/>
              </w:rPr>
              <w:t>风电：</w:t>
            </w:r>
            <w:r>
              <w:rPr>
                <w:rFonts w:hint="eastAsia"/>
              </w:rPr>
              <w:t>华能岭东基地三期莫旗200万千瓦风电项目、国能蒙东莫旗风电基地项目、国电投内蒙古蒙东分公司莫旗100万千瓦风电项目，呼伦贝尔莫旗“千村万乡驭风行动”，乡村亮化、共享储能及一体化项目，中蓉莫旗巴彦10MW分散式风电项目。</w:t>
            </w:r>
          </w:p>
          <w:p w14:paraId="7DEA5BDC">
            <w:pPr>
              <w:pStyle w:val="38"/>
              <w:ind w:firstLine="562"/>
            </w:pPr>
            <w:r>
              <w:rPr>
                <w:rFonts w:hint="eastAsia"/>
                <w:b/>
                <w:bCs/>
              </w:rPr>
              <w:t>水电：</w:t>
            </w:r>
            <w:r>
              <w:rPr>
                <w:rFonts w:hint="eastAsia"/>
              </w:rPr>
              <w:t>莫旗九寨水电项目、莫旗尼尔基渠首水电站。</w:t>
            </w:r>
          </w:p>
        </w:tc>
      </w:tr>
    </w:tbl>
    <w:p w14:paraId="14F3264E">
      <w:pPr>
        <w:pStyle w:val="5"/>
        <w:spacing w:before="156" w:after="156"/>
      </w:pPr>
      <w:bookmarkStart w:id="39" w:name="_Toc228206095"/>
      <w:r>
        <w:rPr>
          <w:rFonts w:hint="eastAsia"/>
        </w:rPr>
        <w:t>第三节 拓展新能源应用场景</w:t>
      </w:r>
      <w:bookmarkEnd w:id="39"/>
    </w:p>
    <w:p w14:paraId="4F11431F">
      <w:pPr>
        <w:ind w:firstLine="640"/>
        <w:rPr>
          <w:szCs w:val="28"/>
        </w:rPr>
      </w:pPr>
      <w:r>
        <w:rPr>
          <w:rFonts w:hint="eastAsia"/>
          <w:szCs w:val="28"/>
        </w:rPr>
        <w:t>统筹就地消纳和外送，服务融入呼伦贝尔市千万千瓦级清洁能源外送通道建设，全力争取推进绿电外送项目，推广绿电直连、增量配电网等消纳新模式。探索承接先进绿色高载能产业转移，拓展新能源非电利用和消纳场景。积极申报园区绿电项目，推进零碳、低碳工业园区建设，积极谋划数据算力中心等高质量用电项目建设，促进风电本地消纳。健全完善用电企业使用本地绿电激励政策。打造多元储能矩阵，加强储能项目与新能源基地、负荷中心的统筹规划，推动源网荷储一体化和多能互补项目建设。全面推进“新能源+储能”模式，重点围绕停车区、旅游景区、大型农牧场等场景，布局系统友好型新能源电站。开展“两高”项目绿电替代，布局推动绿电制取绿氢、绿氨、绿醇的产业化进程，探索风电供热等新模式。合理规划建设加氢站等绿氢储运加基础设施，推动氢能在交通、工业等领域的规模化应用。力争“十五五”期末总产值达到50亿元。</w:t>
      </w:r>
    </w:p>
    <w:tbl>
      <w:tblPr>
        <w:tblStyle w:val="2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14:paraId="57D4C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000" w:type="pct"/>
          </w:tcPr>
          <w:p w14:paraId="6448CC5C">
            <w:pPr>
              <w:pStyle w:val="37"/>
              <w:spacing w:before="0" w:after="0"/>
              <w:ind w:firstLine="640"/>
            </w:pPr>
            <w:r>
              <w:rPr>
                <w:rFonts w:hint="eastAsia"/>
              </w:rPr>
              <w:t>场景应用开发工程</w:t>
            </w:r>
          </w:p>
        </w:tc>
      </w:tr>
      <w:tr w14:paraId="358AF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18BA1381">
            <w:pPr>
              <w:pStyle w:val="38"/>
              <w:ind w:firstLine="560"/>
            </w:pPr>
            <w:r>
              <w:rPr>
                <w:rFonts w:hint="eastAsia"/>
              </w:rPr>
              <w:t>莫旗新能源+储能一体化项目、华能莫旗风电供暖项目、莫旗数据算力中心项目。</w:t>
            </w:r>
          </w:p>
        </w:tc>
      </w:tr>
    </w:tbl>
    <w:p w14:paraId="308231F5">
      <w:pPr>
        <w:pStyle w:val="5"/>
        <w:spacing w:before="156" w:after="156"/>
      </w:pPr>
      <w:bookmarkStart w:id="40" w:name="_Toc228206096"/>
      <w:r>
        <w:rPr>
          <w:rFonts w:hint="eastAsia"/>
        </w:rPr>
        <w:t>第四节 培育新能源装备制造产业</w:t>
      </w:r>
      <w:bookmarkEnd w:id="40"/>
    </w:p>
    <w:p w14:paraId="0DC3493E">
      <w:pPr>
        <w:ind w:firstLine="640"/>
        <w:rPr>
          <w:szCs w:val="28"/>
        </w:rPr>
      </w:pPr>
      <w:r>
        <w:rPr>
          <w:rFonts w:hint="eastAsia"/>
          <w:szCs w:val="28"/>
        </w:rPr>
        <w:t>锚定新能源领域再造一个“工业内蒙古”目标，积极对接呼伦贝尔市“风光氢储”产业集群，紧盯头部企业、链主企业，采取整链招商、以商招商等方式，积极引进风机塔筒、光伏支架、箱式变电站等运输成本敏感型装备制造项目，发展风电场、光伏电站运维检测服务业；支持利用绿电优势，开展储能设备集成组装，推动新能源开发与装备制造协同发展。</w:t>
      </w:r>
    </w:p>
    <w:p w14:paraId="17DD7CB5">
      <w:pPr>
        <w:pStyle w:val="5"/>
        <w:spacing w:before="156" w:after="156"/>
      </w:pPr>
      <w:bookmarkStart w:id="41" w:name="_Toc228206097"/>
      <w:r>
        <w:rPr>
          <w:rFonts w:hint="eastAsia"/>
        </w:rPr>
        <w:t>第五节 构筑现代新型电力系统</w:t>
      </w:r>
      <w:bookmarkEnd w:id="41"/>
    </w:p>
    <w:p w14:paraId="2705F389">
      <w:pPr>
        <w:ind w:firstLine="640"/>
        <w:rPr>
          <w:spacing w:val="-6"/>
          <w:szCs w:val="28"/>
        </w:rPr>
      </w:pPr>
      <w:r>
        <w:rPr>
          <w:rFonts w:hint="eastAsia"/>
          <w:szCs w:val="28"/>
        </w:rPr>
        <w:t>适应电力发展新形势需要，统筹新能源开发与电网安全，加快完善电网基础设施，补齐网架结构短板，构建智能坚强、灵活可靠的电网体系。积极推进电力外送通道规划与建设，重点推动蒙东呼伦贝尔莫旗500kV输变电工程及配套送出工程</w:t>
      </w:r>
      <w:r>
        <w:rPr>
          <w:rFonts w:hint="eastAsia" w:ascii="仿宋_GB2312" w:hAnsi="仿宋_GB2312" w:cs="仿宋_GB2312"/>
          <w:szCs w:val="28"/>
        </w:rPr>
        <w:t>纳规落地</w:t>
      </w:r>
      <w:r>
        <w:rPr>
          <w:rFonts w:hint="eastAsia"/>
          <w:szCs w:val="28"/>
        </w:rPr>
        <w:t>，持续优化骨干网架结构。有序实施配电网智能化改造，增强对分布式新能源、电动汽车充电设施、农村煤改电等新型负荷的适应能力。提升区域电网互联互通和互济能力，重点治理中压电网单线串联、设备老旧等薄弱环节，全面提升电网抗灾防灾和供电可靠</w:t>
      </w:r>
      <w:r>
        <w:rPr>
          <w:rFonts w:hint="eastAsia"/>
          <w:spacing w:val="-6"/>
          <w:szCs w:val="28"/>
        </w:rPr>
        <w:t>性。因地制宜推动智能微电网建设，提升本地电力供应保障水平。</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3FCE7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2A5CA90F">
            <w:pPr>
              <w:pStyle w:val="37"/>
              <w:spacing w:before="0" w:after="0"/>
              <w:ind w:firstLine="640"/>
            </w:pPr>
            <w:r>
              <w:rPr>
                <w:rFonts w:hint="eastAsia"/>
              </w:rPr>
              <w:t>电力基础设施建设工程</w:t>
            </w:r>
          </w:p>
        </w:tc>
      </w:tr>
      <w:tr w14:paraId="7E88D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6F1A96B3">
            <w:pPr>
              <w:pStyle w:val="38"/>
              <w:ind w:firstLine="562"/>
            </w:pPr>
            <w:r>
              <w:rPr>
                <w:rFonts w:hint="eastAsia"/>
                <w:b/>
                <w:bCs/>
              </w:rPr>
              <w:t>输变电工程</w:t>
            </w:r>
            <w:r>
              <w:rPr>
                <w:rFonts w:hint="eastAsia"/>
              </w:rPr>
              <w:t>：蒙东呼伦贝尔莫旗兴农220kV输变电工程、蒙东呼伦贝尔莫旗额尔和110kV变电站35kV配套送出工程、蒙东呼伦贝尔莫旗库如奇110kV变电站宝山、西瓦尔图35kV送出工程、蒙东呼伦贝尔莫旗汉古尔河35kV输变电工程、莫旗500kv变电站及相关电网送出工程。</w:t>
            </w:r>
          </w:p>
          <w:p w14:paraId="6A1447DD">
            <w:pPr>
              <w:pStyle w:val="38"/>
              <w:ind w:firstLine="562"/>
            </w:pPr>
            <w:r>
              <w:rPr>
                <w:rFonts w:hint="eastAsia"/>
                <w:b/>
                <w:bCs/>
              </w:rPr>
              <w:t>变电站扩建及改造工程</w:t>
            </w:r>
            <w:r>
              <w:rPr>
                <w:rFonts w:hint="eastAsia"/>
              </w:rPr>
              <w:t>：蒙东呼伦贝尔莫旗东方红35kV变电站主变扩建工程、蒙东呼伦贝尔莫旗杜拉尔35kV变电站主变扩建工程、蒙东呼伦贝尔莫旗卧罗河35kV变电站主变扩建工程、蒙东呼伦贝尔莫旗喀牙35kV变电站改造工程。</w:t>
            </w:r>
          </w:p>
          <w:p w14:paraId="2715C66C">
            <w:pPr>
              <w:pStyle w:val="38"/>
              <w:ind w:firstLine="562"/>
            </w:pPr>
            <w:r>
              <w:rPr>
                <w:rFonts w:hint="eastAsia"/>
                <w:b/>
                <w:bCs/>
              </w:rPr>
              <w:t>线路工程</w:t>
            </w:r>
            <w:r>
              <w:rPr>
                <w:rFonts w:hint="eastAsia"/>
              </w:rPr>
              <w:t>：蒙东呼伦贝尔莫旗甘河—奎勒河2回35kV线路新建工程、蒙东呼伦贝尔莫旗巴彦—红彦35kV线路新建工程、蒙东呼伦贝尔莫旗农场-东方红Ⅱ回35kV线路新建工程、蒙东呼伦贝尔莫旗尼尔基—公园II回35kV线路工程。</w:t>
            </w:r>
          </w:p>
          <w:p w14:paraId="0969EE9C">
            <w:pPr>
              <w:pStyle w:val="38"/>
              <w:ind w:firstLine="562"/>
            </w:pPr>
            <w:r>
              <w:rPr>
                <w:rFonts w:hint="eastAsia"/>
                <w:b/>
                <w:bCs/>
              </w:rPr>
              <w:t>配套送出工程</w:t>
            </w:r>
            <w:r>
              <w:rPr>
                <w:rFonts w:hint="eastAsia"/>
              </w:rPr>
              <w:t>：蒙东呼伦贝尔莫旗额尔和110kV变电站35kV配套送出工程、蒙东呼伦贝尔莫旗库如奇110kV变电站35kV送出工程。</w:t>
            </w:r>
          </w:p>
          <w:p w14:paraId="3FF39430">
            <w:pPr>
              <w:pStyle w:val="38"/>
              <w:ind w:firstLine="562"/>
            </w:pPr>
            <w:r>
              <w:rPr>
                <w:rFonts w:hint="eastAsia"/>
                <w:b/>
                <w:bCs/>
              </w:rPr>
              <w:t>特</w:t>
            </w:r>
            <w:r>
              <w:rPr>
                <w:rFonts w:hint="eastAsia"/>
                <w:b/>
                <w:bCs/>
                <w:spacing w:val="-6"/>
              </w:rPr>
              <w:t>殊工程</w:t>
            </w:r>
            <w:r>
              <w:rPr>
                <w:rFonts w:hint="eastAsia"/>
                <w:spacing w:val="-6"/>
              </w:rPr>
              <w:t>：蒙东呼伦贝尔国能莫旗60万千瓦风电项目220kV送出工程。</w:t>
            </w:r>
          </w:p>
        </w:tc>
      </w:tr>
    </w:tbl>
    <w:p w14:paraId="623F800F">
      <w:pPr>
        <w:pStyle w:val="5"/>
        <w:spacing w:before="156" w:after="156"/>
      </w:pPr>
      <w:bookmarkStart w:id="42" w:name="_Toc228206098"/>
      <w:r>
        <w:rPr>
          <w:rFonts w:hint="eastAsia"/>
        </w:rPr>
        <w:t>第六节 加强矿产资源保护开发</w:t>
      </w:r>
      <w:bookmarkEnd w:id="42"/>
    </w:p>
    <w:p w14:paraId="39209997">
      <w:pPr>
        <w:ind w:firstLine="640"/>
        <w:rPr>
          <w:szCs w:val="28"/>
        </w:rPr>
        <w:sectPr>
          <w:pgSz w:w="11906" w:h="16838"/>
          <w:pgMar w:top="2098" w:right="1531" w:bottom="1984" w:left="1531" w:header="851" w:footer="992" w:gutter="0"/>
          <w:cols w:space="425" w:num="1"/>
          <w:docGrid w:type="lines" w:linePitch="312" w:charSpace="0"/>
        </w:sectPr>
      </w:pPr>
      <w:r>
        <w:rPr>
          <w:rFonts w:hint="eastAsia"/>
          <w:szCs w:val="28"/>
        </w:rPr>
        <w:t>全面推进绿色矿山建设，构建全过程资源高效利用体系。严格执行矿产资源“三率”指标要求，强化新建矿山准入管理，推动采用先进采选技术与工艺；加强生产矿山全过程监管，建立激励和约束并重的资源节约机制。深入实施新一轮找矿突破行动，开展煤炭、建材非金属等矿产资源增储勘查，推动矿产资源勘探开发技术创新，推进共伴生矿产资源综合勘查与协同开发，优化露天开采场地布局，推动剥离土、废石、石粉等固体废弃物的分级利用与资源化，延伸发展绿色建材等下游产业。支持企业实施低碳化、绿色化改造，推动珍珠岩等优势矿产优质优用与精深加工，促进产学研融合与产业链升级。完善探采产供储销统筹衔接体系，培育采选加销一体化产业集群。鼓励选取具备条件的矿山采料坑等废弃地，积极推进“光伏+生态修复”项目，实现资源开发与生态保护的协调发展。</w:t>
      </w:r>
    </w:p>
    <w:p w14:paraId="32B0FD0A">
      <w:pPr>
        <w:pStyle w:val="4"/>
        <w:spacing w:before="312" w:after="312"/>
      </w:pPr>
      <w:bookmarkStart w:id="43" w:name="_Toc228206099"/>
      <w:r>
        <w:rPr>
          <w:rFonts w:hint="eastAsia"/>
        </w:rPr>
        <w:t>第七章 聚焦“三农”发展，全面谱写乡村振兴篇章</w:t>
      </w:r>
      <w:bookmarkEnd w:id="43"/>
    </w:p>
    <w:p w14:paraId="4AE8318A">
      <w:pPr>
        <w:ind w:firstLine="640"/>
        <w:rPr>
          <w:szCs w:val="28"/>
        </w:rPr>
      </w:pPr>
      <w:r>
        <w:rPr>
          <w:rFonts w:hint="eastAsia"/>
          <w:szCs w:val="28"/>
        </w:rPr>
        <w:t>以建设绿色生态农畜产品生产加工基地为目标，统筹产量产能、生产生态、增产增收一体推进，加速发展科技农牧业、绿色农牧业、质量农牧业、品牌农牧业，建设农业强旗与宜居宜业和美乡村。</w:t>
      </w:r>
    </w:p>
    <w:p w14:paraId="48C14ADB">
      <w:pPr>
        <w:pStyle w:val="5"/>
        <w:spacing w:before="156" w:after="156"/>
      </w:pPr>
      <w:bookmarkStart w:id="44" w:name="_Toc228206100"/>
      <w:r>
        <w:rPr>
          <w:rFonts w:hint="eastAsia"/>
        </w:rPr>
        <w:t>第一节 提升农牧业综合生产能力和质量效益</w:t>
      </w:r>
      <w:bookmarkEnd w:id="44"/>
    </w:p>
    <w:p w14:paraId="3A619797">
      <w:pPr>
        <w:ind w:firstLine="643"/>
        <w:rPr>
          <w:szCs w:val="28"/>
        </w:rPr>
      </w:pPr>
      <w:r>
        <w:rPr>
          <w:rFonts w:hint="eastAsia"/>
          <w:b/>
          <w:bCs/>
          <w:szCs w:val="28"/>
        </w:rPr>
        <w:t>全力抓好粮食生产。</w:t>
      </w:r>
      <w:r>
        <w:rPr>
          <w:rFonts w:hint="eastAsia"/>
          <w:szCs w:val="28"/>
        </w:rPr>
        <w:t>严格落实粮食安全和耕地保护党政同责，坚持稳面积、增单产两手发力。精准落实玉米、大豆、马铃薯生产者补贴和耕地地力保护补贴，提高政策实效。推动三大主粮及马铃薯完全成本保险全覆盖，巩固大豆保险成效，积极争取中央涉农信贷贴息政策支持，用好产粮奖补和产销区补偿机制，为粮食生产提供坚实支撑。以国家级现代农业产业园为支撑，扩大高蛋白大豆、优质高淀粉玉米、绿色寒地水稻等优势作物种植。深入推进主要作物大面积单产提升行动，加强高产示范区建设并扩大覆盖范围深化粮食购销和储备管理改革，健全农资保供稳价和储备制度，全面提升粮食供应链的稳定性和抗风险能力。科学合理布局粮食产后服务中心，升级粮食储备设施设备，建设高标准粮仓，推动粮食储备绿色化、精细化、高效化管理。到2030年，确保耕地保有量稳定在851.75万亩，永久基本农田保护面积稳定在665.14万亩，确保粮食播种面积稳定在750万亩以上，粮食总产量保持在</w:t>
      </w:r>
      <w:r>
        <w:rPr>
          <w:szCs w:val="28"/>
        </w:rPr>
        <w:t>40</w:t>
      </w:r>
      <w:r>
        <w:rPr>
          <w:rFonts w:hint="eastAsia"/>
          <w:szCs w:val="28"/>
        </w:rPr>
        <w:t>亿斤以上。</w:t>
      </w:r>
    </w:p>
    <w:p w14:paraId="4D014223">
      <w:pPr>
        <w:ind w:firstLine="643"/>
        <w:rPr>
          <w:b/>
          <w:bCs/>
          <w:szCs w:val="28"/>
        </w:rPr>
      </w:pPr>
      <w:r>
        <w:rPr>
          <w:rFonts w:hint="eastAsia"/>
          <w:b/>
          <w:bCs/>
          <w:szCs w:val="28"/>
        </w:rPr>
        <w:t>做好“土特产”文章。</w:t>
      </w:r>
      <w:r>
        <w:rPr>
          <w:rFonts w:hint="eastAsia"/>
          <w:szCs w:val="28"/>
        </w:rPr>
        <w:t>壮大特色养殖集群，建设标准化养殖场、养殖小区、养殖户协同发展格局。依托“龙头企业+新型经营主体+规模养殖户”模式，扎实开展肉牛肉羊等增产增收行动，积极服务和融入全市肉牛“西繁东育”，推进肉牛扩群增量，开展肉羊产业试点，稳步提升大鹅产能，科学谋划和推动生猪产业园区建设，不断推进生猪规模化、标准化养殖，提速打造呼伦贝尔十万头肉牛、三十万头生猪、百万羽大鹅养殖基地。持续推动奶业发展，扩大“学生饮用奶计划”覆盖面，加大本土优质奶源供应。稳步发展生态渔业，推进稻渔综合种养与大水面生态渔业；依托嫩江、诺敏河水优势，扩大冷水鱼养殖规模，推广福瑞鲤、银鲫等新品种；引入智能化养殖系统等先进技术，推动银鱼资源基地及种子库项目建设，加快渔业产业化进程。大力发展菇娘、苏子、黄烟、中（蒙）药材、柳蒿芽等特色产业种植，做精小众特色生态产品。因地制宜发展庭院经济、林下经济、民宿经济等特色经济模式。</w:t>
      </w:r>
    </w:p>
    <w:p w14:paraId="44532117">
      <w:pPr>
        <w:ind w:firstLine="643"/>
        <w:rPr>
          <w:szCs w:val="28"/>
        </w:rPr>
      </w:pPr>
      <w:r>
        <w:rPr>
          <w:rFonts w:hint="eastAsia"/>
          <w:b/>
          <w:bCs/>
          <w:szCs w:val="28"/>
        </w:rPr>
        <w:t>加强生产条件与设施能力建设。</w:t>
      </w:r>
      <w:r>
        <w:rPr>
          <w:rFonts w:hint="eastAsia"/>
          <w:szCs w:val="28"/>
        </w:rPr>
        <w:t>坚持“藏粮于地、藏粮于技”，推动永久基本农田全面建设成高标准农田。实施黑土地保护利用项目、保护性耕作行动、东北黑土区侵蚀沟综合治理工程，提高黑土地耕层厚度和有机质含量。制定设施畜牧业发展行动方案，遴选种群基础好、养殖技术强、基础设施完备的主体，开展生猪、肉牛、肉羊高效集约养殖标杆场以及集约化现代设施畜牧基地建设，推广与养殖模式相配套的成套技术装备。制定设施种植业发展实施方案，因地制宜发展大豆、玉米、水稻、中草药等设施种植，推广水肥一体化等技术，鼓励建设集约化育苗中心，积极推进智能化高标准设施种植业建设。依托产业强镇、国家现代农业产业园建设，完善智慧农业平台，推动全要素、全链条、全产业、全区域的智能化管理，提升智慧农业发展水平。“十五五”末，新建高标准农田459万亩。</w:t>
      </w:r>
    </w:p>
    <w:p w14:paraId="44294A2B">
      <w:pPr>
        <w:ind w:firstLine="643"/>
        <w:rPr>
          <w:szCs w:val="28"/>
        </w:rPr>
      </w:pPr>
      <w:r>
        <w:rPr>
          <w:rFonts w:hint="eastAsia"/>
          <w:b/>
          <w:bCs/>
          <w:szCs w:val="28"/>
        </w:rPr>
        <w:t>深入实施种业振兴行动。</w:t>
      </w:r>
      <w:r>
        <w:rPr>
          <w:rFonts w:hint="eastAsia"/>
          <w:szCs w:val="28"/>
        </w:rPr>
        <w:t>加快建立健全农牧业种质资源保护利用体系，建设完善种质资源库，推动保种、育种、制种、用种全链条发展。加强现代化农作物制繁种基地、畜禽良种繁育基地建设，重点推动莫旗大豆国家级良种繁育基地建设，开展大豆、玉米、生猪、肉牛、肉羊等育种攻关，加快培育一批适应性强、产量高、价值优、抗病强的新品种。深化“看禾选种”平台应用，推广高产、优质、抗性强的大豆品种，拓宽展示面积。强化种业市场监管，严厉打击假冒伪劣、套牌侵权等违法犯罪行为。</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052A4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7F0F3327">
            <w:pPr>
              <w:pStyle w:val="37"/>
              <w:spacing w:before="0" w:after="0"/>
              <w:ind w:firstLine="640"/>
            </w:pPr>
            <w:r>
              <w:rPr>
                <w:rFonts w:hint="eastAsia"/>
              </w:rPr>
              <w:t>粮食安全保障工程</w:t>
            </w:r>
          </w:p>
        </w:tc>
      </w:tr>
      <w:tr w14:paraId="26F71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4340CC5D">
            <w:pPr>
              <w:pStyle w:val="38"/>
              <w:ind w:firstLine="562"/>
            </w:pPr>
            <w:r>
              <w:rPr>
                <w:rFonts w:hint="eastAsia"/>
                <w:b/>
              </w:rPr>
              <w:t>粮食安全：</w:t>
            </w:r>
            <w:r>
              <w:rPr>
                <w:rFonts w:hint="eastAsia"/>
              </w:rPr>
              <w:t>莫旗30万吨粮食仓储项目、莫旗国有粮库维修改造及建设烘干塔项目、莫旗2026—2030年高标准农田建设项目。</w:t>
            </w:r>
          </w:p>
          <w:p w14:paraId="27ECDE0F">
            <w:pPr>
              <w:pStyle w:val="38"/>
              <w:ind w:firstLine="562"/>
            </w:pPr>
            <w:r>
              <w:rPr>
                <w:rFonts w:hint="eastAsia"/>
                <w:b/>
              </w:rPr>
              <w:t>特色种植：</w:t>
            </w:r>
            <w:r>
              <w:rPr>
                <w:rFonts w:hint="eastAsia"/>
              </w:rPr>
              <w:t>莫旗腾克镇特莫呼珠村特色种植配套设施项目、林下中草药项目。</w:t>
            </w:r>
          </w:p>
          <w:p w14:paraId="450FA9DC">
            <w:pPr>
              <w:pStyle w:val="38"/>
              <w:ind w:firstLine="562"/>
            </w:pPr>
            <w:r>
              <w:rPr>
                <w:rFonts w:hint="eastAsia"/>
                <w:b/>
              </w:rPr>
              <w:t>设施农业：</w:t>
            </w:r>
            <w:r>
              <w:rPr>
                <w:rFonts w:hint="eastAsia"/>
              </w:rPr>
              <w:t>呼伦贝尔学院煤基固废绿色节能高效智慧设施农业示范项目、全季设施渔业项目。</w:t>
            </w:r>
          </w:p>
          <w:p w14:paraId="04F4308C">
            <w:pPr>
              <w:pStyle w:val="38"/>
              <w:ind w:firstLine="562"/>
            </w:pPr>
            <w:r>
              <w:rPr>
                <w:rFonts w:hint="eastAsia"/>
                <w:b/>
              </w:rPr>
              <w:t>种质：</w:t>
            </w:r>
            <w:r>
              <w:rPr>
                <w:rFonts w:hint="eastAsia"/>
              </w:rPr>
              <w:t>银鱼资源基地及种子库项目二期。</w:t>
            </w:r>
          </w:p>
        </w:tc>
      </w:tr>
    </w:tbl>
    <w:p w14:paraId="6FAA2E0D">
      <w:pPr>
        <w:pStyle w:val="5"/>
        <w:spacing w:before="156" w:after="156"/>
      </w:pPr>
      <w:bookmarkStart w:id="45" w:name="_Toc228206101"/>
      <w:r>
        <w:rPr>
          <w:rFonts w:hint="eastAsia"/>
        </w:rPr>
        <w:t>第二节 打响农畜产品精深加工品牌</w:t>
      </w:r>
      <w:bookmarkEnd w:id="45"/>
    </w:p>
    <w:p w14:paraId="6EB5A494">
      <w:pPr>
        <w:ind w:firstLine="643"/>
        <w:rPr>
          <w:szCs w:val="28"/>
        </w:rPr>
      </w:pPr>
      <w:r>
        <w:rPr>
          <w:rFonts w:hint="eastAsia"/>
          <w:b/>
          <w:bCs/>
          <w:szCs w:val="28"/>
        </w:rPr>
        <w:t>提升农畜产品精深加工能力。</w:t>
      </w:r>
      <w:r>
        <w:rPr>
          <w:rFonts w:hint="eastAsia"/>
          <w:szCs w:val="28"/>
        </w:rPr>
        <w:t>围绕打造呼伦贝尔市最具影响力的绿色生态农畜产品生产输出基地目标，构建以精深加工为核心的全产业链体系。</w:t>
      </w:r>
      <w:r>
        <w:rPr>
          <w:rFonts w:hint="eastAsia"/>
          <w:b/>
          <w:bCs/>
          <w:szCs w:val="28"/>
        </w:rPr>
        <w:t>大豆加工。</w:t>
      </w:r>
      <w:r>
        <w:rPr>
          <w:rFonts w:hint="eastAsia"/>
          <w:szCs w:val="28"/>
        </w:rPr>
        <w:t>重点构建“种植－榨油－豆粕-大豆蛋白-多糖及膳食纤维-休闲食品”全产业链，加快推进粮食储备库、百万吨大豆食品粕加工项目建设，推动大豆资源由初级加工向高附加值转化，打造岭上豆都大豆之乡品牌。</w:t>
      </w:r>
      <w:r>
        <w:rPr>
          <w:rFonts w:hint="eastAsia"/>
          <w:b/>
          <w:bCs/>
          <w:szCs w:val="28"/>
        </w:rPr>
        <w:t>玉米水稻加工。</w:t>
      </w:r>
      <w:r>
        <w:rPr>
          <w:rFonts w:hint="eastAsia"/>
          <w:szCs w:val="28"/>
        </w:rPr>
        <w:t>完善“玉米种植－淀粉－淀粉衍生物-DHA/ARA生物制品”产业链，同步发展“水稻种植－精米加工-米糠油-米蛋白”综合利用体系，提升主粮作物附加值，打造玉粮之都玉米强旗品牌。培育玉米氨基酸生产基地，推动向维生素C、辅酶Q10等高价值产品耦合延伸。</w:t>
      </w:r>
      <w:r>
        <w:rPr>
          <w:rFonts w:hint="eastAsia"/>
          <w:b/>
          <w:bCs/>
          <w:szCs w:val="28"/>
        </w:rPr>
        <w:t>蔬菜加工。</w:t>
      </w:r>
      <w:r>
        <w:rPr>
          <w:rFonts w:hint="eastAsia"/>
          <w:szCs w:val="28"/>
        </w:rPr>
        <w:t>重点发展酸菜、酸黄瓜、酸萝卜、酸豆角等特色腌制产品，积极推进净菜、预制沙拉等鲜切菜加工。</w:t>
      </w:r>
      <w:r>
        <w:rPr>
          <w:rFonts w:hint="eastAsia"/>
          <w:b/>
          <w:bCs/>
          <w:szCs w:val="28"/>
        </w:rPr>
        <w:t>畜禽产品加工。</w:t>
      </w:r>
      <w:r>
        <w:rPr>
          <w:rFonts w:hint="eastAsia"/>
          <w:szCs w:val="28"/>
        </w:rPr>
        <w:t>依托重点企业，构建“养殖－屠宰－精细分割－冷鲜肉－调理保健食品-骨血脏器深加工”的全产业链闭环。重点推进牛肉深加工及智慧云基地、猪骨深加工项目建设，完善大鹅孵化屠宰冷链设施，布局羽绒羽毛精深加工，打造全国知名的肉牛、生猪、大鹅肉类产品及延伸产品品牌体系。</w:t>
      </w:r>
      <w:r>
        <w:rPr>
          <w:rFonts w:hint="eastAsia"/>
          <w:b/>
          <w:bCs/>
          <w:szCs w:val="28"/>
        </w:rPr>
        <w:t>特色水产加工。</w:t>
      </w:r>
      <w:r>
        <w:rPr>
          <w:rFonts w:hint="eastAsia"/>
          <w:szCs w:val="28"/>
        </w:rPr>
        <w:t>大力发展冷水鱼精深加工，重点开发鱼油保健品等高附加值产品，积极引进培育加工企业，构建从生态养殖到精深加工、品牌营销的一体化产业链条。</w:t>
      </w:r>
      <w:r>
        <w:rPr>
          <w:rFonts w:hint="eastAsia"/>
          <w:b/>
          <w:bCs/>
          <w:szCs w:val="28"/>
        </w:rPr>
        <w:t>预制菜。</w:t>
      </w:r>
      <w:r>
        <w:rPr>
          <w:rFonts w:hint="eastAsia"/>
          <w:szCs w:val="28"/>
        </w:rPr>
        <w:t>大力发展即热、即烹型预制菜，重点布局肉类料理包、酸菜炖锅、冷水鱼宴等系列产品，推动农畜产品由原料输出向品牌化餐食转变。</w:t>
      </w:r>
    </w:p>
    <w:p w14:paraId="4977A558">
      <w:pPr>
        <w:ind w:firstLine="643"/>
        <w:rPr>
          <w:szCs w:val="28"/>
        </w:rPr>
      </w:pPr>
      <w:r>
        <w:rPr>
          <w:rFonts w:hint="eastAsia"/>
          <w:b/>
          <w:bCs/>
          <w:szCs w:val="28"/>
        </w:rPr>
        <w:t>加大农畜产品品牌培育力度。</w:t>
      </w:r>
      <w:r>
        <w:rPr>
          <w:rFonts w:hint="eastAsia"/>
          <w:szCs w:val="28"/>
        </w:rPr>
        <w:t>以“呼伦贝尔大草原”品牌引领，支持大鹅、生猪、冷水鱼、菇娘、甜玉米、大米、柳蒿芽、黄烟、中草药、菌类等特色优势产品申报地理标志认证，打造单品类区域公用品牌，培育莫力达瓦农畜产品区域公共品牌，提升“莫力达瓦”品牌影响力和竞争力。实施“互联网＋”农畜产品出村进城工程。鼓励经营主体开展绿色、有机、名特优新等优质产品认证，建立健全品牌标准体系和监管保护机制。组织农畜产品企业参加农牧业展会、品牌推介会、产销对接会等活动，大力宣传推介莫旗农畜产品，提升农畜产品的知名度。积极开展品牌保护专业知识培训，提高商标、品牌保护意识和能力。强化品牌农畜产品全流程监管，完善可溯性追踪机制，切实保障市场消费者权益。</w:t>
      </w:r>
      <w:r>
        <w:rPr>
          <w:szCs w:val="28"/>
        </w:rPr>
        <w:br w:type="page"/>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7208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0E0F0A3F">
            <w:pPr>
              <w:pStyle w:val="37"/>
              <w:spacing w:before="0" w:after="0"/>
              <w:ind w:firstLine="640"/>
            </w:pPr>
            <w:r>
              <w:rPr>
                <w:rFonts w:hint="eastAsia"/>
              </w:rPr>
              <w:t>农畜林产品高价值化工程</w:t>
            </w:r>
          </w:p>
        </w:tc>
      </w:tr>
      <w:tr w14:paraId="1C4E9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56DC81E0">
            <w:pPr>
              <w:pStyle w:val="38"/>
              <w:ind w:firstLine="562"/>
            </w:pPr>
            <w:r>
              <w:rPr>
                <w:rFonts w:hint="eastAsia"/>
                <w:b/>
              </w:rPr>
              <w:t>大豆加工：</w:t>
            </w:r>
            <w:r>
              <w:rPr>
                <w:rFonts w:hint="eastAsia"/>
              </w:rPr>
              <w:t>莫旗百万吨大豆食品粕加工项目二期、莫旗百万吨大豆食品粕加工项目三期、莫旗大豆食品精深加工项目、莫旗百万吨大豆食品粕加工项目、大豆加工精选设备升级改造大豆加工储备库建设项目</w:t>
            </w:r>
          </w:p>
          <w:p w14:paraId="646F637C">
            <w:pPr>
              <w:pStyle w:val="38"/>
              <w:ind w:firstLine="562"/>
            </w:pPr>
            <w:r>
              <w:rPr>
                <w:rFonts w:hint="eastAsia"/>
                <w:b/>
              </w:rPr>
              <w:t>水稻玉米加工：</w:t>
            </w:r>
            <w:r>
              <w:rPr>
                <w:rFonts w:hint="eastAsia"/>
              </w:rPr>
              <w:t>莫旗玉米加工项目、莫旗鲜食玉米加工出口项目、莫旗水稻深加工项目、莫旗玉米食品深加工项目</w:t>
            </w:r>
          </w:p>
          <w:p w14:paraId="20488894">
            <w:pPr>
              <w:pStyle w:val="38"/>
              <w:ind w:firstLine="562"/>
            </w:pPr>
            <w:r>
              <w:rPr>
                <w:rFonts w:hint="eastAsia"/>
                <w:b/>
              </w:rPr>
              <w:t>蔬菜加工：</w:t>
            </w:r>
            <w:r>
              <w:rPr>
                <w:rFonts w:hint="eastAsia"/>
              </w:rPr>
              <w:t>莫旗蔬菜腌制加工项目</w:t>
            </w:r>
          </w:p>
          <w:p w14:paraId="19AC6B43">
            <w:pPr>
              <w:pStyle w:val="38"/>
              <w:ind w:firstLine="562"/>
            </w:pPr>
            <w:r>
              <w:rPr>
                <w:rFonts w:hint="eastAsia"/>
                <w:b/>
              </w:rPr>
              <w:t>畜禽产品加工：</w:t>
            </w:r>
            <w:r>
              <w:rPr>
                <w:rFonts w:hint="eastAsia"/>
              </w:rPr>
              <w:t>莫旗牛肉及副产品加工及数字化现代农牧业智慧云推广基地建设项目、内蒙古蒙鹅工贸有限公司年产200万只大鹅制品扩能改造项目、内蒙古蒙鹅工贸有限公司年产大鹅制品延链展链项目、莫旗猪骨深加工项目、原野牧业公司牛骨深加工项目</w:t>
            </w:r>
          </w:p>
          <w:p w14:paraId="069BA67C">
            <w:pPr>
              <w:pStyle w:val="38"/>
              <w:ind w:firstLine="562"/>
            </w:pPr>
            <w:r>
              <w:rPr>
                <w:rFonts w:hint="eastAsia"/>
                <w:b/>
                <w:bCs/>
              </w:rPr>
              <w:t>预制菜：</w:t>
            </w:r>
            <w:r>
              <w:rPr>
                <w:rFonts w:hint="eastAsia"/>
              </w:rPr>
              <w:t>莫旗预制菜加工项目。</w:t>
            </w:r>
          </w:p>
        </w:tc>
      </w:tr>
    </w:tbl>
    <w:p w14:paraId="0F3355DF">
      <w:pPr>
        <w:pStyle w:val="5"/>
        <w:spacing w:before="156" w:after="156"/>
      </w:pPr>
      <w:bookmarkStart w:id="46" w:name="_Toc228206102"/>
      <w:r>
        <w:rPr>
          <w:rFonts w:hint="eastAsia"/>
        </w:rPr>
        <w:t>第三节 有力有序推进乡村全面振兴</w:t>
      </w:r>
      <w:bookmarkEnd w:id="46"/>
    </w:p>
    <w:p w14:paraId="3F71FDD7">
      <w:pPr>
        <w:ind w:firstLine="643"/>
        <w:rPr>
          <w:b/>
          <w:bCs/>
          <w:szCs w:val="28"/>
        </w:rPr>
      </w:pPr>
      <w:r>
        <w:rPr>
          <w:rFonts w:hint="eastAsia"/>
          <w:b/>
          <w:bCs/>
          <w:szCs w:val="28"/>
        </w:rPr>
        <w:t>推动乡村产业融合发展。</w:t>
      </w:r>
      <w:r>
        <w:rPr>
          <w:rFonts w:hint="eastAsia"/>
          <w:szCs w:val="28"/>
        </w:rPr>
        <w:t>加快推进汉古尔河镇（水稻）、额尔和乡（大豆）、塔温敖宝镇（大豆）等一批农业产业强镇建设，培育一批农牧业“链主”企业。积极发展“农业+”新业态，促进农业与旅游、文化、康养等产业联动发展，积极推动达斡尔族文化赋能乡村振兴，提升乡村旅游特色化、精品化水平。积极培育马文化产业，发展赛马、马术体验等特色项目。合理开发森林、水域资源，发展生态疗养度假产业。依托地方物产，适度发展奇石产业等特色收藏与旅游商品开发。实施农村电商高质量发展工程，培育本土电商主体，</w:t>
      </w:r>
      <w:r>
        <w:rPr>
          <w:szCs w:val="28"/>
        </w:rPr>
        <w:t>推广</w:t>
      </w:r>
      <w:r>
        <w:rPr>
          <w:rFonts w:hint="eastAsia"/>
          <w:szCs w:val="28"/>
        </w:rPr>
        <w:t>“</w:t>
      </w:r>
      <w:r>
        <w:rPr>
          <w:szCs w:val="28"/>
        </w:rPr>
        <w:t>直播带货</w:t>
      </w:r>
      <w:r>
        <w:rPr>
          <w:rFonts w:hint="eastAsia"/>
          <w:szCs w:val="28"/>
        </w:rPr>
        <w:t>”</w:t>
      </w:r>
      <w:r>
        <w:rPr>
          <w:szCs w:val="28"/>
        </w:rPr>
        <w:t>等新模式，拓宽特色农畜产品、手工艺品线上销售渠道</w:t>
      </w:r>
      <w:r>
        <w:rPr>
          <w:rFonts w:hint="eastAsia"/>
          <w:szCs w:val="28"/>
        </w:rPr>
        <w:t>。</w:t>
      </w:r>
    </w:p>
    <w:p w14:paraId="1323F2EE">
      <w:pPr>
        <w:ind w:firstLine="643"/>
        <w:rPr>
          <w:szCs w:val="28"/>
        </w:rPr>
      </w:pPr>
      <w:r>
        <w:rPr>
          <w:rFonts w:hint="eastAsia"/>
          <w:b/>
          <w:bCs/>
          <w:szCs w:val="28"/>
        </w:rPr>
        <w:t>补齐基础设施短板。</w:t>
      </w:r>
      <w:r>
        <w:rPr>
          <w:rFonts w:hint="eastAsia"/>
          <w:szCs w:val="28"/>
        </w:rPr>
        <w:t>强化乡村空间布局优化，优先保障乡村基础设施和产业发展用地需求。持续完善农村基础设施体系，重点加强供电、供水、道路、通信、广播电视等设施建设与升级，实施新一轮农村公路提升和旅游道路畅通工程，推动“四好农村路”高质量发展，做好1350公里农村公路养护。扎实推进城乡供水一体化建设，健全长效管护机制，切实保障饮水安全。积极申报自治区“千乡万村驭风行动”试点，稳步推动农村可再生能源开发利</w:t>
      </w:r>
      <w:r>
        <w:rPr>
          <w:rFonts w:hint="eastAsia"/>
          <w:spacing w:val="-6"/>
          <w:szCs w:val="28"/>
        </w:rPr>
        <w:t>用。持续深化数字乡村发展行动，提升乡村信息化和智能化水平。</w:t>
      </w:r>
    </w:p>
    <w:p w14:paraId="652B556C">
      <w:pPr>
        <w:ind w:firstLine="643"/>
        <w:rPr>
          <w:szCs w:val="28"/>
        </w:rPr>
      </w:pPr>
      <w:r>
        <w:rPr>
          <w:rFonts w:hint="eastAsia"/>
          <w:b/>
          <w:bCs/>
          <w:szCs w:val="28"/>
        </w:rPr>
        <w:t>持续推进农村人居环境整治。</w:t>
      </w:r>
      <w:r>
        <w:rPr>
          <w:rFonts w:hint="eastAsia"/>
          <w:szCs w:val="28"/>
        </w:rPr>
        <w:t>扎实推进农村厕所革命，完善厕所粪污和生活污水协同处理与资源化利用机制，力争农村生活污水处置率达到8</w:t>
      </w:r>
      <w:r>
        <w:rPr>
          <w:szCs w:val="28"/>
        </w:rPr>
        <w:t>0</w:t>
      </w:r>
      <w:r>
        <w:rPr>
          <w:rFonts w:hint="eastAsia"/>
          <w:szCs w:val="28"/>
        </w:rPr>
        <w:t>%以上。健全农村生活垃圾收运处置体系，推进源头分类减量、就近处置和资源化利用，提升秸秆、农膜、农药包装废弃物回收利用水平。引导畜禽散养户实行人畜分离养殖模式，推广舍饲半舍饲与放牧相结合的健康养殖方式。规范农机具停放管理，实施22个村屯绿化美化项目，全面提升村容村貌。开展整村推进示范村建设，进一步巩固乡村振兴成果，力争建成生态宜居、生活富裕示范村20个，引领其他村屯共同发展</w:t>
      </w:r>
      <w:r>
        <w:rPr>
          <w:rFonts w:hint="eastAsia"/>
          <w:color w:val="333333"/>
          <w:szCs w:val="28"/>
          <w:shd w:val="clear" w:color="auto" w:fill="FFFFFF"/>
        </w:rPr>
        <w:t>。</w:t>
      </w:r>
      <w:r>
        <w:rPr>
          <w:rFonts w:hint="eastAsia"/>
          <w:szCs w:val="28"/>
        </w:rPr>
        <w:t>推动乡村教育、医疗、文化等公共服务设施数字化改造，实施一批中小学校舍新建扩建、乡镇卫生院提升和全民健身中心建设项目，不断增强农村基本公共服务供给能力。</w:t>
      </w:r>
    </w:p>
    <w:p w14:paraId="4A78FC95">
      <w:pPr>
        <w:ind w:firstLine="643"/>
        <w:rPr>
          <w:szCs w:val="28"/>
        </w:rPr>
      </w:pPr>
      <w:r>
        <w:rPr>
          <w:rFonts w:hint="eastAsia"/>
          <w:b/>
          <w:szCs w:val="28"/>
        </w:rPr>
        <w:t>培育新时代文明乡风。</w:t>
      </w:r>
      <w:r>
        <w:rPr>
          <w:rFonts w:hint="eastAsia"/>
          <w:szCs w:val="28"/>
        </w:rPr>
        <w:t>以社会主义核心价值观为引领，统筹推进文明培育、文明实践、文明创建。依托新时代文明实践阵地，加强农村普法宣传与科普教育，提升群众科学素养。加快农村公益性公墓建设，培育现代文明殡葬新风。聚焦农村文化特色，开展村歌镇歌大赛、农民运动会、琴棋书画展等“农趣农味”群众性文体活动，培育一批扎根乡村的文化队伍；建强新时代文明实践阵地，激活乡村文化发展动能，推动草原书屋数字化，让文化惠民工程惠及千家万户。</w:t>
      </w:r>
    </w:p>
    <w:p w14:paraId="1E7EACA2">
      <w:pPr>
        <w:ind w:firstLine="643"/>
        <w:rPr>
          <w:szCs w:val="28"/>
        </w:rPr>
      </w:pPr>
      <w:r>
        <w:rPr>
          <w:rFonts w:hint="eastAsia"/>
          <w:b/>
          <w:bCs/>
          <w:szCs w:val="28"/>
        </w:rPr>
        <w:t>提升农牧民文化素养水平。</w:t>
      </w:r>
      <w:r>
        <w:rPr>
          <w:rFonts w:hint="eastAsia"/>
          <w:szCs w:val="28"/>
        </w:rPr>
        <w:t>持续加强农村思想道德建设和公共文化建设，培育挖掘乡土文化人才，提高乡村社会文明程度。常态化开展“百团千场下基层”“乌兰牧骑演出万村行”等</w:t>
      </w:r>
      <w:r>
        <w:rPr>
          <w:rFonts w:hint="eastAsia" w:ascii="仿宋_GB2312" w:hAnsi="仿宋_GB2312" w:cs="仿宋_GB2312"/>
          <w:szCs w:val="32"/>
        </w:rPr>
        <w:t>戏曲进乡村</w:t>
      </w:r>
      <w:r>
        <w:rPr>
          <w:rFonts w:hint="eastAsia"/>
          <w:szCs w:val="28"/>
        </w:rPr>
        <w:t>文化惠民活动，鼓励农牧民自主举办村晚、“村BA”等群众性文体活动。全面落实“英才兴蒙”工程，扎实推进“三支一扶”计划、科技特派员、特岗教师等基层服务项目。</w:t>
      </w:r>
    </w:p>
    <w:p w14:paraId="7CB187C8">
      <w:pPr>
        <w:ind w:firstLine="643"/>
        <w:rPr>
          <w:szCs w:val="28"/>
          <w:shd w:val="clear" w:color="auto" w:fill="FFFFFF"/>
        </w:rPr>
      </w:pPr>
      <w:r>
        <w:rPr>
          <w:rFonts w:hint="eastAsia"/>
          <w:b/>
          <w:bCs/>
        </w:rPr>
        <w:t>健全乡村治理体系。</w:t>
      </w:r>
      <w:r>
        <w:rPr>
          <w:rFonts w:hint="eastAsia"/>
          <w:szCs w:val="28"/>
        </w:rPr>
        <w:t>深入推进抓党建促乡村全面振兴，完善旗乡村（社区）三级党组织联动体系，推动“党建+网格”治理模式，深化“双报到、双服务、双报告”机制，持续开展“千名干部进百村入万户”联系服务群众工作活动。深化法治乡村建设，持续实施“1名村（居）法律顾问+N名法律明白人”行动，推进“全国民主法治示范村（社区）”创建工作，增强农牧民法律意识，</w:t>
      </w:r>
      <w:r>
        <w:rPr>
          <w:rFonts w:hint="eastAsia"/>
          <w:szCs w:val="28"/>
          <w:shd w:val="clear" w:color="auto" w:fill="FFFFFF"/>
        </w:rPr>
        <w:t>发挥好村规民约作用。创新治理方式，推动数字赋能乡村治理，创新村民协商议事形式。进一步维护乡村和谐稳定，强化农村矛盾纠纷排查化解，推进和谐邻里建设。</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0C48D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41B3080E">
            <w:pPr>
              <w:pStyle w:val="37"/>
              <w:spacing w:before="0" w:after="0"/>
              <w:ind w:firstLine="640"/>
            </w:pPr>
            <w:r>
              <w:rPr>
                <w:rFonts w:hint="eastAsia"/>
              </w:rPr>
              <w:t>推进乡村全面振兴工程</w:t>
            </w:r>
          </w:p>
        </w:tc>
      </w:tr>
      <w:tr w14:paraId="0FAD7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61CA0A5B">
            <w:pPr>
              <w:pStyle w:val="38"/>
              <w:ind w:firstLine="562"/>
            </w:pPr>
            <w:r>
              <w:rPr>
                <w:rFonts w:hint="eastAsia"/>
                <w:b/>
                <w:bCs/>
              </w:rPr>
              <w:t>乡村产业融合：</w:t>
            </w:r>
            <w:r>
              <w:rPr>
                <w:rFonts w:hint="eastAsia"/>
              </w:rPr>
              <w:t>莫力达瓦水利风景区建设项目、莫旗新发永安水库水利风景区项目。</w:t>
            </w:r>
          </w:p>
          <w:p w14:paraId="1EFC2425">
            <w:pPr>
              <w:pStyle w:val="38"/>
              <w:ind w:firstLine="562"/>
            </w:pPr>
            <w:r>
              <w:rPr>
                <w:rFonts w:hint="eastAsia"/>
                <w:b/>
                <w:bCs/>
              </w:rPr>
              <w:t>道路基础设施：</w:t>
            </w:r>
            <w:r>
              <w:rPr>
                <w:rFonts w:hint="eastAsia"/>
              </w:rPr>
              <w:t>Y002宝山至杜拉尔公路升级改建项目、X307线卧罗河至塔温敖宝段公路改建工程、建制村通双车道公路改造项目、较大人口规模自然村通硬化路项目、农村牧区联网公路建设项目。</w:t>
            </w:r>
          </w:p>
          <w:p w14:paraId="4A03662C">
            <w:pPr>
              <w:pStyle w:val="38"/>
              <w:ind w:firstLine="562"/>
            </w:pPr>
            <w:r>
              <w:rPr>
                <w:rFonts w:hint="eastAsia"/>
                <w:b/>
                <w:bCs/>
              </w:rPr>
              <w:t>供水一体化及饮水安全：</w:t>
            </w:r>
            <w:r>
              <w:rPr>
                <w:rFonts w:hint="eastAsia"/>
              </w:rPr>
              <w:t>莫旗甘河农场场部一期农村牧区供水保障工程、莫旗登特科镇水库移民村供水保障工程、莫旗三供一业移交地方32处饮水安全工程、莫旗7处水库移民饮水安全改造工程、莫旗农村牧区供水保障工程12项。积极谋划莫旗尼尔基镇城乡供水一体化工程项目、宝山镇农村安全饮水项目。</w:t>
            </w:r>
          </w:p>
          <w:p w14:paraId="7F7391CD">
            <w:pPr>
              <w:pStyle w:val="38"/>
              <w:ind w:firstLine="562"/>
            </w:pPr>
            <w:r>
              <w:rPr>
                <w:rFonts w:hint="eastAsia"/>
                <w:b/>
                <w:bCs/>
              </w:rPr>
              <w:t>人居环境提升：</w:t>
            </w:r>
            <w:r>
              <w:rPr>
                <w:rFonts w:hint="eastAsia"/>
              </w:rPr>
              <w:t>莫力达瓦旗农村生活垃圾处理工程项目。</w:t>
            </w:r>
          </w:p>
        </w:tc>
      </w:tr>
    </w:tbl>
    <w:p w14:paraId="0C52F674">
      <w:pPr>
        <w:pStyle w:val="5"/>
        <w:spacing w:before="156" w:after="156"/>
      </w:pPr>
      <w:bookmarkStart w:id="47" w:name="_Toc228206103"/>
      <w:r>
        <w:rPr>
          <w:rFonts w:hint="eastAsia"/>
        </w:rPr>
        <w:t>第四节 释放强农惠农富农政策效能</w:t>
      </w:r>
      <w:bookmarkEnd w:id="47"/>
    </w:p>
    <w:p w14:paraId="65C58320">
      <w:pPr>
        <w:ind w:firstLine="643"/>
        <w:rPr>
          <w:szCs w:val="28"/>
        </w:rPr>
      </w:pPr>
      <w:r>
        <w:rPr>
          <w:rFonts w:hint="eastAsia"/>
          <w:b/>
          <w:bCs/>
          <w:szCs w:val="28"/>
        </w:rPr>
        <w:t>深化农村改革。</w:t>
      </w:r>
      <w:r>
        <w:rPr>
          <w:rFonts w:hint="eastAsia"/>
          <w:szCs w:val="28"/>
        </w:rPr>
        <w:t>有序落实第二轮土地承包到期后再延长30年政策，保持农村土地承包关系稳定并长久不变，探索集体所有权、农牧户承包权、土地经营权分置的有效实现形式，</w:t>
      </w:r>
      <w:r>
        <w:rPr>
          <w:szCs w:val="28"/>
        </w:rPr>
        <w:t>促进土地资源合理配置和适度规模经营</w:t>
      </w:r>
      <w:r>
        <w:rPr>
          <w:rFonts w:hint="eastAsia"/>
          <w:szCs w:val="28"/>
        </w:rPr>
        <w:t>。在符合规划、用途管制和农牧民自愿有偿的前提下，探索推进农村集体经营性建设用地入市，推动依法把有偿收回的闲置宅基地、废弃的集体公益性建设用地转变为集体经营性建设用地入市，有效盘活农村土地资源。</w:t>
      </w:r>
      <w:r>
        <w:rPr>
          <w:rFonts w:hint="eastAsia"/>
        </w:rPr>
        <w:t>加快“三位一体”改革，不断推动供销合作社由传统流通服务向全程农牧业社会化服务延伸。持续深化“三变”改革，推动实现资源可持续经营和多重效益。加强农村集体资产监督管理，</w:t>
      </w:r>
      <w:r>
        <w:rPr>
          <w:rFonts w:hint="eastAsia"/>
          <w:szCs w:val="28"/>
        </w:rPr>
        <w:t>引导新型农村集体经济发展，开展资源发包、物业出租、居间服务、资产使用权入股等经营活动，增强农牧民增收致富能力。</w:t>
      </w:r>
    </w:p>
    <w:p w14:paraId="65444B4C">
      <w:pPr>
        <w:ind w:firstLine="643"/>
      </w:pPr>
      <w:r>
        <w:rPr>
          <w:rFonts w:hint="eastAsia"/>
          <w:b/>
          <w:bCs/>
          <w:szCs w:val="28"/>
        </w:rPr>
        <w:t>健全完善联农带农机制。</w:t>
      </w:r>
      <w:r>
        <w:rPr>
          <w:rFonts w:hint="eastAsia"/>
          <w:szCs w:val="28"/>
        </w:rPr>
        <w:t>培育壮大家庭农场、农民合作社、农业产业化龙头企业等新型经营主体，鼓励其通过订单收购、保底分红、股份合作、吸纳就业等多种方式，与农牧民建立紧密利益联结机制。大力发展农业社会化服务，支持各类服务组织提供专业化的生产托管、技术指导等全程化或菜单式服务，降低小农户生产经营成本。盘活闲置农村资源资产，发展壮大新型农村集体经济，增强联农带农能力。到2030年，力争打造规范化合作社180家，家庭农场120家，社会化服务组织320家。</w:t>
      </w:r>
    </w:p>
    <w:p w14:paraId="0809994D">
      <w:pPr>
        <w:ind w:firstLine="643"/>
        <w:sectPr>
          <w:pgSz w:w="11906" w:h="16838"/>
          <w:pgMar w:top="2098" w:right="1531" w:bottom="1984" w:left="1531" w:header="851" w:footer="992" w:gutter="0"/>
          <w:cols w:space="425" w:num="1"/>
          <w:docGrid w:type="lines" w:linePitch="312" w:charSpace="0"/>
        </w:sectPr>
      </w:pPr>
      <w:r>
        <w:rPr>
          <w:rFonts w:hint="eastAsia"/>
          <w:b/>
          <w:bCs/>
        </w:rPr>
        <w:t>巩固拓展脱贫攻坚成果。</w:t>
      </w:r>
      <w:r>
        <w:rPr>
          <w:rFonts w:hint="eastAsia"/>
        </w:rPr>
        <w:t>严格落实“四个不摘”要求，保持主要帮扶政策总体稳定。健全防止返贫动态监测和帮扶机制，加强对脱贫不稳定户、边缘易致贫户的动态管理，巩固“两不愁三保障”和饮水安全成果。推动低收入人口常态化帮扶政策与防止返贫帮扶政策有效衔接并轨，实现早发现、早干预、早帮扶。按照“巩固一批、升级一批、盘活一批、调整一批”原则，分类推进帮扶产业提质增效，加强帮扶产品认定和销售渠道建设。积极拓展新能源帮扶新路径，将乡村振兴与绿色能源发展深度融合，呼伦贝尔莫旗千村万乡驭风行动、乡村分布式光伏电站等标志性项目建设。持续加强传统帮扶产品认定和销售渠道建设，深入实施防止返贫就业攻坚行动，持续加强传统帮扶产品认定和销售渠道建设，深入实施防止返贫就业攻坚行动。</w:t>
      </w:r>
    </w:p>
    <w:p w14:paraId="734AC7A8">
      <w:pPr>
        <w:pStyle w:val="4"/>
        <w:spacing w:before="312" w:after="312"/>
      </w:pPr>
      <w:bookmarkStart w:id="48" w:name="_Toc228206104"/>
      <w:r>
        <w:rPr>
          <w:rFonts w:hint="eastAsia"/>
        </w:rPr>
        <w:t>第八章 畅通循环通道，主动融入双循环大格局</w:t>
      </w:r>
      <w:bookmarkEnd w:id="48"/>
    </w:p>
    <w:p w14:paraId="16DA6A13">
      <w:pPr>
        <w:ind w:firstLine="640"/>
      </w:pPr>
      <w:r>
        <w:rPr>
          <w:rFonts w:hint="eastAsia"/>
        </w:rPr>
        <w:t>坚持对内协作与对外开放并重，深度融入呼伦贝尔全域现代化国际陆港及中俄蒙合作先导区建设，持续深化区域合作，推动形成内外联动、互促互进的开放发展新格局。</w:t>
      </w:r>
    </w:p>
    <w:p w14:paraId="5424200F">
      <w:pPr>
        <w:pStyle w:val="5"/>
        <w:spacing w:before="156" w:after="156"/>
      </w:pPr>
      <w:bookmarkStart w:id="49" w:name="_Toc228206105"/>
      <w:r>
        <w:rPr>
          <w:rFonts w:hint="eastAsia"/>
        </w:rPr>
        <w:t>第一节 加强区域协同协作</w:t>
      </w:r>
      <w:bookmarkEnd w:id="49"/>
    </w:p>
    <w:p w14:paraId="08EED265">
      <w:pPr>
        <w:ind w:firstLine="643"/>
        <w:rPr>
          <w:b/>
          <w:bCs/>
          <w:szCs w:val="28"/>
        </w:rPr>
      </w:pPr>
      <w:r>
        <w:rPr>
          <w:rFonts w:hint="eastAsia"/>
          <w:b/>
          <w:bCs/>
          <w:szCs w:val="28"/>
        </w:rPr>
        <w:t>深入落实东北振兴战略。</w:t>
      </w:r>
      <w:r>
        <w:rPr>
          <w:rFonts w:hint="eastAsia"/>
          <w:szCs w:val="28"/>
        </w:rPr>
        <w:t>充分发挥莫旗对接哈大齐经济带的门户作用，加强文化旅游、商贸物流、农牧机械、农畜产品精深加工、冰雪产业等领域合作，促进跨区域产业梯度转移与错位发展，加快融入东北一体化发展。积极谋划S201尼拉一级公路、阿荣旗-莫旗－富嫩铁路线等交通基础设施，推进互联互通，建设便捷畅通的交通运输体系。落实东北黑土地保护性耕作等任务，建设国家粮食安全产业带，提高粮食综合生产能力。推进嫩江流域水源地保护治理等项目建设，加大森林草原防灭火领域合作力度，共同探索区域生态产品价值实现模式。完善能源供给补偿机制，加快能源基础设施互联互通，推进大型风光基地及配套基础设施建设，保障东北地区生产生活用能需求。</w:t>
      </w:r>
    </w:p>
    <w:p w14:paraId="4D0A123B">
      <w:pPr>
        <w:ind w:firstLine="643"/>
        <w:rPr>
          <w:b/>
          <w:bCs/>
          <w:szCs w:val="28"/>
        </w:rPr>
      </w:pPr>
      <w:r>
        <w:rPr>
          <w:rFonts w:hint="eastAsia"/>
          <w:b/>
          <w:bCs/>
          <w:szCs w:val="28"/>
        </w:rPr>
        <w:t>全方位拓展京蒙合作。</w:t>
      </w:r>
      <w:r>
        <w:rPr>
          <w:rFonts w:hint="eastAsia"/>
          <w:szCs w:val="28"/>
        </w:rPr>
        <w:t>巩固提升六个“倍增计划”和“四项行动”，拓展合作领域和范围，吸引北京企业在莫旗设立分部、生产基地、研发中心、营销中心，重点扩大与北京二商集团合作，带动莫旗产业发展，实现互惠共赢。</w:t>
      </w:r>
    </w:p>
    <w:p w14:paraId="166A3B5A">
      <w:pPr>
        <w:ind w:firstLine="643"/>
        <w:rPr>
          <w:szCs w:val="28"/>
        </w:rPr>
      </w:pPr>
      <w:r>
        <w:rPr>
          <w:rFonts w:hint="eastAsia"/>
          <w:b/>
          <w:bCs/>
          <w:szCs w:val="28"/>
        </w:rPr>
        <w:t>加强与东部沿海地区交流合作。</w:t>
      </w:r>
      <w:r>
        <w:rPr>
          <w:rFonts w:hint="eastAsia"/>
          <w:szCs w:val="28"/>
        </w:rPr>
        <w:t>充分利用沪蒙、苏蒙、粤蒙等战略合作平台，加强与粤港澳大湾区、长三角等地区对接交流，积极承接产业转移，在农畜产品加工、清洁能源资源等方面与经济大省加强合作，实现以开放合作促转型发展。加大优质农畜产品展销推介会、国际服务贸易交易会等展销会参与力度，推动莫旗优质农畜产品走出内蒙古，走向全国。探索飞地经济等利益共享</w:t>
      </w:r>
      <w:r>
        <w:rPr>
          <w:rFonts w:hint="eastAsia"/>
          <w:spacing w:val="-6"/>
          <w:szCs w:val="28"/>
        </w:rPr>
        <w:t>模式，发展飞地园区、跨省合作园区，加强技术合作及成果转化。</w:t>
      </w:r>
    </w:p>
    <w:p w14:paraId="04739DFA">
      <w:pPr>
        <w:pStyle w:val="5"/>
        <w:spacing w:before="156" w:after="156"/>
      </w:pPr>
      <w:bookmarkStart w:id="50" w:name="_Toc228206106"/>
      <w:r>
        <w:rPr>
          <w:rFonts w:hint="eastAsia"/>
        </w:rPr>
        <w:t>第二节 拓展对外开放深度广度</w:t>
      </w:r>
      <w:bookmarkEnd w:id="50"/>
    </w:p>
    <w:p w14:paraId="62802EB9">
      <w:pPr>
        <w:ind w:firstLine="643"/>
        <w:rPr>
          <w:b/>
          <w:bCs/>
          <w:szCs w:val="28"/>
        </w:rPr>
      </w:pPr>
      <w:r>
        <w:rPr>
          <w:rFonts w:hint="eastAsia"/>
          <w:b/>
          <w:bCs/>
          <w:szCs w:val="28"/>
        </w:rPr>
        <w:t>促进对外贸易增量提质。</w:t>
      </w:r>
      <w:r>
        <w:rPr>
          <w:rFonts w:hint="eastAsia"/>
          <w:szCs w:val="28"/>
        </w:rPr>
        <w:t>推动货物贸易优化升级，扩大食用菌、大豆、玉米等农畜精深加工产品、农牧机械等优势产品出口规模，积极打造自治区级二手车出口基地。指导企业用好跨境电商零售出口相关税收政策，鼓励支持外贸企业入驻跨境电商平台及抖音国际，推动跨境电商健康发展。实施外贸龙头企业“一对一”包保服务，加大对中小微外贸企业的融资增信支持力度，支持重点外贸企业拓展新兴国际市场，谋划外贸产业链延伸，加快新兴产业发展。</w:t>
      </w:r>
    </w:p>
    <w:p w14:paraId="6A8D642B">
      <w:pPr>
        <w:ind w:firstLine="643"/>
        <w:rPr>
          <w:szCs w:val="28"/>
        </w:rPr>
      </w:pPr>
      <w:r>
        <w:rPr>
          <w:rFonts w:hint="eastAsia"/>
          <w:b/>
          <w:bCs/>
          <w:szCs w:val="28"/>
        </w:rPr>
        <w:t>提高双向投资合作水平。</w:t>
      </w:r>
      <w:r>
        <w:rPr>
          <w:rFonts w:hint="eastAsia"/>
          <w:szCs w:val="28"/>
        </w:rPr>
        <w:t>加强与俄蒙等国家在农畜产品精深加工、农牧机械制造、文化旅游、基础设施等领域合作。瞄准数字经济等新兴产业，重点引进产业层次高、发展态势好、环境影响小、带动作用强的项目，加快实现外资引进。健全外商投资促进和服务体系，支持企业参与第三方市场合作，带动装备、人员、技术、标准和服务“走出去”。全面落实准入前国民待遇加负面清单管理制度，提升外商投资便利化水平，吸引外商投资先进技术、管理经验，引导外资投向现代农牧业、生态环保、高新技术、现代服务业等领域。</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79367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4D48B437">
            <w:pPr>
              <w:pStyle w:val="37"/>
              <w:spacing w:before="0" w:after="0"/>
              <w:ind w:firstLine="640"/>
            </w:pPr>
            <w:r>
              <w:rPr>
                <w:rFonts w:hint="eastAsia"/>
              </w:rPr>
              <w:t>开放合作重点任务</w:t>
            </w:r>
          </w:p>
        </w:tc>
      </w:tr>
      <w:tr w14:paraId="4DD5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3ACE723D">
            <w:pPr>
              <w:pStyle w:val="38"/>
              <w:ind w:firstLine="562"/>
            </w:pPr>
            <w:r>
              <w:rPr>
                <w:rFonts w:hint="eastAsia"/>
                <w:b/>
              </w:rPr>
              <w:t>京蒙合作：</w:t>
            </w:r>
            <w:r>
              <w:rPr>
                <w:rFonts w:hint="eastAsia"/>
              </w:rPr>
              <w:t>深化与石景山区合作，加强农畜产品成果转化，加大农畜产品加工、畜禽种业等领域合作。</w:t>
            </w:r>
          </w:p>
          <w:p w14:paraId="1D015139">
            <w:pPr>
              <w:pStyle w:val="38"/>
              <w:ind w:firstLine="562"/>
            </w:pPr>
            <w:r>
              <w:rPr>
                <w:rFonts w:hint="eastAsia"/>
                <w:b/>
              </w:rPr>
              <w:t>实施推动跨境电商高质量发展行动：</w:t>
            </w:r>
            <w:r>
              <w:rPr>
                <w:rFonts w:hint="eastAsia"/>
              </w:rPr>
              <w:t>加大跨境电商企业引育力度，支持跨境电商企业入驻电商平台，构建良好跨境电商产业生态。</w:t>
            </w:r>
          </w:p>
          <w:p w14:paraId="5695C0FC">
            <w:pPr>
              <w:pStyle w:val="38"/>
              <w:ind w:firstLine="562"/>
            </w:pPr>
            <w:r>
              <w:rPr>
                <w:rFonts w:hint="eastAsia"/>
                <w:b/>
              </w:rPr>
              <w:t>扩大对外开放：</w:t>
            </w:r>
            <w:r>
              <w:rPr>
                <w:rFonts w:hint="eastAsia"/>
              </w:rPr>
              <w:t>谋划建设二手车出口基地，推进口岸腹地产业集中区建设。</w:t>
            </w:r>
          </w:p>
          <w:p w14:paraId="4A19761D">
            <w:pPr>
              <w:pStyle w:val="38"/>
              <w:ind w:firstLine="562"/>
            </w:pPr>
            <w:r>
              <w:rPr>
                <w:rFonts w:hint="eastAsia"/>
                <w:b/>
              </w:rPr>
              <w:t>对外开放通道建设：</w:t>
            </w:r>
            <w:r>
              <w:rPr>
                <w:rFonts w:hint="eastAsia"/>
              </w:rPr>
              <w:t>谋划阿荣旗-莫旗－富嫩铁路线等交通基础设施。</w:t>
            </w:r>
          </w:p>
        </w:tc>
      </w:tr>
    </w:tbl>
    <w:p w14:paraId="00527687">
      <w:pPr>
        <w:ind w:firstLine="640"/>
        <w:sectPr>
          <w:pgSz w:w="11906" w:h="16838"/>
          <w:pgMar w:top="2098" w:right="1531" w:bottom="1984" w:left="1531" w:header="851" w:footer="992" w:gutter="0"/>
          <w:cols w:space="425" w:num="1"/>
          <w:docGrid w:type="lines" w:linePitch="312" w:charSpace="0"/>
        </w:sectPr>
      </w:pPr>
    </w:p>
    <w:p w14:paraId="7699C972">
      <w:pPr>
        <w:pStyle w:val="4"/>
        <w:spacing w:before="312" w:after="312"/>
      </w:pPr>
      <w:bookmarkStart w:id="51" w:name="_Toc228206107"/>
      <w:r>
        <w:rPr>
          <w:rFonts w:hint="eastAsia"/>
        </w:rPr>
        <w:t>第九章 优化产业结构，构建现代化产业体系</w:t>
      </w:r>
      <w:bookmarkEnd w:id="51"/>
    </w:p>
    <w:p w14:paraId="04D2014C">
      <w:pPr>
        <w:ind w:firstLine="640"/>
        <w:rPr>
          <w:szCs w:val="28"/>
        </w:rPr>
      </w:pPr>
      <w:r>
        <w:rPr>
          <w:rFonts w:hint="eastAsia"/>
          <w:szCs w:val="28"/>
        </w:rPr>
        <w:t>以发展实体经济为着力点，加快产业体系智能化、绿色化、融合化转型，夯实传统产业支撑，积极发展新兴产业，谋篇布局未来产业，强化园区平台支撑，推动产业链、价值链向中高端迈进，塑强高质量发展主引擎的稳定性和持续力。</w:t>
      </w:r>
    </w:p>
    <w:p w14:paraId="07886B3F">
      <w:pPr>
        <w:pStyle w:val="5"/>
        <w:spacing w:before="156" w:after="156"/>
      </w:pPr>
      <w:bookmarkStart w:id="52" w:name="_Toc228206108"/>
      <w:r>
        <w:rPr>
          <w:rFonts w:hint="eastAsia"/>
        </w:rPr>
        <w:t>第一节 推动传统产业焕新升级</w:t>
      </w:r>
      <w:bookmarkEnd w:id="52"/>
    </w:p>
    <w:p w14:paraId="178710ED">
      <w:pPr>
        <w:ind w:firstLine="643"/>
        <w:rPr>
          <w:sz w:val="36"/>
        </w:rPr>
      </w:pPr>
      <w:r>
        <w:rPr>
          <w:rFonts w:hint="eastAsia"/>
          <w:b/>
          <w:bCs/>
        </w:rPr>
        <w:t>推动特色产业价值化发展。</w:t>
      </w:r>
      <w:r>
        <w:rPr>
          <w:rFonts w:hint="eastAsia"/>
        </w:rPr>
        <w:t>鼓励企业实施扩能改造，优化产品结构，加速向高端价值链攀升。特色林果加工。聚焦特色林果高价值发展，构建“标准化种植－鲜果保鲜－精深加工－品牌营销”的现代化产业链，重点开发果酒、果汁饮品、冻干果脯等高附加值产品。中草药加工。推动苏子等中草药向药食同源领域深度开发，拓展苏子油、中药饮片、健康代用茶等产品线。特色经济作物加工。支持黄烟等特色经济作物的标准化种植与集约化加工，提升产品等级与市场竞争力。</w:t>
      </w:r>
    </w:p>
    <w:p w14:paraId="33A1210D">
      <w:pPr>
        <w:ind w:firstLine="643"/>
        <w:rPr>
          <w:szCs w:val="28"/>
        </w:rPr>
      </w:pPr>
      <w:r>
        <w:rPr>
          <w:rFonts w:hint="eastAsia"/>
          <w:b/>
          <w:bCs/>
          <w:szCs w:val="28"/>
        </w:rPr>
        <w:t>新型建材绿色化发展。</w:t>
      </w:r>
      <w:r>
        <w:rPr>
          <w:rFonts w:hint="eastAsia"/>
          <w:szCs w:val="28"/>
        </w:rPr>
        <w:t>立足本地花岗岩、珍珠岩、蛋白页岩等矿产资源优势，重点推动矿产资源由初加工向精深加工转变，大力发展新型墙体材料、高端装饰板材及建筑节能材料。积极谋划绿色建筑装配式产业园，重点发展新型拼装式房屋、预制叠合板、整体楼梯等标准化部件，打造钢丝网架珍珠岩复合保温板系统，提升装配式建筑产业竞争力。科学开发额尔和乡、哈达阳镇等地硅藻土资源，开发硅藻泥装饰材料、空气净化材料等功能性环保新材料。推动秸秆资源高附加值发展，谋划秸秆人造板、新型墙体材料等制造项目，生产家具、办公用品及防火建筑材料，推动秸秆在建材等领域的规模化应用。</w:t>
      </w:r>
    </w:p>
    <w:p w14:paraId="477DB81A">
      <w:pPr>
        <w:pStyle w:val="5"/>
        <w:spacing w:before="156" w:after="156"/>
      </w:pPr>
      <w:bookmarkStart w:id="53" w:name="_Toc228206109"/>
      <w:r>
        <w:rPr>
          <w:rFonts w:hint="eastAsia"/>
        </w:rPr>
        <w:t>第二节 培育壮大新兴产业</w:t>
      </w:r>
      <w:bookmarkEnd w:id="53"/>
    </w:p>
    <w:p w14:paraId="3D0CA91E">
      <w:pPr>
        <w:spacing w:line="580" w:lineRule="exact"/>
        <w:ind w:firstLine="643"/>
        <w:rPr>
          <w:b/>
          <w:bCs/>
          <w:szCs w:val="28"/>
        </w:rPr>
      </w:pPr>
      <w:r>
        <w:rPr>
          <w:rFonts w:hint="eastAsia"/>
          <w:b/>
          <w:bCs/>
          <w:szCs w:val="28"/>
        </w:rPr>
        <w:t>推动现代农业装备高质量发展。</w:t>
      </w:r>
      <w:r>
        <w:rPr>
          <w:rFonts w:hint="eastAsia"/>
          <w:szCs w:val="28"/>
        </w:rPr>
        <w:t>围绕提升农牧业生产全程机械化与智能化水平，着力补齐农机装备研发制造与应用服务短板。以玉米、大豆、水稻等作物和肉牛、肉羊、生猪等主要畜种为主，兼顾经济、特色作物的农产品初加工关键环节，推动快速预冷、节能干燥、绿色储藏、低温压榨、高效去皮脱壳、清洁分等分级及畜禽屠宰、冷链物流等关键技术与装备推广应用；推进主要粮食作物低损失的农产品初加工机械装备成套化，提升农畜产品初加工工程化水平。积极搭建农牧机械装备制造产业科研创新平台，推动金耕、达新等骨干企业与自治区级农牧机械装备领域的科研院所、农业院校等联合组建产学研用深度融合的农牧机械装备制造技术创新联盟，开展关键核心技术、产品、装备攻关和应用。</w:t>
      </w:r>
      <w:r>
        <w:rPr>
          <w:rFonts w:hint="eastAsia"/>
          <w:color w:val="auto"/>
          <w:szCs w:val="28"/>
        </w:rPr>
        <w:t>优先发展大型先进耕整、种植与收获设备、先进植保机械、智能化灌溉设备、先进农畜产品加工机械、畜禽粪污无害化处理机械，重点培育高端青贮饲料装备和小杂粮专用机械、节水灌溉装备、冷链仓储装备，研发制造大豆玉米带状复合种植专用播种机、高速精量（免耕）播种机、中药材收获机。推动智能农机装备发展，加快提升农机装备“耕、种、管、收”全程作业质量与作业效率。大力推广基于北斗、</w:t>
      </w:r>
      <w:r>
        <w:rPr>
          <w:color w:val="auto"/>
          <w:szCs w:val="28"/>
        </w:rPr>
        <w:t>5G</w:t>
      </w:r>
      <w:r>
        <w:rPr>
          <w:rFonts w:hint="eastAsia"/>
          <w:color w:val="auto"/>
          <w:szCs w:val="28"/>
        </w:rPr>
        <w:t>的自动驾驶、远程监控、智能控制等技术在大型拖拉机、联合收割机、水稻插秧机等机具上的应用，引导高端智能农机装备加快发展。拓展智能农机精准作业应用场景，推动基于北斗的农机作业监测等技术装备推广应用，提高作业质量和监测效率，促进机械化信息化融合。加快规模化养殖数字化技术装备的应用进程，加大对智能养殖装备推广应用，探索建设智慧农牧场。</w:t>
      </w:r>
      <w:r>
        <w:rPr>
          <w:rFonts w:hint="eastAsia"/>
          <w:szCs w:val="28"/>
        </w:rPr>
        <w:t>到2030年，力争</w:t>
      </w:r>
      <w:r>
        <w:rPr>
          <w:rFonts w:hint="eastAsia" w:eastAsia="仿宋"/>
          <w:color w:val="auto"/>
        </w:rPr>
        <w:t>农业全程机械化率达</w:t>
      </w:r>
      <w:r>
        <w:rPr>
          <w:rFonts w:hint="eastAsia"/>
          <w:color w:val="auto"/>
        </w:rPr>
        <w:t>99</w:t>
      </w:r>
      <w:r>
        <w:rPr>
          <w:rFonts w:hint="eastAsia" w:eastAsia="仿宋"/>
          <w:color w:val="auto"/>
        </w:rPr>
        <w:t>%。</w:t>
      </w:r>
    </w:p>
    <w:p w14:paraId="29C0BE6A">
      <w:pPr>
        <w:spacing w:line="580" w:lineRule="exact"/>
        <w:ind w:firstLine="643"/>
        <w:rPr>
          <w:szCs w:val="28"/>
        </w:rPr>
      </w:pPr>
      <w:r>
        <w:rPr>
          <w:rFonts w:hint="eastAsia"/>
          <w:b/>
          <w:bCs/>
          <w:szCs w:val="28"/>
        </w:rPr>
        <w:t>培育发展冰雪经济。</w:t>
      </w:r>
      <w:r>
        <w:rPr>
          <w:rFonts w:hint="eastAsia"/>
          <w:szCs w:val="28"/>
        </w:rPr>
        <w:t>积极推动冰雪运动场地设施建设，前瞻谋划赛后综合利用与多季节运营模式，推动冰雪景区同步发展夏季服务业态。推动业态融合与产品转化，大力培育“冰雪+民俗”“冰雪+演艺”等新业态；以中国达斡尔民族园为载体，常态化开展大众冰雪季等休闲活动，</w:t>
      </w:r>
      <w:r>
        <w:rPr>
          <w:rFonts w:hint="eastAsia" w:ascii="仿宋_GB2312" w:hAnsi="仿宋_GB2312" w:cs="仿宋_GB2312"/>
          <w:szCs w:val="32"/>
        </w:rPr>
        <w:t>重点打造冰钓竞技、大众速滑、跨省级体育赛事等冰雪赛事体系，</w:t>
      </w:r>
      <w:r>
        <w:rPr>
          <w:rFonts w:hint="eastAsia"/>
          <w:szCs w:val="28"/>
        </w:rPr>
        <w:t>形成集健身、娱乐于一体的冰雪体育服务圈；积极开发旅拍打卡地，精心设计特色主题线路，促进冰雪与餐饮、住宿、购物等全要素跨场景融合，稳步有序开通“交通+旅游”一站式专线。创新谋划“莫力达瓦冰钓季”特色活动，将达斡尔族歌舞表演、传统服饰展示、冰雪美食品鉴等民俗文化活动深度融入冰雪场景，形成独具魅力的本土冰雪IP，推动冰雪资源转化为经济效益。</w:t>
      </w:r>
    </w:p>
    <w:p w14:paraId="6255AC2B">
      <w:pPr>
        <w:ind w:firstLine="643"/>
        <w:rPr>
          <w:szCs w:val="28"/>
        </w:rPr>
      </w:pPr>
      <w:r>
        <w:rPr>
          <w:rFonts w:hint="eastAsia"/>
          <w:b/>
          <w:bCs/>
          <w:szCs w:val="28"/>
        </w:rPr>
        <w:t>积极发展银发经济。</w:t>
      </w:r>
      <w:r>
        <w:rPr>
          <w:rFonts w:hint="eastAsia"/>
          <w:szCs w:val="28"/>
        </w:rPr>
        <w:t>发挥国有企业在公共服务领域的带动作用，积极组建专业化、规模化的国有养老服务企业，增强普惠性养老服务供给能力。依托莫旗绿色农畜林产品资源禀赋，重点开发以本土优质原料为基础的老年膳食补充剂、营养强化食品及功能性保健食品，推动抗衰老产业与中医药（蒙医药）深度融合，鼓励开发基于道地药材的保健品与绿色健康产品，延伸发展康养服务，构建具有莫旗特色的医学美容与抗衰老服务体系。完善居家社区养老服务网络，培育专业化、规范化的居家上门服务主体，引导本地机构与家政企业提供标准化、个性化兼具的生活照料与康复护理服务。结合莫旗自然生态与民</w:t>
      </w:r>
      <w:r>
        <w:rPr>
          <w:rFonts w:hint="eastAsia"/>
          <w:szCs w:val="28"/>
          <w:lang w:eastAsia="zh"/>
        </w:rPr>
        <w:t>俗</w:t>
      </w:r>
      <w:r>
        <w:rPr>
          <w:rFonts w:hint="eastAsia"/>
          <w:szCs w:val="28"/>
        </w:rPr>
        <w:t>文化资源，谋划集旅居养老、生态康养于一体的康养项目，大力发展以森林康养、生态疗愈为特色的医养结合模式，主动对接并深度融入北方地区“候鸟式”旅居养老服务体系。</w:t>
      </w:r>
    </w:p>
    <w:p w14:paraId="0BBAC84A">
      <w:pPr>
        <w:ind w:firstLine="643"/>
        <w:rPr>
          <w:szCs w:val="28"/>
        </w:rPr>
      </w:pPr>
      <w:r>
        <w:rPr>
          <w:rFonts w:hint="eastAsia"/>
          <w:b/>
          <w:bCs/>
          <w:szCs w:val="28"/>
        </w:rPr>
        <w:t>大力发展数字经济。</w:t>
      </w:r>
      <w:r>
        <w:rPr>
          <w:rFonts w:hint="eastAsia"/>
          <w:szCs w:val="28"/>
        </w:rPr>
        <w:t>加快农牧业数字化转型，深化智能化、自动化成套装备技术在智慧农业、节水灌溉、测土配方施肥、农机定位耕种、饲料精准投放、疫病快速诊断等</w:t>
      </w:r>
      <w:r>
        <w:rPr>
          <w:szCs w:val="28"/>
        </w:rPr>
        <w:t>环节</w:t>
      </w:r>
      <w:r>
        <w:rPr>
          <w:rFonts w:hint="eastAsia"/>
          <w:szCs w:val="28"/>
        </w:rPr>
        <w:t>的应用，推进“三农”综合信息服务，提升农牧业各环节数字化水平。纵深推进传统产业数字化转型，支持传统加工业建设数字化车间、优化运营管理，积极搭建企业级、行业级、区域级工业互联网平台，推动企业上云上平台，加快实现企业全生命周期数字化。依托上级大数据平台，深化数据资源治理与加工处理能力，积极培育数据应用服务产业，全面提升数据资源开发利用水平。推进农牧、能源、矿产等重点行业领域开发大数据可视化分析、数据挖掘、语义引擎、数据仓库等解决方案。实施“人工智能＋”行动，推动人工智能应用于制造业、农牧、文旅、物流、商务、医疗、档案等领域的融合应用，扩大公共服务资源数字化供给和网络化服务，促进优质资源共享复用，逐步构建数字生活新服务生态体系。提高无人车、无人机在寄递物流服务中的应用占比。</w:t>
      </w:r>
    </w:p>
    <w:p w14:paraId="17A26A1F">
      <w:pPr>
        <w:ind w:firstLine="643"/>
        <w:rPr>
          <w:color w:val="FF0000"/>
          <w:szCs w:val="28"/>
        </w:rPr>
      </w:pPr>
      <w:r>
        <w:rPr>
          <w:rFonts w:hint="eastAsia"/>
          <w:b/>
          <w:bCs/>
          <w:szCs w:val="28"/>
        </w:rPr>
        <w:t>前瞻布局低空经济。</w:t>
      </w:r>
      <w:r>
        <w:rPr>
          <w:rFonts w:hint="eastAsia"/>
          <w:szCs w:val="28"/>
        </w:rPr>
        <w:t>依托莫旗尼尔基机场，积极构建通用航空运营与服务产业体系。重点发展通航有人机及大型无人机的科研试飞业务，打造专业飞行测试服务中心，推动航空器适航认证、性能评估等高端业态发展，抢占产业链前端价值。推动通用航空短途运输服务便捷化、常态化，培育专业化运营主体，完善飞机托管、维修等配套服务。开发“低空+文旅”消费市场，打造水上观光、航空运动等特色产品，支持航空俱乐部发展，拓展低空飞行培训产业。扩大无人机在农林植保、牧情监测等精准农牧业领域的应用，积极拓展护林防火、航拍航测等公共与商业服务领域。探索建立通用航空应急救援体系，融入呼伦贝尔市航空救援网络，提升应急救护与物资投送能力。</w:t>
      </w:r>
    </w:p>
    <w:p w14:paraId="4CCDD352">
      <w:pPr>
        <w:pStyle w:val="5"/>
        <w:spacing w:before="156" w:after="156"/>
      </w:pPr>
      <w:bookmarkStart w:id="54" w:name="_Toc228206110"/>
      <w:r>
        <w:rPr>
          <w:rFonts w:hint="eastAsia"/>
        </w:rPr>
        <w:t>第三节 大力发展现代服务业</w:t>
      </w:r>
      <w:bookmarkEnd w:id="54"/>
    </w:p>
    <w:p w14:paraId="0F30C323">
      <w:pPr>
        <w:ind w:firstLine="643"/>
        <w:rPr>
          <w:szCs w:val="28"/>
        </w:rPr>
      </w:pPr>
      <w:r>
        <w:rPr>
          <w:rFonts w:hint="eastAsia"/>
          <w:b/>
          <w:bCs/>
          <w:szCs w:val="28"/>
        </w:rPr>
        <w:t>提升现代金融服务能力。</w:t>
      </w:r>
      <w:r>
        <w:rPr>
          <w:rFonts w:hint="eastAsia"/>
          <w:szCs w:val="28"/>
        </w:rPr>
        <w:t>加快完善金融服务体系，培育发展地方法人金融机构，支持社会资本参与设立保险、消费金融、金融租赁等金融机构，大力发展小额贷款、融资担保等金融机构，构建多元化金融服务网络。稳妥发展普惠金融，推进金融产品和服务方式创新，有效降低实体经济融资成本。大力推广“信易贷”模式，支持开展信用融资，拓展贷款抵质押物范围。聚焦大豆、生猪、绿色农畜产品加工、机械装备制造、文化旅游、冰雪经济等重点产业链，研发推出全产业链金融服务产品。引导政府性融资担保、再担保机构拓展业务覆盖面，降低担保费率；健全完善服务小微企业敢贷愿贷能贷会贷长效机制。强化农村金融，积极推广“裕农通”“个体蒙信贷”等普惠信贷产品，精准支持农牧民春耕备耕、畜牧养殖；深化“双保”智慧农业，创新“抱团发展、互助增信”模式，组建农业合作联合社弥补担保短板；发挥政策性金融作用，利用粮食收购贷款信用保证基金破解“无抵押贷款难”问题，推动金融服务下沉村屯，打通“最后一公里”。大力发展绿色信贷，探索绿色保险等创新工具，支持清洁能源开发和产业低碳转型。</w:t>
      </w:r>
    </w:p>
    <w:p w14:paraId="5CBAE117">
      <w:pPr>
        <w:ind w:firstLine="643"/>
        <w:rPr>
          <w:szCs w:val="28"/>
        </w:rPr>
      </w:pPr>
      <w:r>
        <w:rPr>
          <w:rFonts w:hint="eastAsia"/>
          <w:b/>
          <w:bCs/>
          <w:szCs w:val="28"/>
        </w:rPr>
        <w:t>加快物流产业提质升级。</w:t>
      </w:r>
      <w:r>
        <w:rPr>
          <w:rFonts w:hint="eastAsia"/>
          <w:szCs w:val="28"/>
        </w:rPr>
        <w:t>以加快建设呼伦贝尔莫力达瓦工业园区为契机，重点推进粮食加工及贸易、农产品及加工、食品饮品电商等企业集中建设标准化仓储设施，形成以园区为载体的集中式仓储基地。围绕莫旗特色生鲜农产品，积极培育和引入第三方物流企业，发展新型流通业态，加快冷链物流互联网数字经济产业项目建设，打造以冷藏和低温仓储运输为主的绿色食品、特色饮品、生鲜农产品冷链系统，形成一体化农产品冷链物流体系。推进集中式仓储物流设施与基层物流节点、农村道路及批发市场高效衔接，完善农产品初加工、简易加工流通网络，改善农产品基层流通渠道的贮存能力与输送能力。</w:t>
      </w:r>
    </w:p>
    <w:p w14:paraId="085A2539">
      <w:pPr>
        <w:ind w:firstLine="643"/>
        <w:rPr>
          <w:szCs w:val="28"/>
        </w:rPr>
      </w:pPr>
      <w:r>
        <w:rPr>
          <w:rFonts w:hint="eastAsia"/>
          <w:b/>
          <w:bCs/>
          <w:szCs w:val="28"/>
        </w:rPr>
        <w:t>推动电子商务高质量发展。</w:t>
      </w:r>
      <w:r>
        <w:rPr>
          <w:rFonts w:hint="eastAsia"/>
          <w:szCs w:val="28"/>
        </w:rPr>
        <w:t>立足农业生产与绿色食品加工优势，紧抓“互联网+”、国家电子商务进农村综合示范县建设机遇，积极发展电子商务产业，打通莫旗“工业品下乡、农产品进城”通道，创新发展线上交易、冷链直配等新型流通模式。积极培育现代流通业态，加强第三方电子商务平台引入和本旗电子商务平台建设，推动生鲜农产品、绿色食品、特色饮品网上交易。支持生鲜农产品生产大户、合作社向电子商务领域拓展，培训培养一批网络零售经营者人才，形成带动效应；鼓励企业与国内大型第三方平台搭建网售链接系统，打造生鲜农产品生产供应基地、绿色食品及特色饮品电商专供基地。</w:t>
      </w:r>
    </w:p>
    <w:p w14:paraId="0552A479">
      <w:pPr>
        <w:ind w:firstLine="643"/>
        <w:rPr>
          <w:szCs w:val="28"/>
        </w:rPr>
      </w:pPr>
      <w:r>
        <w:rPr>
          <w:rFonts w:hint="eastAsia"/>
          <w:b/>
          <w:bCs/>
          <w:szCs w:val="28"/>
        </w:rPr>
        <w:t>积极培育新兴服务业。</w:t>
      </w:r>
      <w:r>
        <w:rPr>
          <w:rFonts w:hint="eastAsia"/>
          <w:szCs w:val="28"/>
        </w:rPr>
        <w:t>创新“</w:t>
      </w:r>
      <w:r>
        <w:rPr>
          <w:szCs w:val="28"/>
        </w:rPr>
        <w:t>物业服务+家政</w:t>
      </w:r>
      <w:r>
        <w:rPr>
          <w:rFonts w:hint="eastAsia"/>
          <w:szCs w:val="28"/>
        </w:rPr>
        <w:t>”模式，推动物业服务升级，规范家政服务标准，强化从业人员技能培训与等级认定，大力培育“莫力达瓦家政”劳务品牌，促进居民生活服务提质扩容。完善植保检疫体制机制，全链条打造植保检疫防控体系，发展植保检疫服务产业。加快发展检验检测认证、工程管理、工程监理、工程咨询、生产性测绘、职业中介、科技中介、研发设计等专业技术服务，积极发展审计会计、资产评估、商务咨询、市场调查、广告服务等商务服务。</w:t>
      </w:r>
    </w:p>
    <w:p w14:paraId="4E7C623D">
      <w:pPr>
        <w:pStyle w:val="5"/>
        <w:spacing w:before="156" w:after="156"/>
      </w:pPr>
      <w:bookmarkStart w:id="55" w:name="_Toc228206111"/>
      <w:r>
        <w:rPr>
          <w:rFonts w:hint="eastAsia"/>
        </w:rPr>
        <w:t>第四节 强化园区平台支撑作用</w:t>
      </w:r>
      <w:bookmarkEnd w:id="55"/>
    </w:p>
    <w:p w14:paraId="14D1A56A">
      <w:pPr>
        <w:ind w:firstLine="640"/>
        <w:rPr>
          <w:szCs w:val="28"/>
        </w:rPr>
      </w:pPr>
      <w:r>
        <w:rPr>
          <w:rFonts w:hint="eastAsia"/>
          <w:szCs w:val="28"/>
        </w:rPr>
        <w:t>积极推进工业园区产业发展，坚持制造业为主的发展方向，聚焦绿色农畜产品加工、清洁能源、机械装备制造三大主导产业，围绕“强龙头、补链条、聚集群”发展要求，系统构建“一园两心五区”空间架构。统筹布局农畜产品加工基地、新能源产业基地等功能片区，推动产业集群发展。推进产城融合，建设园区公共服务中心与综合服务中心，强化企业孵化、创新创业等服务功能。积极引进龙头项目、延伸产业链条、促进三产融合，加强数字技术在规划、治理等环节的应用，提升园区智慧化、网格化管理水平，优化开发区和工业园区管理机制，持续优化营商环境，探索“管委会＋公司”模式，打造全旗工业集聚核心区和高质量发展的重要引擎。加快补齐工业园区基础设施短板，大幅提升承载能力。到2030年，力争工业园区总产值达到30亿元。</w:t>
      </w:r>
      <w:r>
        <w:rPr>
          <w:szCs w:val="28"/>
        </w:rPr>
        <w:br w:type="page"/>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6ED8E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834" w:type="dxa"/>
          </w:tcPr>
          <w:p w14:paraId="49C39286">
            <w:pPr>
              <w:pStyle w:val="37"/>
              <w:spacing w:before="0" w:after="0"/>
              <w:ind w:firstLine="640"/>
            </w:pPr>
            <w:r>
              <w:rPr>
                <w:rFonts w:hint="eastAsia"/>
              </w:rPr>
              <w:t>构建现代产业体系工程</w:t>
            </w:r>
          </w:p>
        </w:tc>
      </w:tr>
      <w:tr w14:paraId="45B3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136147E6">
            <w:pPr>
              <w:pStyle w:val="38"/>
              <w:ind w:firstLine="562"/>
            </w:pPr>
            <w:r>
              <w:rPr>
                <w:rFonts w:hint="eastAsia"/>
                <w:b/>
                <w:bCs/>
              </w:rPr>
              <w:t>酒业：</w:t>
            </w:r>
            <w:r>
              <w:rPr>
                <w:rFonts w:hint="eastAsia"/>
              </w:rPr>
              <w:t>莫旗</w:t>
            </w:r>
            <w:r>
              <w:t>10</w:t>
            </w:r>
            <w:r>
              <w:rPr>
                <w:rFonts w:hint="eastAsia"/>
              </w:rPr>
              <w:t>万吨啤酒生产项目、莫旗</w:t>
            </w:r>
            <w:r>
              <w:t>0.5</w:t>
            </w:r>
            <w:r>
              <w:rPr>
                <w:rFonts w:hint="eastAsia"/>
              </w:rPr>
              <w:t>万吨精酿啤酒生产项目。</w:t>
            </w:r>
          </w:p>
          <w:p w14:paraId="160FFDD3">
            <w:pPr>
              <w:pStyle w:val="38"/>
              <w:ind w:firstLine="562"/>
            </w:pPr>
            <w:r>
              <w:rPr>
                <w:rFonts w:hint="eastAsia"/>
                <w:b/>
                <w:bCs/>
              </w:rPr>
              <w:t>特色林果加工：</w:t>
            </w:r>
            <w:r>
              <w:rPr>
                <w:rFonts w:hint="eastAsia"/>
              </w:rPr>
              <w:t>莫旗菇娘深加工项目。</w:t>
            </w:r>
          </w:p>
          <w:p w14:paraId="7E895520">
            <w:pPr>
              <w:pStyle w:val="38"/>
              <w:ind w:firstLine="562"/>
            </w:pPr>
            <w:r>
              <w:rPr>
                <w:rFonts w:hint="eastAsia"/>
                <w:b/>
                <w:bCs/>
              </w:rPr>
              <w:t>中草药加工：</w:t>
            </w:r>
            <w:r>
              <w:rPr>
                <w:rFonts w:hint="eastAsia"/>
              </w:rPr>
              <w:t>中草药深加工、莫旗中草药精深加工项目。</w:t>
            </w:r>
          </w:p>
          <w:p w14:paraId="7593A5C8">
            <w:pPr>
              <w:pStyle w:val="38"/>
              <w:ind w:firstLine="562"/>
            </w:pPr>
            <w:r>
              <w:rPr>
                <w:rFonts w:hint="eastAsia"/>
                <w:b/>
                <w:bCs/>
              </w:rPr>
              <w:t>新型建材：</w:t>
            </w:r>
            <w:r>
              <w:rPr>
                <w:rFonts w:hint="eastAsia"/>
              </w:rPr>
              <w:t>绿色建筑装配式产业园、莫旗秸秆室内装饰、新型墙体材料项目。</w:t>
            </w:r>
          </w:p>
          <w:p w14:paraId="3C4BDEEB">
            <w:pPr>
              <w:pStyle w:val="38"/>
              <w:ind w:firstLine="562"/>
            </w:pPr>
            <w:r>
              <w:rPr>
                <w:rFonts w:hint="eastAsia"/>
                <w:b/>
                <w:bCs/>
              </w:rPr>
              <w:t>现代物流：</w:t>
            </w:r>
            <w:r>
              <w:rPr>
                <w:rFonts w:hint="eastAsia"/>
              </w:rPr>
              <w:t>冷链物流互联网数字经济产业项目、莫旗高端智能物流园区。</w:t>
            </w:r>
          </w:p>
        </w:tc>
      </w:tr>
    </w:tbl>
    <w:p w14:paraId="1C151272">
      <w:pPr>
        <w:ind w:firstLine="640"/>
        <w:sectPr>
          <w:pgSz w:w="11906" w:h="16838"/>
          <w:pgMar w:top="2098" w:right="1531" w:bottom="1984" w:left="1531" w:header="851" w:footer="992" w:gutter="0"/>
          <w:cols w:space="425" w:num="1"/>
          <w:docGrid w:type="lines" w:linePitch="312" w:charSpace="0"/>
        </w:sectPr>
      </w:pPr>
    </w:p>
    <w:p w14:paraId="6F71592E">
      <w:pPr>
        <w:pStyle w:val="4"/>
        <w:spacing w:before="312" w:after="312"/>
      </w:pPr>
      <w:bookmarkStart w:id="56" w:name="_Toc228206112"/>
      <w:r>
        <w:rPr>
          <w:rFonts w:hint="eastAsia"/>
        </w:rPr>
        <w:t>第十章 实施创新驱动，塑造区域竞争突出优势</w:t>
      </w:r>
      <w:bookmarkEnd w:id="56"/>
    </w:p>
    <w:p w14:paraId="6A773BA2">
      <w:pPr>
        <w:ind w:firstLine="640"/>
        <w:rPr>
          <w:szCs w:val="28"/>
        </w:rPr>
      </w:pPr>
      <w:r>
        <w:rPr>
          <w:rFonts w:hint="eastAsia"/>
          <w:szCs w:val="28"/>
        </w:rPr>
        <w:t>着眼发展新质生产力，深入实施创新驱动发展战略，统筹教育科技体制机制一体改革，推动科技创新和产业创新深度融合发展，大力实施“科技兴蒙”行动，加速创新要素集聚和科技成果转化，持续完善创新生态，不断催生发展新动能。</w:t>
      </w:r>
    </w:p>
    <w:p w14:paraId="7B37B4DA">
      <w:pPr>
        <w:pStyle w:val="5"/>
        <w:spacing w:before="156" w:after="156"/>
      </w:pPr>
      <w:bookmarkStart w:id="57" w:name="_Toc228206113"/>
      <w:r>
        <w:rPr>
          <w:rFonts w:hint="eastAsia"/>
        </w:rPr>
        <w:t>第一节 加强重点领域关键核心技术攻关</w:t>
      </w:r>
      <w:bookmarkEnd w:id="57"/>
    </w:p>
    <w:p w14:paraId="23220AD4">
      <w:pPr>
        <w:ind w:firstLine="643"/>
        <w:rPr>
          <w:szCs w:val="28"/>
        </w:rPr>
      </w:pPr>
      <w:r>
        <w:rPr>
          <w:rFonts w:hint="eastAsia"/>
          <w:b/>
          <w:bCs/>
          <w:szCs w:val="28"/>
        </w:rPr>
        <w:t>推动农业领域科技创新</w:t>
      </w:r>
      <w:r>
        <w:rPr>
          <w:rFonts w:hint="eastAsia"/>
          <w:szCs w:val="28"/>
        </w:rPr>
        <w:t>。围绕建设国家级制种大县，着力推进大豆科研育种，引进大豆种质资源，加快大豆种质创新；加强与科研院校交流与合作，聚焦大豆抗逆性、产量、品质等关键领域，开展联合攻关研究，加快新品种选育，提升育种效率；鼓励大豆制种企业强强联合，优势互补，进一步优化资源配置，全面提升企业育种能力和核心竞争力。推进袁隆平院士工作站莫旗高寒水稻田养鸭实验基地向水稻育种领域扩展。加强与中国水产科学研究院淡水渔业研究中心合作，探索引进耐低温新品种，引入大水面生态养殖模式、稻渔综合种养技术，推进智能化养殖设备应用，创新“以渔控草、以渔净水”的生态模式。强化农牧业机械化领域的前沿技术引进与应用，促进北斗智能设备和技术在农牧业生产中推广使用。支持肉牛、肉羊、生猪良种联合攻关。充分发挥“看禾选种”“看畜选种”平台与“蒙农创”科技110服务模式作用，加速农业创新技术的推广应用。到2030年，累计建成“看禾选种”平台5个，全旗大豆良种繁育面积达到30万亩以上/年。</w:t>
      </w:r>
    </w:p>
    <w:p w14:paraId="6C0635C3">
      <w:pPr>
        <w:ind w:firstLine="643"/>
        <w:rPr>
          <w:szCs w:val="28"/>
        </w:rPr>
      </w:pPr>
      <w:r>
        <w:rPr>
          <w:rFonts w:hint="eastAsia"/>
          <w:b/>
          <w:bCs/>
          <w:szCs w:val="28"/>
        </w:rPr>
        <w:t>强化特色领域技术支撑。</w:t>
      </w:r>
      <w:r>
        <w:rPr>
          <w:rFonts w:hint="eastAsia"/>
          <w:szCs w:val="28"/>
        </w:rPr>
        <w:t>以与呼伦贝尔学院</w:t>
      </w:r>
      <w:r>
        <w:rPr>
          <w:szCs w:val="28"/>
        </w:rPr>
        <w:t>共建曲棍球产学研合作基地</w:t>
      </w:r>
      <w:r>
        <w:rPr>
          <w:rFonts w:hint="eastAsia"/>
          <w:szCs w:val="28"/>
        </w:rPr>
        <w:t>为基础</w:t>
      </w:r>
      <w:r>
        <w:rPr>
          <w:szCs w:val="28"/>
        </w:rPr>
        <w:t>，</w:t>
      </w:r>
      <w:r>
        <w:rPr>
          <w:rFonts w:hint="eastAsia"/>
          <w:szCs w:val="28"/>
        </w:rPr>
        <w:t>继续深化与北京体育大学、沈阳体育学院等专业院校的科技合作，实现曲棍球运动</w:t>
      </w:r>
      <w:r>
        <w:rPr>
          <w:szCs w:val="28"/>
        </w:rPr>
        <w:t>科研赋能</w:t>
      </w:r>
      <w:r>
        <w:rPr>
          <w:rFonts w:hint="eastAsia"/>
          <w:szCs w:val="28"/>
        </w:rPr>
        <w:t>与</w:t>
      </w:r>
      <w:r>
        <w:rPr>
          <w:szCs w:val="28"/>
        </w:rPr>
        <w:t>成果转化。</w:t>
      </w:r>
      <w:r>
        <w:rPr>
          <w:rFonts w:hint="eastAsia"/>
          <w:szCs w:val="28"/>
        </w:rPr>
        <w:t>持续实施科技“突围”工程，围绕绿色能源、新型储能等重点领域，优选事关发展全局的科技项目，持之以恒开展技术攻关和项目突破。积极开展生态环境保护关键核心技术研究，加强水污染防治、水生态修复、高效水土保持植物选育与种植配置、生活污水处理、生态系统增汇等实用技术研究和推广应用。积极推动绿色低碳新技术、新产品、新装备评估和认证，强化绿色低碳关键核心技术攻关。</w:t>
      </w:r>
    </w:p>
    <w:p w14:paraId="4549765F">
      <w:pPr>
        <w:pStyle w:val="5"/>
        <w:spacing w:before="156" w:after="156"/>
      </w:pPr>
      <w:bookmarkStart w:id="58" w:name="_Toc228206114"/>
      <w:r>
        <w:rPr>
          <w:rFonts w:hint="eastAsia"/>
        </w:rPr>
        <w:t>第二节 推动科技创新主体与载体建设</w:t>
      </w:r>
      <w:bookmarkEnd w:id="58"/>
    </w:p>
    <w:p w14:paraId="2E4EF028">
      <w:pPr>
        <w:ind w:firstLine="643"/>
        <w:rPr>
          <w:szCs w:val="28"/>
        </w:rPr>
      </w:pPr>
      <w:r>
        <w:rPr>
          <w:rFonts w:ascii="仿宋_GB2312"/>
          <w:b/>
          <w:szCs w:val="28"/>
        </w:rPr>
        <w:t>大力培育科技创新主体</w:t>
      </w:r>
      <w:r>
        <w:rPr>
          <w:rFonts w:hint="eastAsia" w:ascii="仿宋_GB2312"/>
          <w:b/>
          <w:szCs w:val="28"/>
        </w:rPr>
        <w:t>。</w:t>
      </w:r>
      <w:r>
        <w:rPr>
          <w:rFonts w:hint="eastAsia" w:ascii="仿宋_GB2312"/>
          <w:bCs/>
          <w:szCs w:val="28"/>
        </w:rPr>
        <w:t>强化企业科技创新主体地位，引导各类创新要素向企业集聚，推动创新链产业链资金链人才链深度融合。</w:t>
      </w:r>
      <w:r>
        <w:rPr>
          <w:rFonts w:hint="eastAsia" w:cs="Times New Roman"/>
        </w:rPr>
        <w:t>完善“科技型中小企业－高新技术企业-高成长企业-科技型领军企业”的梯次培育体系，扎实推进高新技术企业和科技型中小企业“双倍增”行动。加强分类指导与差异培育，引导科技型中小企业向“专精特新”方向发展，支持高新技术企业、高成长企业申报工信部技术创新示范企业和制造业单项冠军。聚焦种业等领域，遴选培育潜力企业成为科技型领军企业。支持企业申报自治区重大科技专项，加大基础与应用研究投入，并在政策上给予倾斜。引导国有企业发挥关键作用，支持科技型民营企业承担核心技术攻关任务。不断深化科学技术普及，提升全民科学素质。到2030年，</w:t>
      </w:r>
      <w:r>
        <w:rPr>
          <w:rFonts w:hint="eastAsia"/>
          <w:szCs w:val="28"/>
        </w:rPr>
        <w:t>新增高新技术企业2家，科技型企业增加到5家以上。</w:t>
      </w:r>
    </w:p>
    <w:p w14:paraId="255FF99D">
      <w:pPr>
        <w:ind w:firstLine="643"/>
        <w:rPr>
          <w:szCs w:val="28"/>
        </w:rPr>
      </w:pPr>
      <w:r>
        <w:rPr>
          <w:rFonts w:hint="eastAsia" w:ascii="仿宋_GB2312"/>
          <w:b/>
          <w:szCs w:val="28"/>
        </w:rPr>
        <w:t>加强科技创新平台建设。</w:t>
      </w:r>
      <w:r>
        <w:rPr>
          <w:rFonts w:hint="eastAsia"/>
          <w:szCs w:val="28"/>
        </w:rPr>
        <w:t>积极争取国家、自治区、市级重点实验室、工程研究中心、产业创新中心、技术创新中心等创新平台建设，推动农牧业科技专家大院、农村产业技术服务中心等建设，重点支持莫旗科技创新平台提档升级。推进产学研深度融合，鼓励企业与河南农业大学、东北农业大学、中国水产科学研究院合作建立种猪良种改良、非转基因大豆育种、寒地淡水渔业等科研工作站。围绕生态农业、新能源等领域，强化企业与高校院所、科研单位的精准对接。优化整合现有及新建平台布局，加强基础设施与研发经费投入，优先保障重点平台的项目支持与资源供给，建立高效运行管理机制，提升平台整体效能与成果产出率，努力实现自治区级平台数量与质量的双突破。</w:t>
      </w:r>
    </w:p>
    <w:p w14:paraId="6DF7AFA9">
      <w:pPr>
        <w:pStyle w:val="5"/>
        <w:spacing w:before="156" w:after="156"/>
      </w:pPr>
      <w:bookmarkStart w:id="59" w:name="_Toc228206115"/>
      <w:r>
        <w:rPr>
          <w:rFonts w:hint="eastAsia"/>
        </w:rPr>
        <w:t>第三节 完善科技成果转移转化体系</w:t>
      </w:r>
      <w:bookmarkEnd w:id="59"/>
    </w:p>
    <w:p w14:paraId="521AC601">
      <w:pPr>
        <w:pStyle w:val="9"/>
        <w:ind w:firstLine="643"/>
        <w:rPr>
          <w:szCs w:val="28"/>
        </w:rPr>
      </w:pPr>
      <w:r>
        <w:rPr>
          <w:rFonts w:hint="eastAsia" w:ascii="仿宋_GB2312"/>
          <w:b/>
          <w:szCs w:val="28"/>
        </w:rPr>
        <w:t>健全科技成果转化机制。</w:t>
      </w:r>
      <w:r>
        <w:rPr>
          <w:rFonts w:hint="eastAsia"/>
          <w:szCs w:val="28"/>
        </w:rPr>
        <w:t>通过研发合作、购买和引进技术转让、技术许可、作价投资等多种形式，推动科技成果与产业、企业需求有效对接，实现科技成果的市场价值，引导企业通过科技创新降低能耗，加快新兴产业优化布局。推进重点特色产业集群与研发机构共建共享，打通创新技术转化链条，加快科技成果转化应用。深化“蒙科聚”创新驱动平台应用，鼓励科技成果转移转化示范区、示范基地、专业化技术研发与中试公共服务平台建设，构建“众创空间-孵化器－园区”孵化体系，支持龙头骨干企业、高校、科研院所围绕大豆生物育种、智能农机、绿色能源等细分领域建设专业孵化器。大力培育本地技术转移服务机构，提升专业服务能力。完善以产业贡献为导向的成果评价机制，多方联动提升转化效率与效益。按照自治区相关政策文件精神，积极探索开展科技成果先使用后付费改革，提升科技成果转化整体效能。</w:t>
      </w:r>
    </w:p>
    <w:p w14:paraId="682AE582">
      <w:pPr>
        <w:ind w:firstLine="643"/>
        <w:rPr>
          <w:szCs w:val="28"/>
        </w:rPr>
      </w:pPr>
      <w:r>
        <w:rPr>
          <w:rFonts w:hint="eastAsia"/>
          <w:b/>
          <w:bCs/>
          <w:szCs w:val="28"/>
        </w:rPr>
        <w:t>加强知识产权保护。</w:t>
      </w:r>
      <w:r>
        <w:rPr>
          <w:rFonts w:hint="eastAsia"/>
          <w:szCs w:val="28"/>
        </w:rPr>
        <w:t>落实知识产权申请和扶持政策，促进人才、资金、科研成果等在城乡、企业、高校、科研机构间有效流动。完善知识产权保护体系，综合运用法律、行政、经济、技术、社会治理手段强化保护，促进保护能力和水平整体提高。对重大经济和科技活动开展知识产权评议，分析实施项目涉及知识产权的现状和合法性，识别、防范和应对项目实施过程中潜在的知识产权风险。强化知识产权信息化、智能化基础设施建设，提升发明专利质量，提高知识产权转移转化成效。加强知识产权保护的宣传教育，增强全社会尊重和保护知识产权的意识。培育版权产业发展，大力开展版权示范单位创建行动。</w:t>
      </w:r>
    </w:p>
    <w:p w14:paraId="50B3A190">
      <w:pPr>
        <w:pStyle w:val="5"/>
        <w:spacing w:before="156" w:after="156"/>
      </w:pPr>
      <w:bookmarkStart w:id="60" w:name="_Toc228206116"/>
      <w:r>
        <w:rPr>
          <w:rFonts w:hint="eastAsia"/>
        </w:rPr>
        <w:t>第四节 办好人民满意教育</w:t>
      </w:r>
      <w:bookmarkEnd w:id="60"/>
    </w:p>
    <w:p w14:paraId="1649FC63">
      <w:pPr>
        <w:ind w:firstLine="643"/>
        <w:rPr>
          <w:szCs w:val="28"/>
        </w:rPr>
      </w:pPr>
      <w:r>
        <w:rPr>
          <w:rFonts w:hint="eastAsia" w:ascii="仿宋_GB2312"/>
          <w:b/>
          <w:szCs w:val="28"/>
        </w:rPr>
        <w:t>建设高质量教育体系。</w:t>
      </w:r>
      <w:r>
        <w:rPr>
          <w:rFonts w:hint="eastAsia"/>
          <w:szCs w:val="28"/>
        </w:rPr>
        <w:t>推进基础教育扩优提质。结合人口变化动态调整布局公办园，扶持普惠园发展，巩固“小区配套园”治理，推进尼尔基第五幼儿园等项目建设，构建“公办为主、普惠补充”的学前教育发展布局；至2030年，新增公办园学位360个，三年毛入园率达到95%以上，普惠性幼儿园覆盖率达到95%以上。推进义务教育优质均衡发展，深入开展京蒙协作“教育倍增计划”，推进莫旗城乡教育集团化办学，</w:t>
      </w:r>
      <w:r>
        <w:rPr>
          <w:rFonts w:ascii="仿宋" w:hAnsi="仿宋" w:eastAsia="仿宋" w:cs="仿宋"/>
          <w:szCs w:val="36"/>
        </w:rPr>
        <w:t>打造集团化办学示范校</w:t>
      </w:r>
      <w:r>
        <w:rPr>
          <w:rFonts w:hint="eastAsia"/>
          <w:szCs w:val="28"/>
        </w:rPr>
        <w:t>，加强尼尔基第三中学教学楼、研学实践营地教学楼等项目建设，促进骨干教师交流轮岗和优质教育资源共享，加快推进文明校园创建，力争市级文明校园创建率达到100%。加快扩充和优化高中教育资源，</w:t>
      </w:r>
      <w:r>
        <w:rPr>
          <w:rFonts w:hint="eastAsia" w:cs="Times New Roman"/>
        </w:rPr>
        <w:t>以学术、科技、人文等为方向</w:t>
      </w:r>
      <w:r>
        <w:rPr>
          <w:rFonts w:hint="eastAsia"/>
          <w:szCs w:val="28"/>
        </w:rPr>
        <w:t>强化普通高中特色发展，以尼尔基第二高级中学建设为契机，推进普职融通高中办学模式，</w:t>
      </w:r>
      <w:r>
        <w:rPr>
          <w:rFonts w:hint="eastAsia" w:cs="Times New Roman"/>
        </w:rPr>
        <w:t>转变育人方式、深化课程改革与教学创新</w:t>
      </w:r>
      <w:r>
        <w:rPr>
          <w:rFonts w:hint="eastAsia"/>
          <w:szCs w:val="28"/>
        </w:rPr>
        <w:t>。推进特殊教育优质融合发展，坚持“轻度随班就读+中度特殊教育+重度送教上门”分类安置原则，实现适龄儿童少年义务教育全面普及；健全特殊教育体系，提升特殊教育质量，推进适龄青少年儿童教育全覆盖。</w:t>
      </w:r>
    </w:p>
    <w:p w14:paraId="2F642B19">
      <w:pPr>
        <w:ind w:firstLine="643"/>
        <w:rPr>
          <w:szCs w:val="28"/>
        </w:rPr>
      </w:pPr>
      <w:r>
        <w:rPr>
          <w:rFonts w:hint="eastAsia"/>
          <w:b/>
          <w:bCs/>
          <w:szCs w:val="28"/>
        </w:rPr>
        <w:t>推进职业教育协调发展。</w:t>
      </w:r>
      <w:r>
        <w:rPr>
          <w:rFonts w:hint="eastAsia" w:cs="Times New Roman"/>
        </w:rPr>
        <w:t>加强与高职院校合作，探索发展“中职+高职+企业订单班”人才培养模式，健全学生贯通培养体系，强化中高职衔接。加快推进莫旗中等职业技术学校建设，</w:t>
      </w:r>
      <w:r>
        <w:rPr>
          <w:rFonts w:hint="eastAsia"/>
          <w:szCs w:val="28"/>
        </w:rPr>
        <w:t>加强职业学校的实训基地建设、教学设备更新、信息化建设等投入支持，鼓励社会资本通过校企合作、校地合作等方式助力职业院校基础设施建设，不断提升职业院校的办学条件和水平。鼓励职业院校与企业开展联合招生、联合培养、联合就业等合作项目，实现校企资源共享、优势互补。深化产教融合，建设产教融合实践中心，支持职业院校与企业共建实训基地、共设专业课程，培养适应区域产业发展的技能型人才。深化与高等院校、科研院所的合作，推进科教产教协同育人。</w:t>
      </w:r>
    </w:p>
    <w:p w14:paraId="30D61C59">
      <w:pPr>
        <w:snapToGrid w:val="0"/>
        <w:ind w:firstLine="643"/>
        <w:rPr>
          <w:rFonts w:hint="eastAsia" w:ascii="仿宋_GB2312" w:hAnsi="仿宋_GB2312" w:cs="仿宋_GB2312"/>
          <w:szCs w:val="36"/>
        </w:rPr>
      </w:pPr>
      <w:r>
        <w:rPr>
          <w:rFonts w:hint="eastAsia" w:ascii="仿宋_GB2312" w:hAnsi="仿宋_GB2312" w:cs="仿宋_GB2312"/>
          <w:b/>
          <w:bCs/>
          <w:szCs w:val="36"/>
        </w:rPr>
        <w:t>提升教师能力素质。</w:t>
      </w:r>
      <w:r>
        <w:rPr>
          <w:rFonts w:hint="eastAsia" w:ascii="仿宋_GB2312" w:hAnsi="仿宋_GB2312" w:cs="仿宋_GB2312"/>
          <w:szCs w:val="36"/>
        </w:rPr>
        <w:t>弘扬教育家精神，加强教师思想政治建设、师德师风建设，在资格准入、职称评聘、评优奖励等工作中严格落实师德师风第一标准。</w:t>
      </w:r>
      <w:r>
        <w:rPr>
          <w:rFonts w:hint="eastAsia"/>
          <w:szCs w:val="28"/>
        </w:rPr>
        <w:t>逐年提高教师培训经费投入，改进教师培养机制、模式、课程，开展中小学教师全员培训，支持教师参加学术交流和培训活动，提升高一级学历的教师比例，探索建立教师教育质量监测评估制度。完善教师校长培训体系，全面开展依法治教和教育信息化领导力培训，提升校长和教育行政管理人员现代教育治理的意识和能力素养。探索建立新聘教师农村学校任教服务期制度，完善城镇教师到乡村支教交流制度。深化教师“县管校聘”管理体制改革，至2030年，建成一支德才兼备、结构合理、高素质、高水平的教师队伍，各类学校专业教师学历合格率达到</w:t>
      </w:r>
      <w:r>
        <w:rPr>
          <w:szCs w:val="28"/>
        </w:rPr>
        <w:t>100%</w:t>
      </w:r>
      <w:r>
        <w:rPr>
          <w:rFonts w:hint="eastAsia"/>
          <w:szCs w:val="28"/>
        </w:rPr>
        <w:t>。</w:t>
      </w:r>
    </w:p>
    <w:p w14:paraId="210A5A00">
      <w:pPr>
        <w:ind w:firstLine="643"/>
        <w:rPr>
          <w:szCs w:val="28"/>
        </w:rPr>
      </w:pPr>
      <w:r>
        <w:rPr>
          <w:rFonts w:hint="eastAsia"/>
          <w:b/>
          <w:bCs/>
          <w:szCs w:val="28"/>
        </w:rPr>
        <w:t>完善教育服务体系</w:t>
      </w:r>
      <w:r>
        <w:rPr>
          <w:rFonts w:hint="eastAsia"/>
          <w:szCs w:val="28"/>
        </w:rPr>
        <w:t>。加快数字校园项目建设，加大对普通高中（中职）、初中、小学信息化建设的投入，建设智慧校园，推动信息技术与教育教学的深度融合。开发优质的数字化教学资源，建设在线课程、虚拟仿真实验教学项目等，为学生提供更加丰富多样的学习资源和学习方式。通过信息化建设，推动教育教学改革创新，提高教育教学质量和效率。深化学生数字素养提升活动，开齐开足开好信息科技（技术）类课程，推进中小学人工智能教育普及，加强普通高校和职业院校数字技术相关学科专业建设，推进数字人才培养。推动数字化教学融合创新，深化人工智能在教学中的应用。完善学生资助体系，坚持和完善义务教育“两免一补”政策，实施农村牧区义务教育学生营养改善计划，对符合条件的普通高中家庭经济困难学生、中等职业教育在校生提供国家助学金、免除学杂费。</w:t>
      </w:r>
    </w:p>
    <w:p w14:paraId="252B7969">
      <w:pPr>
        <w:ind w:firstLine="643"/>
        <w:rPr>
          <w:szCs w:val="28"/>
        </w:rPr>
      </w:pPr>
      <w:r>
        <w:rPr>
          <w:rFonts w:hint="eastAsia" w:ascii="仿宋_GB2312"/>
          <w:b/>
          <w:szCs w:val="28"/>
        </w:rPr>
        <w:t>深入落实“五育并举”教育理念。</w:t>
      </w:r>
      <w:r>
        <w:rPr>
          <w:rFonts w:hint="eastAsia"/>
          <w:szCs w:val="28"/>
        </w:rPr>
        <w:t>以时代新人铸魂工程为抓手，全面落实立德树人工程，坚持不懈用习近平新时代中国特色社会主义思想铸魂育人，将党的创新理论有效融入大中小学思政课和课程思政中。推进中小学思想政治教育一体化建设，健全“大思政课”建设机制，充分挖掘内蒙古特色历史文化资源，将社会主义核心价值观和中华优秀传统文化、革命文化、社会主义先进文化融入学校教育教学全过程。强化实践育人，开展“助力乡村振兴”“小我融入大我”“青年红色筑梦之旅”等活动。深入实施学生体质强健计划、学校美育浸润行动、劳动习惯养成计划，开齐开足体育、艺术、劳动教育相关课程。大力开展科学教育，提高学生动手能力。深入实施青少年学生读书行动，加强书香校园建设。深化学生心理健康促进行动，强化以德育心、以智慧心、以体强心、以美润心、以劳健心。</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3C025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0FDD6898">
            <w:pPr>
              <w:pStyle w:val="37"/>
              <w:spacing w:before="0" w:after="0"/>
              <w:ind w:firstLine="640"/>
            </w:pPr>
            <w:r>
              <w:t>教育现代化</w:t>
            </w:r>
            <w:r>
              <w:rPr>
                <w:rFonts w:hint="eastAsia"/>
              </w:rPr>
              <w:t>建设工程</w:t>
            </w:r>
          </w:p>
        </w:tc>
      </w:tr>
      <w:tr w14:paraId="2DF60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4026DCEB">
            <w:pPr>
              <w:pStyle w:val="38"/>
              <w:ind w:firstLine="560"/>
            </w:pPr>
            <w:r>
              <w:rPr>
                <w:rFonts w:hint="eastAsia"/>
              </w:rPr>
              <w:t>莫旗尼尔基第二高级中学教学楼宿舍楼项目、莫旗尼尔基第二高级中学食堂项目、莫旗尼尔基第三中学教学楼项目、莫旗尼尔基第五小学体育教室项目、莫旗第二民族小学新建曲棍球馆项目、莫旗学校校园曲棍球场建设项目、莫旗学校运动场建设项目、莫旗学校足球馆建设项目、莫旗兴仁中学劳动教育+研学基地项目、莫旗教师周转宿舍建设项目、莫旗幼儿托育建设项目、莫旗全民健身多功能体育馆项目、莫旗塔温敖宝镇、汉古尔河镇、宝山镇、红彦镇、巴彦鄂温克民族乡5个全民健身中心项目、呼伦贝尔曲棍球青少年训练中心项目、曲棍球海南冬季训练基地项目、莫旗绿色节能环保供热系统升级改造项目、达斡尔民族中学升级项目、尼尔基第一中学教学楼宿舍楼维修改建项目、阿尔拉中心校教学楼改扩建项目、莫旗数字校园建设项目、旗尼尔基第二中学数字化智慧校园项目、莫旗尼尔基第五幼儿园设备采购。</w:t>
            </w:r>
          </w:p>
        </w:tc>
      </w:tr>
    </w:tbl>
    <w:p w14:paraId="523C0410">
      <w:pPr>
        <w:pStyle w:val="5"/>
        <w:spacing w:before="156" w:after="156"/>
      </w:pPr>
      <w:bookmarkStart w:id="61" w:name="_Toc228206117"/>
      <w:r>
        <w:rPr>
          <w:rFonts w:hint="eastAsia"/>
        </w:rPr>
        <w:t>第五节 加快科技创新人才引培</w:t>
      </w:r>
      <w:bookmarkEnd w:id="61"/>
    </w:p>
    <w:p w14:paraId="6374BA3E">
      <w:pPr>
        <w:ind w:firstLine="640"/>
        <w:rPr>
          <w:rFonts w:hint="eastAsia" w:ascii="仿宋_GB2312" w:hAnsi="仿宋_GB2312" w:cs="仿宋_GB2312"/>
          <w:kern w:val="0"/>
          <w:szCs w:val="32"/>
          <w:lang w:bidi="ar"/>
        </w:rPr>
        <w:sectPr>
          <w:pgSz w:w="11906" w:h="16838"/>
          <w:pgMar w:top="2098" w:right="1531" w:bottom="1984" w:left="1531" w:header="851" w:footer="992" w:gutter="0"/>
          <w:cols w:space="425" w:num="1"/>
          <w:docGrid w:type="lines" w:linePitch="312" w:charSpace="0"/>
        </w:sectPr>
      </w:pPr>
      <w:r>
        <w:rPr>
          <w:rFonts w:hint="eastAsia" w:ascii="仿宋_GB2312" w:hAnsi="仿宋_GB2312" w:cs="仿宋_GB2312"/>
          <w:kern w:val="0"/>
          <w:szCs w:val="32"/>
          <w:lang w:bidi="ar"/>
        </w:rPr>
        <w:t>深入落实自治区“英才兴蒙”工程和“呼伦贝尔英才”工程，建立健全一体推进的协调机制，整合各部门资源，强化规划衔接、政策协同、资源统筹、评价联动，细化人才分类认定标准与全周期服务保障举措，确保各项工作协同高效推进。聚焦大豆生物育种等重点领域，依托项目实施和各类创新平台，靶向引进领军人才、急需紧缺技术人才及创新团队。重点培养本土领军力量，支持登科种业、中农种业、鑫兴种业等企业设立首席科学家，对有潜力的本土人才给予专项资助，赋予科研自主权，鼓励围绕产业瓶颈形成稳定研究方向。强化青年与实用人才支撑，加大青年科技人才培养力度，支持青年人才领衔科技项目，加强基础研发与技术创新。支持旗级重点科技任务、关键技术攻关大胆使用青年科技人才。深入实施科技特派员制度，加强面向基层的实用技术推广队伍建设。强化“京蒙协作”优势，加强企事业单位与北京高等院校、科研院所等的技术研发和人才交流。深化与高等院校、科研院所、企业等在农畜产品、新能源、文旅、曲棍球等领域合作，推进科教产教协同育人。探索升级中国农业大学博士生实践站为肉羊产业教授工作站，依托高校科研优势与专家资源，攻关肉羊养殖技术、推动科研成果转化，构建种养结合的绿色循环经济发展模式，以科技赋能产业高质量发展。探索利用“人才飞地”模式，推广柔性引才，破除人才流动障碍。健全人才服务保障体系，强化科研经费支持，完善子女入学、配偶安置、医疗保障、交通出行等配套服务。建立健全以创新能力、质量、实效、贡献为导向的人才评价体系，充分激发人才创新创造活力。</w:t>
      </w:r>
    </w:p>
    <w:p w14:paraId="1019D3F6">
      <w:pPr>
        <w:pStyle w:val="4"/>
        <w:spacing w:before="312" w:after="312"/>
      </w:pPr>
      <w:bookmarkStart w:id="62" w:name="_Toc228206118"/>
      <w:r>
        <w:rPr>
          <w:rFonts w:hint="eastAsia"/>
        </w:rPr>
        <w:t>第十一章 有效提振内需，加速全国统一大市场融入</w:t>
      </w:r>
      <w:bookmarkEnd w:id="62"/>
    </w:p>
    <w:p w14:paraId="49E54C5F">
      <w:pPr>
        <w:ind w:firstLine="640"/>
        <w:rPr>
          <w:szCs w:val="28"/>
        </w:rPr>
      </w:pPr>
      <w:r>
        <w:rPr>
          <w:rFonts w:hint="eastAsia"/>
          <w:szCs w:val="28"/>
        </w:rPr>
        <w:t>坚决贯彻扩大内需战略部署，扎实推进各领域与国内大市场深度对接，切实强化消费升级与投资增效双轮驱动，确保供需关系保持动态平衡。</w:t>
      </w:r>
    </w:p>
    <w:p w14:paraId="7CAFC7B4">
      <w:pPr>
        <w:pStyle w:val="5"/>
        <w:spacing w:before="156" w:after="156"/>
      </w:pPr>
      <w:bookmarkStart w:id="63" w:name="_Toc228206119"/>
      <w:r>
        <w:rPr>
          <w:rFonts w:hint="eastAsia"/>
        </w:rPr>
        <w:t>第一节 推动消费扩容提质</w:t>
      </w:r>
      <w:bookmarkEnd w:id="63"/>
    </w:p>
    <w:p w14:paraId="7E8D3381">
      <w:pPr>
        <w:ind w:firstLine="643"/>
        <w:rPr>
          <w:szCs w:val="28"/>
        </w:rPr>
      </w:pPr>
      <w:r>
        <w:rPr>
          <w:rFonts w:hint="eastAsia"/>
          <w:b/>
          <w:bCs/>
          <w:szCs w:val="28"/>
        </w:rPr>
        <w:t>稳定大宗消费。</w:t>
      </w:r>
      <w:r>
        <w:rPr>
          <w:rFonts w:hint="eastAsia"/>
          <w:szCs w:val="28"/>
        </w:rPr>
        <w:t>用好用足超长期特别国债资金，促进先进设备生产应用，提升先进产能比重，推动高质量耐用消费品更多进入居民生活。以工业、农业、建筑、交通、教育、文旅、医疗等七大领域为重点，以节能降碳、超低排放、安全生产、数字化转型、智能化升级等为方向，按照高端化、智能化、绿色化要求，引导重点行业企业更新设备和实施技术改造。推动建筑和市政基础设施领域设备更新改造，分类推进住宅电梯、供排水、燃气、环卫、城市生命线工程、供热、安防等更新改造。加快推进老旧公交车电动化替代、老旧农业机械报废更新。提升教育、文旅、医疗设备水平，保质保量配置并及时更新教学仪器设备，推进游乐设备、演艺设备、文化保护利用等文旅设备更新提升，推动全旗医疗病房改造提升、装备和信息化设施迭代升级。把促消费和惠民生紧密结合，加大政策支持，促进汽车梯次消费、更新消费。以发放消费券、商家促销、开设专区等方式鼓励家电产品以旧换新。推动家装消费焕新，实施家装厨卫更新工程，持续推进居家适老化改造。</w:t>
      </w:r>
    </w:p>
    <w:p w14:paraId="09FDEA75">
      <w:pPr>
        <w:ind w:firstLine="643"/>
        <w:rPr>
          <w:b/>
          <w:bCs/>
          <w:szCs w:val="28"/>
        </w:rPr>
      </w:pPr>
      <w:r>
        <w:rPr>
          <w:rFonts w:hint="eastAsia"/>
          <w:b/>
          <w:bCs/>
          <w:szCs w:val="28"/>
        </w:rPr>
        <w:t>提升传统消费。</w:t>
      </w:r>
      <w:r>
        <w:rPr>
          <w:rFonts w:hint="eastAsia"/>
          <w:szCs w:val="28"/>
        </w:rPr>
        <w:t>聚焦全旗群众衣食住行需求，优化居住区、社区商业中心布局，合理规划设置地摊街区、早市夜市等便民生活服务圈，留住城市“烟火气”。提高基本消费品质，增加优质农畜产品和食品供给，突出重点品类、节庆时令等，开展餐饮促消费活动，打造特色美食街区。着力满足刚性和改善性住房需求，扩大保障性租赁住房供给，解决住房困难群体的居住问题。加快二手商品流通交易，促进二手商品交易平台规范发展。有序发展汽车融资租赁，推动汽车消费由购买管理向使用管理转变。</w:t>
      </w:r>
    </w:p>
    <w:p w14:paraId="6D183117">
      <w:pPr>
        <w:ind w:firstLine="643"/>
        <w:rPr>
          <w:b/>
          <w:bCs/>
          <w:szCs w:val="28"/>
        </w:rPr>
      </w:pPr>
      <w:r>
        <w:rPr>
          <w:rFonts w:hint="eastAsia"/>
          <w:b/>
          <w:bCs/>
          <w:szCs w:val="28"/>
        </w:rPr>
        <w:t>培育新型消费。</w:t>
      </w:r>
      <w:r>
        <w:rPr>
          <w:rFonts w:hint="eastAsia"/>
          <w:szCs w:val="28"/>
        </w:rPr>
        <w:t>支持线上线下商品消费融合发展，加快传统线下业态数字化改造和转型升级。大力开展网络营销，发挥“电子商务进农村”项目优势，让莫旗更多特色优质农畜产品走向全国。促进电子商务、直播经济、在线文娱等数字消费规范发展，支持打造线上演播、数字艺术、沉浸式体验等新业态。培育发展首发经济，开发具有地域和民族特色的产品。</w:t>
      </w:r>
    </w:p>
    <w:p w14:paraId="54202E19">
      <w:pPr>
        <w:ind w:firstLine="643"/>
        <w:rPr>
          <w:szCs w:val="28"/>
        </w:rPr>
      </w:pPr>
      <w:r>
        <w:rPr>
          <w:rFonts w:hint="eastAsia"/>
          <w:b/>
          <w:bCs/>
          <w:szCs w:val="28"/>
        </w:rPr>
        <w:t>发展服务消费。</w:t>
      </w:r>
      <w:r>
        <w:rPr>
          <w:rFonts w:hint="eastAsia"/>
          <w:szCs w:val="28"/>
        </w:rPr>
        <w:t>把握文化旅游消费热潮，开发更多特色美食、民族服饰、手工艺品等产品，加强文创商店、文化娱乐场所、艺术展览、沉浸式体验型项目等多种业态集合，培育夜间文化旅游消费场景，持续优化消费结构。增加养老育幼服务消费，发展银发经济，开发适老化技术、产品和服务，支持各类机构举办老年活动。释放生育政策潜力，增加普惠托育供给，支持社会力量提供多元化、规范化托育服务。改造提升传统教育模式，扩大名师名校网络课堂等教学资源辐射。</w:t>
      </w:r>
    </w:p>
    <w:p w14:paraId="719560E7">
      <w:pPr>
        <w:ind w:firstLine="643"/>
      </w:pPr>
      <w:r>
        <w:rPr>
          <w:rFonts w:hint="eastAsia"/>
          <w:b/>
          <w:bCs/>
        </w:rPr>
        <w:t>营造良好消费环境。</w:t>
      </w:r>
      <w:r>
        <w:rPr>
          <w:rFonts w:hint="eastAsia"/>
        </w:rPr>
        <w:t>围绕重点消费领域，完善服务标准，推行“宽进严管”模式，清理各类不合理限制措施。构建“跨部门协同+信用约束”的消费市场监管体系，加强职能部门联动配合，建立信息共享与联合执法机制，强化重点商品和服务领域价格监管。着力打造贴心服务的12315品牌，推广先行赔付、在线调解等快速处理模式，推动投诉信息应公示尽公示，引导经营主体诚信经营。落实带薪错峰休假，激发节假日消费活力，探索设置中小学春秋假，进一步优化消费体验，营造安全、放心、舒心的消费环境</w:t>
      </w:r>
    </w:p>
    <w:p w14:paraId="0AB3665F">
      <w:pPr>
        <w:pStyle w:val="5"/>
        <w:spacing w:before="156" w:after="156"/>
      </w:pPr>
      <w:bookmarkStart w:id="64" w:name="_Toc228206120"/>
      <w:r>
        <w:rPr>
          <w:rFonts w:hint="eastAsia"/>
        </w:rPr>
        <w:t>第二节 扩大有效投资空间</w:t>
      </w:r>
      <w:bookmarkEnd w:id="64"/>
    </w:p>
    <w:p w14:paraId="1F6B0615">
      <w:pPr>
        <w:ind w:firstLine="643"/>
        <w:rPr>
          <w:szCs w:val="28"/>
        </w:rPr>
      </w:pPr>
      <w:r>
        <w:rPr>
          <w:rFonts w:hint="eastAsia"/>
          <w:b/>
          <w:bCs/>
          <w:szCs w:val="28"/>
        </w:rPr>
        <w:t>落实重大项目谋划行动。</w:t>
      </w:r>
      <w:r>
        <w:rPr>
          <w:rFonts w:hint="eastAsia"/>
          <w:szCs w:val="28"/>
        </w:rPr>
        <w:t>围绕提质量、增后劲，聚焦科技创新、重要基础设施、关键产业发展、社会民生、生态环境、国家安全保障等重点领域和经济社会发展的薄弱环节、民生发展的迫切需求、资源要素的高效利用，用好全领域全要素资源排查成果，谋划包装一批10亿元项目，储备一批产业关联度高、投资力度大、带动作用强的项目，积极争取国家重大战略实施和重点领域安全能力建设（“两重”）超长期特别国债资金、中央预算内资金、地方政府专项债券支持。适应人口变化趋势，加强人力资源开发和人的全面发展投资，完善基础设施和公共服务设施布局。完善投资管理模式，引入第三方机构开展事前可行性论证，防范低效投资和重复建设，加强备案类项目的事中事后监管。</w:t>
      </w:r>
    </w:p>
    <w:p w14:paraId="67D5169D">
      <w:pPr>
        <w:ind w:firstLine="643"/>
        <w:rPr>
          <w:szCs w:val="28"/>
        </w:rPr>
      </w:pPr>
      <w:r>
        <w:rPr>
          <w:rFonts w:hint="eastAsia"/>
          <w:b/>
          <w:bCs/>
          <w:szCs w:val="28"/>
        </w:rPr>
        <w:t>引导优质资源要素集聚。</w:t>
      </w:r>
      <w:r>
        <w:rPr>
          <w:rFonts w:hint="eastAsia"/>
          <w:szCs w:val="28"/>
        </w:rPr>
        <w:t>围绕现代农牧、新能源、文化旅游等特色产业，引导优质资源要素向产业链关键环节集聚，支持企业实施延链补链强链、技术改造升级及效益倍增项目，加速资源优势向产业优势转化。创新投资审批机制，优化审批流程，加快推进重大项目联审联批，探索推行“红黄绿”动态监管机制。落实支持民间投资发展的意见，加快民间投资项目前期工作手续办理，加强用地、用能、用水、资金等要素保障，激发民间资本活力，构建“政银企”协同对接平台，推动项目高效落地。深化全周期项目管理，强化“谋划－储备－实施”闭环运作，创新“合作模式规范与金融工具培育”双轮驱动机制，畅通存量资产盘活与增量投资循环通道，形成要素高效配置、产业提质增效、投资结构优化的高质量发展格局。</w:t>
      </w:r>
    </w:p>
    <w:p w14:paraId="74D16DB5">
      <w:pPr>
        <w:ind w:firstLine="643"/>
        <w:rPr>
          <w:b/>
          <w:bCs/>
          <w:szCs w:val="28"/>
        </w:rPr>
      </w:pPr>
      <w:r>
        <w:rPr>
          <w:rFonts w:hint="eastAsia"/>
          <w:b/>
          <w:bCs/>
          <w:szCs w:val="28"/>
        </w:rPr>
        <w:t>提升招商引资质效。</w:t>
      </w:r>
      <w:r>
        <w:rPr>
          <w:rFonts w:hint="eastAsia"/>
          <w:szCs w:val="28"/>
        </w:rPr>
        <w:t>全面推进大抓招商、上门招商、以商招商、靶向引商，深化产业链招商与重点领域招商模式，精准匹配产业资源与投资项目，形成“引进一个、带动一批、辐射一片”招商布局。用好京蒙协作平台，深化与石景山区的全方位合作，积极承接产业转移。建立招商引资新机制，强化对经营主体全生命周期服务，实施旗级领导干部对辖区招商引进企业“一对一”联系制度。加强招商引资队伍能力建设，充实招商引资机构专业人员配置，强化驻外联络处招商引资职能，完善招商引资考核激励办法。</w:t>
      </w:r>
    </w:p>
    <w:p w14:paraId="216AAF71">
      <w:pPr>
        <w:ind w:firstLine="643"/>
        <w:rPr>
          <w:szCs w:val="28"/>
        </w:rPr>
      </w:pPr>
      <w:r>
        <w:rPr>
          <w:rFonts w:hint="eastAsia"/>
          <w:b/>
          <w:bCs/>
          <w:szCs w:val="28"/>
        </w:rPr>
        <w:t>开展重点领域补短板投资。</w:t>
      </w:r>
      <w:r>
        <w:rPr>
          <w:rFonts w:hint="eastAsia"/>
          <w:szCs w:val="28"/>
        </w:rPr>
        <w:t>优化投资结构，提高投资效率，保持投资合理增长。适应人口结构变化和流动趋势，重点加强基础设施和公共服务设施领域投资。加快补齐市政工程、农业农村、公共安全、生态环保、公共卫生、物资储备、防灾减灾、民生保障等领域短板，扩大战略性新兴产业投资，统筹推进新型基建、新型城镇化及交通水利等重大工程，构建现代化基础设施体系。实施新能源项目及电网续建升级。重点推进区域铁路项目的前期工作与路网优化，加强干线公路、农村公路及特色产业道路的升级改造与安全养护。围绕“六位一体”的智慧水网展开，重点落成一批关键水利枢纽与灌区工程，以提升水资源综合利用与防灾减灾能力。实施“信号升格”专项行动，强化林区及A级景区通信覆盖，构建文旅廊道信号保障网络。健全市场主导型投资增长机制，以单位产出为导向配置资源要素，提高投资效益。</w:t>
      </w:r>
    </w:p>
    <w:p w14:paraId="14D9511A">
      <w:pPr>
        <w:pStyle w:val="5"/>
        <w:spacing w:before="156" w:after="156"/>
      </w:pPr>
      <w:bookmarkStart w:id="65" w:name="_Toc228206121"/>
      <w:r>
        <w:rPr>
          <w:rFonts w:hint="eastAsia"/>
        </w:rPr>
        <w:t>第三节 打通经济循环堵点卡点</w:t>
      </w:r>
      <w:bookmarkEnd w:id="65"/>
    </w:p>
    <w:p w14:paraId="70091E1F">
      <w:pPr>
        <w:ind w:firstLine="640"/>
      </w:pPr>
      <w:r>
        <w:rPr>
          <w:rFonts w:hint="eastAsia"/>
        </w:rPr>
        <w:t>全面落实市场准入负面清单制度，加强公平竞争审查刚性约束，强化反垄断和反不正当竞争，清理和废除妨碍全国统一市场和公平竞争的各种规定和做法。落实要素市场制度和规则，健全生产要素由市场评价贡献、按贡献决定报酬的机制，推动生产要素畅通流动、高效配置。统一市场监管执法，加强质量监管，强化反垄断和反不正当竞争执法，形成优质优价、良性竞争的市场秩序。</w:t>
      </w:r>
      <w:r>
        <w:rPr>
          <w:rFonts w:hint="eastAsia"/>
          <w:szCs w:val="28"/>
        </w:rPr>
        <w:t>围绕冷链物流园，建设综合物流园、智慧化物流仓储园和物流中转基地，推动要素资源自由流动和高效配置。构建产供销一体化冷链寄递网络，推动肉牛、生猪等优势产品和菇娘、蘑菇等季节性水果山货直通全国市场。完善城乡统一的建设用地市场体系，推动不同产业用地类型合理转换，探索增加混合产业用地供给。加强和改进价格调控，健全重要民生商品价格调控机制，强化风险评估和预测预警。</w:t>
      </w:r>
    </w:p>
    <w:p w14:paraId="28D576A3">
      <w:pPr>
        <w:pStyle w:val="4"/>
        <w:spacing w:before="312" w:after="312"/>
      </w:pPr>
      <w:bookmarkStart w:id="66" w:name="_Toc228206122"/>
      <w:r>
        <w:rPr>
          <w:rFonts w:hint="eastAsia"/>
        </w:rPr>
        <w:t>第十二章 强化基建支撑，提升区域综合承载能力</w:t>
      </w:r>
      <w:bookmarkEnd w:id="66"/>
    </w:p>
    <w:p w14:paraId="203509EF">
      <w:pPr>
        <w:ind w:firstLine="640"/>
        <w:rPr>
          <w:szCs w:val="28"/>
        </w:rPr>
      </w:pPr>
      <w:r>
        <w:rPr>
          <w:rFonts w:hint="eastAsia"/>
          <w:szCs w:val="28"/>
        </w:rPr>
        <w:t>牢固树立新发展理念，坚持系统思维，以安全为基、绿色为要，加强基础设施统筹规划，优化交通、水利等基础设施布局结构推进“通道＋网络＋节点”系统建设，提升安全韧性和运营可持续性。补短板强韧性、促智慧提质效，为全旗高质量发展筑牢现代化支撑，助力建设更具韧性的美丽家园。</w:t>
      </w:r>
    </w:p>
    <w:p w14:paraId="2DCACA93">
      <w:pPr>
        <w:pStyle w:val="5"/>
        <w:spacing w:before="156" w:after="156"/>
      </w:pPr>
      <w:bookmarkStart w:id="67" w:name="_Toc228206123"/>
      <w:r>
        <w:rPr>
          <w:rFonts w:hint="eastAsia"/>
        </w:rPr>
        <w:t>第一节 完善综合交通体系</w:t>
      </w:r>
      <w:bookmarkEnd w:id="67"/>
    </w:p>
    <w:p w14:paraId="57CA3E72">
      <w:pPr>
        <w:ind w:firstLine="643"/>
        <w:rPr>
          <w:szCs w:val="28"/>
        </w:rPr>
      </w:pPr>
      <w:bookmarkStart w:id="68" w:name="OLE_LINK2"/>
      <w:r>
        <w:rPr>
          <w:rFonts w:hint="eastAsia"/>
          <w:b/>
          <w:bCs/>
          <w:szCs w:val="28"/>
        </w:rPr>
        <w:t>提升国省干线及公路路网通行能力。</w:t>
      </w:r>
      <w:r>
        <w:rPr>
          <w:rFonts w:hint="eastAsia"/>
          <w:szCs w:val="28"/>
        </w:rPr>
        <w:t>以优化路网结构、提升服务效能为核心，加快国省干线公路升级改造与养护管理。针对路网技术等级偏低、局部路段通行能力不足、安全薄弱等问题，系统推进次差公路提级改造与危旧桥梁改造。实施安全生命防护工程，完善公路安全防护设施，加强灾害易发路段综合治理，显著提升路网整体通行能力、运行安全和行车舒适性。</w:t>
      </w:r>
    </w:p>
    <w:p w14:paraId="04CA7B7A">
      <w:pPr>
        <w:ind w:firstLine="643"/>
        <w:rPr>
          <w:szCs w:val="28"/>
        </w:rPr>
      </w:pPr>
      <w:r>
        <w:rPr>
          <w:rFonts w:hint="eastAsia"/>
          <w:b/>
          <w:bCs/>
          <w:szCs w:val="28"/>
        </w:rPr>
        <w:t>全力谋划推进铁路设施建设。</w:t>
      </w:r>
      <w:r>
        <w:rPr>
          <w:rFonts w:hint="eastAsia"/>
          <w:szCs w:val="28"/>
        </w:rPr>
        <w:t>以弥补公路运力短板、打通对外战略通道、深度融入区域经济圈为目标，重点推进阿荣旗至莫旗、莫旗至富嫩线铁路前期工作，全面提升居民出行与物资运输效率。</w:t>
      </w:r>
      <w:r>
        <w:rPr>
          <w:rFonts w:hint="eastAsia" w:ascii="仿宋_GB2312" w:hAnsi="仿宋_GB2312" w:cs="仿宋_GB2312"/>
          <w:szCs w:val="32"/>
        </w:rPr>
        <w:t>研究利用既有或规划普速铁路资源，发展多式联运与货物运输，补齐铁路基础设施短板，构建内联外通、高效便捷的运输网络，为资源要素大规模、低成本流动提供坚实支撑。</w:t>
      </w:r>
    </w:p>
    <w:p w14:paraId="66EFA58D">
      <w:pPr>
        <w:ind w:firstLine="643"/>
        <w:rPr>
          <w:szCs w:val="28"/>
        </w:rPr>
      </w:pPr>
      <w:r>
        <w:rPr>
          <w:rFonts w:hint="eastAsia"/>
          <w:b/>
          <w:bCs/>
          <w:szCs w:val="28"/>
        </w:rPr>
        <w:t>稳步开展民航基础设施建设。</w:t>
      </w:r>
      <w:r>
        <w:rPr>
          <w:rFonts w:hint="eastAsia"/>
          <w:szCs w:val="28"/>
        </w:rPr>
        <w:t>着力补齐航空运输短板，科学确定机场定位与建设规模。因地制宜规划建设通信、导航、气象、供油、供电、供水等配套设施，保障机场安全高效运行。积极融入低空信息智联网，按需恢复或新开莫旗－海拉尔、莫旗－扎兰屯等航线，提升航空通达性。积极开辟高效空中走廊，显著增强商务出行、旅游开发、应急救援、农林作业等领域航空服务能力，为地区发展注入新动力。</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5C0D4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834" w:type="dxa"/>
          </w:tcPr>
          <w:p w14:paraId="12AEEED6">
            <w:pPr>
              <w:pStyle w:val="37"/>
              <w:spacing w:before="0" w:after="0"/>
              <w:ind w:firstLine="640"/>
            </w:pPr>
            <w:r>
              <w:rPr>
                <w:rFonts w:hint="eastAsia"/>
              </w:rPr>
              <w:t>交通基础设施建设工程</w:t>
            </w:r>
          </w:p>
        </w:tc>
      </w:tr>
      <w:tr w14:paraId="184FE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05910365">
            <w:pPr>
              <w:pStyle w:val="38"/>
              <w:ind w:firstLine="562"/>
            </w:pPr>
            <w:r>
              <w:rPr>
                <w:rFonts w:hint="eastAsia"/>
                <w:b/>
                <w:bCs/>
              </w:rPr>
              <w:t>国省干线新建：</w:t>
            </w:r>
            <w:r>
              <w:rPr>
                <w:rFonts w:hint="eastAsia"/>
              </w:rPr>
              <w:t>省道201线尼尔基至拉哈段一级公路项目、省道201线诺敏至后兴隆段二级公路项目、国道333尼尔基镇过境段公路。</w:t>
            </w:r>
          </w:p>
          <w:p w14:paraId="273BEF6B">
            <w:pPr>
              <w:pStyle w:val="38"/>
              <w:ind w:firstLine="562"/>
            </w:pPr>
            <w:r>
              <w:rPr>
                <w:rFonts w:hint="eastAsia"/>
                <w:b/>
                <w:bCs/>
              </w:rPr>
              <w:t>提级改造：</w:t>
            </w:r>
            <w:r>
              <w:rPr>
                <w:rFonts w:hint="eastAsia"/>
              </w:rPr>
              <w:t>Y002宝山至杜拉尔公路升级改建项目、X334公路提质改造工程。</w:t>
            </w:r>
          </w:p>
          <w:p w14:paraId="415C986A">
            <w:pPr>
              <w:pStyle w:val="38"/>
              <w:ind w:firstLine="562"/>
            </w:pPr>
            <w:r>
              <w:rPr>
                <w:rFonts w:hint="eastAsia"/>
                <w:b/>
                <w:bCs/>
              </w:rPr>
              <w:t>大桥新建及危桥改造</w:t>
            </w:r>
            <w:r>
              <w:rPr>
                <w:rFonts w:hint="eastAsia"/>
              </w:rPr>
              <w:t>：平阳甘河大桥、额尔和嫩江大桥等桥梁新建工程，省道201博荣大桥危桥改造项目、省道201团结大桥危桥改造项目、57座农村公路危旧桥改造及新建桥梁项目等危桥改造项目。</w:t>
            </w:r>
          </w:p>
        </w:tc>
      </w:tr>
      <w:bookmarkEnd w:id="68"/>
    </w:tbl>
    <w:p w14:paraId="4D04DB86">
      <w:pPr>
        <w:pStyle w:val="5"/>
        <w:spacing w:before="156" w:after="156"/>
      </w:pPr>
      <w:bookmarkStart w:id="69" w:name="_Toc228206124"/>
      <w:r>
        <w:rPr>
          <w:rFonts w:hint="eastAsia"/>
        </w:rPr>
        <w:t>第二节 健全水利基础设施</w:t>
      </w:r>
      <w:bookmarkEnd w:id="69"/>
    </w:p>
    <w:p w14:paraId="4E6678DF">
      <w:pPr>
        <w:ind w:firstLine="643"/>
        <w:rPr>
          <w:rFonts w:hint="eastAsia" w:ascii="仿宋" w:hAnsi="仿宋" w:eastAsia="仿宋"/>
          <w:szCs w:val="36"/>
        </w:rPr>
      </w:pPr>
      <w:r>
        <w:rPr>
          <w:rFonts w:hint="eastAsia"/>
          <w:b/>
          <w:bCs/>
          <w:szCs w:val="28"/>
        </w:rPr>
        <w:t>优化水资源配置格局。</w:t>
      </w:r>
      <w:r>
        <w:rPr>
          <w:rFonts w:hint="eastAsia"/>
          <w:szCs w:val="28"/>
        </w:rPr>
        <w:t>依托蒙东地区北水南调和引嫩济锡等区域性水资源配置工程，加快推进重大水源工程建设项目前期工作，储备大型水利枢纽水源工程，增强嫩江干流水资源调蓄能力。实施灌区新建续建配套与现代化改造，完善农田灌溉设施体系，扩大有效灌溉面积。</w:t>
      </w:r>
    </w:p>
    <w:p w14:paraId="4C37F102">
      <w:pPr>
        <w:ind w:firstLine="643"/>
      </w:pPr>
      <w:r>
        <w:rPr>
          <w:rFonts w:hint="eastAsia"/>
          <w:b/>
          <w:bCs/>
          <w:szCs w:val="28"/>
        </w:rPr>
        <w:t>建设稳固可靠的防洪减灾体系。</w:t>
      </w:r>
      <w:r>
        <w:rPr>
          <w:rFonts w:hint="eastAsia"/>
        </w:rPr>
        <w:t>以嫩江、诺敏河、甘河、格尼河等主要河流为对象，</w:t>
      </w:r>
      <w:r>
        <w:t>持续推进堤防达标建设和河道综合治理工程</w:t>
      </w:r>
      <w:r>
        <w:rPr>
          <w:rFonts w:hint="eastAsia"/>
        </w:rPr>
        <w:t>，提高流域防洪标准。加快病险水库水闸除险加固，消除存量安全隐患。实施山洪沟道治理和重点涝区排涝能力建设，增强城乡应对极端暴雨洪涝的能力。科学规划蓄滞洪区布局，完善防洪工程体系。加强水文监测预报预警能力建设，全面提升水旱灾害防御能力。</w:t>
      </w:r>
    </w:p>
    <w:p w14:paraId="1925A615">
      <w:pPr>
        <w:ind w:firstLine="643"/>
      </w:pPr>
      <w:r>
        <w:rPr>
          <w:b/>
          <w:bCs/>
          <w:szCs w:val="28"/>
        </w:rPr>
        <w:t>加快推进智慧水网建设</w:t>
      </w:r>
      <w:r>
        <w:rPr>
          <w:rFonts w:hint="eastAsia"/>
          <w:szCs w:val="28"/>
        </w:rPr>
        <w:t>。</w:t>
      </w:r>
      <w:r>
        <w:rPr>
          <w:rFonts w:hint="eastAsia"/>
        </w:rPr>
        <w:t>积极应用新一代信息技术，构建水情工情监测感知网络。构建空天地一体化的水利感知体系。建设智慧水利平台，实现数据汇集、智能模拟、精准预警、协同调度等功能。重点推进数字孪生流域建设，实现水资源调配、洪水预报预警、工程运维等核心业务的智能化管理。通过水利信息化建设，全面提升水资源调配和水工程管理的精细化、智能化水平，以科技创新驱动水利治理能力现代化。</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2EAD2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834" w:type="dxa"/>
          </w:tcPr>
          <w:p w14:paraId="54612AA0">
            <w:pPr>
              <w:pStyle w:val="37"/>
              <w:spacing w:before="0" w:after="0"/>
              <w:ind w:firstLine="640"/>
            </w:pPr>
            <w:r>
              <w:rPr>
                <w:rFonts w:hint="eastAsia"/>
              </w:rPr>
              <w:t>水利基础设施建设工程</w:t>
            </w:r>
          </w:p>
        </w:tc>
      </w:tr>
      <w:tr w14:paraId="46F1D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430DA0EF">
            <w:pPr>
              <w:pStyle w:val="38"/>
              <w:ind w:firstLine="562"/>
            </w:pPr>
            <w:r>
              <w:rPr>
                <w:rFonts w:hint="eastAsia"/>
                <w:b/>
                <w:bCs/>
              </w:rPr>
              <w:t>灌区</w:t>
            </w:r>
            <w:r>
              <w:rPr>
                <w:rFonts w:hint="eastAsia"/>
              </w:rPr>
              <w:t>：阿兴灌区续建改造工程，永安水库灌区、新发水库灌区等灌区改造工程。</w:t>
            </w:r>
          </w:p>
          <w:p w14:paraId="7CE3D0A7">
            <w:pPr>
              <w:pStyle w:val="38"/>
              <w:ind w:firstLine="562"/>
            </w:pPr>
            <w:r>
              <w:rPr>
                <w:rFonts w:hint="eastAsia"/>
                <w:b/>
                <w:bCs/>
              </w:rPr>
              <w:t>水源</w:t>
            </w:r>
            <w:r>
              <w:rPr>
                <w:rFonts w:hint="eastAsia"/>
              </w:rPr>
              <w:t>：莫力达瓦水利枢纽、柳屯水利枢纽。</w:t>
            </w:r>
          </w:p>
          <w:p w14:paraId="4AC8A315">
            <w:pPr>
              <w:pStyle w:val="38"/>
              <w:ind w:firstLine="562"/>
            </w:pPr>
            <w:r>
              <w:rPr>
                <w:rFonts w:hint="eastAsia"/>
                <w:b/>
                <w:bCs/>
              </w:rPr>
              <w:t>防洪减灾</w:t>
            </w:r>
            <w:r>
              <w:rPr>
                <w:rFonts w:hint="eastAsia"/>
              </w:rPr>
              <w:t>：哈力图河、乌鲁其河、格尼河、坤密尔提河、霍尔奇坎河、诺敏河、甘河、前达尔滨沟、水磨沟等9个防洪治理工程。莫旗山洪沟治理工程（2027—2030年），东北黑土区侵蚀沟综合治理工程（2026—2030年），莫旗达拉滨水库除险加固工程等。</w:t>
            </w:r>
          </w:p>
          <w:p w14:paraId="0E2545C2">
            <w:pPr>
              <w:pStyle w:val="38"/>
              <w:ind w:firstLine="562"/>
            </w:pPr>
            <w:r>
              <w:rPr>
                <w:rFonts w:hint="eastAsia"/>
                <w:b/>
                <w:bCs/>
              </w:rPr>
              <w:t>智慧水网</w:t>
            </w:r>
            <w:r>
              <w:rPr>
                <w:rFonts w:hint="eastAsia"/>
              </w:rPr>
              <w:t>：莫旗山洪灾害非工程措施监测系统维修养护项目、莫旗数字孪生工程建设项目、莫旗“天空地水工”一体化监测感知体系建设、莫旗水网调度中心建设项目、莫旗数字孪生流域建设项目、莫旗水网调度运行数字化能力建设项目。</w:t>
            </w:r>
          </w:p>
        </w:tc>
      </w:tr>
    </w:tbl>
    <w:p w14:paraId="45E74ACA">
      <w:pPr>
        <w:pStyle w:val="5"/>
        <w:spacing w:before="156" w:after="156"/>
      </w:pPr>
      <w:bookmarkStart w:id="70" w:name="_Toc228206125"/>
      <w:r>
        <w:rPr>
          <w:rFonts w:hint="eastAsia"/>
        </w:rPr>
        <w:t>第三节 加快布局新型基础设施</w:t>
      </w:r>
      <w:bookmarkEnd w:id="70"/>
    </w:p>
    <w:p w14:paraId="552CF54F">
      <w:pPr>
        <w:ind w:firstLine="640"/>
        <w:rPr>
          <w:szCs w:val="28"/>
        </w:rPr>
        <w:sectPr>
          <w:pgSz w:w="11906" w:h="16838"/>
          <w:pgMar w:top="2098" w:right="1531" w:bottom="1984" w:left="1531" w:header="851" w:footer="992" w:gutter="0"/>
          <w:cols w:space="425" w:num="1"/>
          <w:docGrid w:type="lines" w:linePitch="312" w:charSpace="0"/>
        </w:sectPr>
      </w:pPr>
      <w:r>
        <w:rPr>
          <w:rFonts w:hint="eastAsia"/>
          <w:szCs w:val="28"/>
        </w:rPr>
        <w:t>围绕数字转型、智能升级与融合创新需求，统筹推进信息基础设施、融合基础设施和创新基础设施建设。建设先进信息通信网络，构建以5G、千兆光网、卫星互联网等为核心的高速泛在网络体系。持续扩大5G网络覆盖范围，支持工业园区、重点企业部署5G专网及MEC边缘计算平台。推进千兆光网升级和深度覆盖，合理布局通信基站、机房及管道等传统设施智能化改造。加强6G技术研发与储备，超前布局未来网络体系。扩容骨干网互联节点，全面推进行业IPv6深化应用。构建固移融合、宽窄结合的物联接入体系，提升全域感知能力。积极推进交通、能源、水利、市政等传统基础设施数字化改造。到2030年，实现全旗5G基站总量超过1080个，重点场所5G网络覆盖率达到99.2%以上，建成高速畅通、覆盖广泛、智慧协同的新型基础设施体系。</w:t>
      </w:r>
    </w:p>
    <w:p w14:paraId="38CBADF1">
      <w:pPr>
        <w:pStyle w:val="4"/>
        <w:spacing w:before="312" w:after="312"/>
        <w:rPr>
          <w:color w:val="FF0000"/>
          <w:sz w:val="36"/>
        </w:rPr>
      </w:pPr>
      <w:bookmarkStart w:id="71" w:name="_Toc228206126"/>
      <w:r>
        <w:rPr>
          <w:rFonts w:hint="eastAsia"/>
        </w:rPr>
        <w:t>第十三章</w:t>
      </w:r>
      <w:r>
        <w:rPr>
          <w:rFonts w:hint="eastAsia"/>
          <w:color w:val="FF0000"/>
        </w:rPr>
        <w:t xml:space="preserve"> </w:t>
      </w:r>
      <w:r>
        <w:rPr>
          <w:rFonts w:hint="eastAsia"/>
        </w:rPr>
        <w:t>深化体制改革，增强高质量发展活力</w:t>
      </w:r>
      <w:bookmarkEnd w:id="71"/>
    </w:p>
    <w:p w14:paraId="78DCD302">
      <w:pPr>
        <w:ind w:firstLine="640"/>
        <w:rPr>
          <w:szCs w:val="28"/>
        </w:rPr>
      </w:pPr>
      <w:r>
        <w:rPr>
          <w:rFonts w:hint="eastAsia"/>
          <w:szCs w:val="28"/>
        </w:rPr>
        <w:t>深化重点领域和关键环节改革，促进各类先进生产要素向发展新质生产力集聚，加强改革举措的系统集成、协同高效，持续优化营商环境，激发经济社会发展活力。</w:t>
      </w:r>
    </w:p>
    <w:p w14:paraId="4A97F979">
      <w:pPr>
        <w:pStyle w:val="5"/>
        <w:spacing w:before="156" w:after="156"/>
      </w:pPr>
      <w:bookmarkStart w:id="72" w:name="_Toc228206127"/>
      <w:r>
        <w:rPr>
          <w:rFonts w:hint="eastAsia"/>
        </w:rPr>
        <w:t>第一节 坚持和落实“两个毫不动摇”</w:t>
      </w:r>
      <w:bookmarkEnd w:id="72"/>
    </w:p>
    <w:p w14:paraId="434A79A3">
      <w:pPr>
        <w:ind w:firstLine="643"/>
        <w:rPr>
          <w:szCs w:val="28"/>
        </w:rPr>
      </w:pPr>
      <w:r>
        <w:rPr>
          <w:rFonts w:hint="eastAsia"/>
          <w:b/>
          <w:bCs/>
          <w:szCs w:val="28"/>
        </w:rPr>
        <w:t>深化国资国企改革。</w:t>
      </w:r>
      <w:r>
        <w:rPr>
          <w:rFonts w:hint="eastAsia"/>
          <w:szCs w:val="28"/>
        </w:rPr>
        <w:t>优化国有资本布局，摸清家底扭亏治亏，深化三项制度改革，探索推进穿透式监管，压减层级减少法人户数，提高旗属国企的核心竞争力、盈利水平和抗风险能力，促进国有资产保值增值。完善国有资本经营预算制度，建立更加紧密的国有资本经营预算与国有资产报告衔接关系。深化农垦改革，有计划有步骤地组织实施垦区集团化、农场企业化发展，围绕粮油、饲草、乳业、肉业“四个主导”，构建集种养、加工、销售、服务于一体的全产业链，逐步建设成为现代化企业。</w:t>
      </w:r>
    </w:p>
    <w:p w14:paraId="1B294486">
      <w:pPr>
        <w:ind w:firstLine="643"/>
        <w:rPr>
          <w:szCs w:val="28"/>
        </w:rPr>
      </w:pPr>
      <w:r>
        <w:rPr>
          <w:rFonts w:hint="eastAsia"/>
          <w:b/>
          <w:bCs/>
          <w:szCs w:val="28"/>
        </w:rPr>
        <w:t>促进民营经济加快发展</w:t>
      </w:r>
      <w:r>
        <w:rPr>
          <w:rFonts w:hint="eastAsia"/>
          <w:szCs w:val="28"/>
        </w:rPr>
        <w:t>。严格落实《民营经济促进法》及各项政策，以法律和制度刚性保障民营企业平等使用生产要素、公平参与市场竞争，强化产权与企业家合法权益的司法保护，持续降低企业各类成本，并健全资金、人才、土地、数据等多元要素保障体系。全力抓好助企行动，全面清理阻碍发展的政策规定，健全防范和清理拖欠账款长效机制；搭建政策精准推送、诉求快速响应的数字化平台，优化直达快享机制，着力破解政策落地“最后一公里”难题，并运用司法等多种手段解决企业急难愁盼问题。支持民营企业参与重大战略、重大工程和补短板项目建设，有效激发民间投资活力。建立完善常态化政企沟通交流机制，健全民营企业参与涉企政策制定与评价的渠道，规范执法行为。引导企业内生发展，鼓励其加快建立现代企业制度、完善治理结构，通过转型升级提升竞争力，依法诚信经营。弘扬企业家精神、加强党建引领与积极回应诉求，共同营造尊重、支持民营经济创新发展的浓厚社会氛围。</w:t>
      </w:r>
    </w:p>
    <w:p w14:paraId="19368826">
      <w:pPr>
        <w:pStyle w:val="5"/>
        <w:spacing w:before="156" w:after="156"/>
      </w:pPr>
      <w:bookmarkStart w:id="73" w:name="_Toc228206128"/>
      <w:r>
        <w:rPr>
          <w:rFonts w:hint="eastAsia"/>
        </w:rPr>
        <w:t>第二节 持续优化营商环境</w:t>
      </w:r>
      <w:bookmarkEnd w:id="73"/>
    </w:p>
    <w:p w14:paraId="5C11C782">
      <w:pPr>
        <w:ind w:firstLine="643"/>
        <w:rPr>
          <w:szCs w:val="28"/>
        </w:rPr>
      </w:pPr>
      <w:r>
        <w:rPr>
          <w:rFonts w:hint="eastAsia"/>
          <w:b/>
          <w:bCs/>
          <w:szCs w:val="28"/>
        </w:rPr>
        <w:t>加强营商环境建设。</w:t>
      </w:r>
      <w:r>
        <w:rPr>
          <w:rFonts w:hint="eastAsia"/>
          <w:szCs w:val="28"/>
        </w:rPr>
        <w:t>深化政务服务“标准化、规范化、便利化、数字化”四化建设，实施政务服务事项“跨区域通办”和线上线下并行办理，深化政务服务“一网通办”改革，实现更多政务服务事项“网上办、掌上办”。优化“一件事一次办”服务模式，高位推动“高效办成一件事”全面落地。建立健全政务服务事项进驻政务服务大厅工作机制，做到前台综合收件，后台分类审批，统一窗口出件服务模式，实现“一窗通办”。着力提升政务服务人才队伍建设，以“帮办代办”为抓手，为重点项目和招商引资项目提供全方位、全流程、保姆式服务。健全“12345”接诉即办、未诉先办机制。加大政务服务人员培训力度，创新便民服务模式，多样化增设24小时自助服务设备，大幅提高“无差别+分领域”综合窗口设置比例和政务服务中心综合窗口人员“持证上岗”率。持续优化经营主体登记服务，拓展经营主体设立、变更、注销全程电子化覆盖范围，全面推广“一企、一照、一码”应用。推动招投标市场规范健康发展，推进全流程各环节实现交易进度和流程数字化管理，减轻供应商参与政府采购活动的制度性交易成本。推进市场监管现代化，建立经营主体全生命周期监管链，实施事前、事中、事后全生命周期监管，减少开展现场检查频次。</w:t>
      </w:r>
    </w:p>
    <w:p w14:paraId="311FBECA">
      <w:pPr>
        <w:ind w:firstLine="643"/>
        <w:rPr>
          <w:szCs w:val="28"/>
        </w:rPr>
      </w:pPr>
      <w:r>
        <w:rPr>
          <w:rFonts w:hint="eastAsia"/>
          <w:b/>
          <w:bCs/>
          <w:szCs w:val="28"/>
        </w:rPr>
        <w:t>完善促进消费的体制机制。</w:t>
      </w:r>
      <w:r>
        <w:rPr>
          <w:rFonts w:hint="eastAsia"/>
          <w:szCs w:val="28"/>
        </w:rPr>
        <w:t>持续释放消费潜力，完善重点消费领域服务标准，实施宽进严管，对可以依靠市场充分竞争提升供给质量的消费领域取消准入限制。加强消费者权益保护，建立健全适应消费新业态新模式发展特点的新型监管机制，强化重点商品和服务领域价格监管，完善消费维权和纠纷解决机制。全面开展“放心消费”行动，加快形成退换货、质量追溯、明码标价、监管评价的放心消费制度闭环。</w:t>
      </w:r>
    </w:p>
    <w:p w14:paraId="29E708D3">
      <w:pPr>
        <w:ind w:firstLine="643"/>
      </w:pPr>
      <w:r>
        <w:rPr>
          <w:rFonts w:hint="eastAsia"/>
          <w:b/>
          <w:bCs/>
          <w:szCs w:val="28"/>
        </w:rPr>
        <w:t>深化投资审批制度改革。</w:t>
      </w:r>
      <w:r>
        <w:rPr>
          <w:rFonts w:hint="eastAsia"/>
          <w:szCs w:val="28"/>
        </w:rPr>
        <w:t>建立政府投资支持重大项目建设长效机制，加快投资审批数据部门间共享，推动投资审批权责“一张清单”、审批数据“一体共享”、审批事项“一网通办”。加强审批事项清单化管理、审批用时管理，建立重点项目手续领办、代办、帮办机制，实现从落地建设到投入使用全方位全流程跟踪服务。完善投资管理模式，规范有序推广企业投资项目承诺制、区域评估、标准地改革等投资审批创新经验，加强投资决策与规划和用地、环评的制度衔接，加强投资项目特别是备案类项目的事中事后监管。健全政府投资有效带动社会投资体制机制，引导社会投资参与国家重大战略实施和重点领域安全能力建设，完善激发社会资本投资活力和促进投资落地机制。</w:t>
      </w:r>
    </w:p>
    <w:p w14:paraId="1F4A5E65">
      <w:pPr>
        <w:pStyle w:val="5"/>
        <w:spacing w:before="156" w:after="156"/>
      </w:pPr>
      <w:bookmarkStart w:id="74" w:name="_Toc228206129"/>
      <w:r>
        <w:rPr>
          <w:rFonts w:hint="eastAsia"/>
        </w:rPr>
        <w:t>第二节 建设高标准市场体系</w:t>
      </w:r>
      <w:bookmarkEnd w:id="74"/>
    </w:p>
    <w:p w14:paraId="03141712">
      <w:pPr>
        <w:ind w:firstLine="643"/>
        <w:rPr>
          <w:sz w:val="36"/>
          <w:szCs w:val="28"/>
        </w:rPr>
      </w:pPr>
      <w:r>
        <w:rPr>
          <w:rFonts w:hint="eastAsia"/>
          <w:b/>
          <w:bCs/>
        </w:rPr>
        <w:t>深化要素市场化配置改革。</w:t>
      </w:r>
      <w:r>
        <w:rPr>
          <w:rFonts w:hint="eastAsia"/>
          <w:szCs w:val="28"/>
        </w:rPr>
        <w:t>健全劳动、资本、土地、知识、技术、管理、数据等生产要素由市场评价贡献、按贡献决定报酬的机制，促进各类生产要素畅通流动、高效配置。盘活低效用地、闲置房产、存量基础设施。提升行政事业单位资产使用效率。围绕现代农业、新能源、文化旅游等特色产业，引导优质资源要素向产业链关键环节集聚，支持企业实施延链补链强链、技术改造升级及效益倍增项目，加速资源优势向产业优势转化。</w:t>
      </w:r>
    </w:p>
    <w:p w14:paraId="34C5C0DE">
      <w:pPr>
        <w:ind w:firstLine="643"/>
        <w:rPr>
          <w:szCs w:val="28"/>
        </w:rPr>
      </w:pPr>
      <w:r>
        <w:rPr>
          <w:rFonts w:hint="eastAsia"/>
          <w:b/>
          <w:bCs/>
          <w:szCs w:val="28"/>
        </w:rPr>
        <w:t>夯实市场经济基础性制度。</w:t>
      </w:r>
      <w:r>
        <w:rPr>
          <w:rFonts w:hint="eastAsia"/>
          <w:szCs w:val="28"/>
        </w:rPr>
        <w:t>落实产权执法司法保护制度，完善涉企产权保护案件的申诉、复查、再审等机制，严格规范公检法机关涉案财物处置程序，建立健全有效衔接的涉案财物处置制度体系。强化知识产权保护工作，加大对侵犯知识产权违法犯罪行为的刑事打击力度。完善农村集体产权确权和保护制度，规范农村产权流转交易。健全统一的社会信用制度，建立以信用为基础的新型监管机制，全面推广信用承诺制度，持续归集共享各类公共信用信息。深入推进诚信建设工程，常态排查整治政务失信行为，推动做好“双公示”向“十公示”拓展。</w:t>
      </w:r>
    </w:p>
    <w:p w14:paraId="2184C863">
      <w:pPr>
        <w:pStyle w:val="5"/>
        <w:spacing w:before="156" w:after="156"/>
      </w:pPr>
      <w:bookmarkStart w:id="75" w:name="_Toc228206130"/>
      <w:r>
        <w:rPr>
          <w:rFonts w:hint="eastAsia"/>
        </w:rPr>
        <w:t>第四节 深化重点领域改革</w:t>
      </w:r>
      <w:bookmarkEnd w:id="75"/>
    </w:p>
    <w:p w14:paraId="7E08503C">
      <w:pPr>
        <w:ind w:firstLine="643"/>
        <w:rPr>
          <w:szCs w:val="28"/>
        </w:rPr>
      </w:pPr>
      <w:r>
        <w:rPr>
          <w:rFonts w:hint="eastAsia"/>
          <w:b/>
          <w:bCs/>
          <w:szCs w:val="28"/>
        </w:rPr>
        <w:t>深化财税体制改革。</w:t>
      </w:r>
      <w:r>
        <w:rPr>
          <w:rFonts w:hint="eastAsia"/>
          <w:szCs w:val="28"/>
        </w:rPr>
        <w:t>严格财政预算编制管理，强化预算执行和绩效评价，全面实施零基预算改革，增强预算约束力。优化纳税服务，加强税收征管，提升税费治理效能，更好发挥税收对调节分配、促进创新、保障民生、服务高质量发展的支撑作用。加大预算收入统筹力度，规范政府收入预算管理，强化部门和单位收入预算管理，增强财政预算完整性。规范预算支出管理，坚持保基本民生、保工资、保运转支出在财政支出中的优先顺序，坚决兜住“三保”底线。盘活财政存量资金，完善结余资金收回使用机制。增强财政透明度，提高预算管理信息化水平，推进部门间预算信息互联共享。</w:t>
      </w:r>
    </w:p>
    <w:p w14:paraId="1FFAF892">
      <w:pPr>
        <w:ind w:firstLine="643"/>
        <w:rPr>
          <w:szCs w:val="28"/>
        </w:rPr>
      </w:pPr>
      <w:r>
        <w:rPr>
          <w:rFonts w:hint="eastAsia"/>
          <w:b/>
          <w:bCs/>
          <w:szCs w:val="28"/>
        </w:rPr>
        <w:t>加快能源重点领域改革。</w:t>
      </w:r>
      <w:r>
        <w:rPr>
          <w:rFonts w:hint="eastAsia"/>
          <w:szCs w:val="28"/>
        </w:rPr>
        <w:t>合理控制煤炭消费增长，加快主要用煤行业煤炭消费替代。科学安排保障电力供应安全的支撑性电源和促进新能源消纳的调节性电源项目。应用多能互补、源网荷储、虚拟电厂等新型模式，实现电力电量绿色低碳供应。推进园区、大型生产企业可再生能源发电替代，因地制宜开展新能源电力专线供电。健全资源开发补偿机制和利益分配共享机制，强化资源型企业生态环境恢复治理责任和社会责任，促进绿色开发、收益共享。</w:t>
      </w:r>
    </w:p>
    <w:p w14:paraId="7A1ECCBB">
      <w:pPr>
        <w:ind w:firstLine="643"/>
        <w:rPr>
          <w:szCs w:val="28"/>
        </w:rPr>
        <w:sectPr>
          <w:pgSz w:w="11906" w:h="16838"/>
          <w:pgMar w:top="2098" w:right="1531" w:bottom="1984" w:left="1531" w:header="851" w:footer="992" w:gutter="0"/>
          <w:cols w:space="425" w:num="1"/>
          <w:docGrid w:type="lines" w:linePitch="312" w:charSpace="0"/>
        </w:sectPr>
      </w:pPr>
      <w:r>
        <w:rPr>
          <w:rFonts w:hint="eastAsia"/>
          <w:b/>
          <w:bCs/>
          <w:szCs w:val="28"/>
        </w:rPr>
        <w:t>积极融入“两个屏障”一体化建设。</w:t>
      </w:r>
      <w:r>
        <w:rPr>
          <w:rFonts w:hint="eastAsia"/>
          <w:szCs w:val="28"/>
        </w:rPr>
        <w:t>深化生态安全屏障“一张图”“一张网”应用，建立生态环境“天空地”一体化监测网络，完善生态监测、生态监控、生态执法、环保督察整改、生态环境变化等信息化系统，推动生态环境监测数据、污染源数据、环境管理信息等整合、应用、共享，实现涵盖林草沙湿耕生态保护与修复、水气土固污染防治等全要素、全方位、全领域、全覆盖的生态监管。推动建设智能化数据汇聚分析运用平台，部署AR鹰眼等视频监控系统，搭建前端设备感知、数据分析研判、预警布控等功能，实现感知数据汇聚集成、智能物联、关联串并和碰撞对比，提升辖区防控的效率和准确性。</w:t>
      </w:r>
    </w:p>
    <w:p w14:paraId="0AA11E05">
      <w:pPr>
        <w:pStyle w:val="4"/>
        <w:spacing w:before="312" w:after="312"/>
      </w:pPr>
      <w:bookmarkStart w:id="76" w:name="_Toc228206131"/>
      <w:r>
        <w:rPr>
          <w:rFonts w:hint="eastAsia"/>
        </w:rPr>
        <w:t>第十四章 统筹城乡发展，稳步推进新型城镇化建设</w:t>
      </w:r>
      <w:bookmarkEnd w:id="76"/>
    </w:p>
    <w:p w14:paraId="6209517F">
      <w:pPr>
        <w:ind w:firstLine="640"/>
        <w:rPr>
          <w:szCs w:val="28"/>
        </w:rPr>
      </w:pPr>
      <w:r>
        <w:rPr>
          <w:rFonts w:hint="eastAsia"/>
          <w:szCs w:val="28"/>
        </w:rPr>
        <w:t>落实以人为本理念，协同推进莫旗新型城镇化与乡村振兴。促进城乡要素合理流动、平等交换，实现城乡共同繁荣。聚焦县域经济高质量发展，以莫旗特色产业为核心，构建以尼尔基镇为引领，各乡镇联动、彰显民族特色与资源优势的发展格局。</w:t>
      </w:r>
    </w:p>
    <w:p w14:paraId="1A88715F">
      <w:pPr>
        <w:pStyle w:val="5"/>
        <w:spacing w:before="156" w:after="156"/>
      </w:pPr>
      <w:bookmarkStart w:id="77" w:name="_Toc228206132"/>
      <w:r>
        <w:rPr>
          <w:rFonts w:hint="eastAsia"/>
        </w:rPr>
        <w:t>第一节 优化国土空间格局</w:t>
      </w:r>
      <w:bookmarkEnd w:id="77"/>
    </w:p>
    <w:p w14:paraId="7F720321">
      <w:pPr>
        <w:ind w:firstLine="643"/>
        <w:rPr>
          <w:sz w:val="36"/>
          <w:szCs w:val="28"/>
        </w:rPr>
      </w:pPr>
      <w:r>
        <w:rPr>
          <w:rFonts w:hint="eastAsia"/>
          <w:b/>
          <w:bCs/>
          <w:szCs w:val="28"/>
        </w:rPr>
        <w:t>构建国土空间保护格局。</w:t>
      </w:r>
      <w:r>
        <w:rPr>
          <w:rFonts w:hint="eastAsia"/>
          <w:szCs w:val="28"/>
        </w:rPr>
        <w:t>加快构建以旗（县）级总体规划为统领，乡镇总体规划为基础，详细规划为依据，相关专项规划为支撑的传导体系，确保旗委、旗政府战略意图在空间上得到有效落实。深入推进规划动态维护和实施监督机制，依托全市国土空间基础信息平台，加强对规划实施情况的监测、评估和预警。持续开展国土空间规划“一年一体检、五年一评估”制度，维护规划的科学性、权威性和严肃性，强化其作为各类开发保护建设活动基本依据的战略引领和刚性约束作用。落实主体功能区定位，优化运用“三区三线”划定成果，突出城乡差异化发展，贯彻落实“多规合一”国土空间规划体系，严守耕地和永久基本农田、生态保护红线、城镇开发边界等控制线，推动化解耕地、林地、草地权属交叉问题和“一地多证”问题，全面推动自然资源管理和国土空间规划“一张图”建设，分区分类实施差别化用途管制，建立国土空间开发适宜性评价及动态调整机制。</w:t>
      </w:r>
    </w:p>
    <w:p w14:paraId="53EEFCFA">
      <w:pPr>
        <w:ind w:firstLine="643"/>
        <w:rPr>
          <w:color w:val="FF0000"/>
          <w:szCs w:val="28"/>
        </w:rPr>
      </w:pPr>
      <w:r>
        <w:rPr>
          <w:rFonts w:hint="eastAsia"/>
          <w:b/>
          <w:bCs/>
          <w:szCs w:val="28"/>
        </w:rPr>
        <w:t>优化城镇开发空间格局。</w:t>
      </w:r>
      <w:r>
        <w:rPr>
          <w:rFonts w:hint="eastAsia"/>
          <w:szCs w:val="28"/>
        </w:rPr>
        <w:t>立足区域协调发展，构建以“一心、两副、一轴、多点”为框架的城镇空间新格局。强化中心城区尼尔基镇核心引领作用，突出其作为全旗政治、经济、文化中心的核心地位，通过推进主副城区互动与多组团发展，增强综合承载与辐射带动能力，打造引领全旗、联动区域的增长极。培育宝山镇、红彦镇两大副中心，依托主要交通干线强化区域联动，带动周边城镇协同发展。突出</w:t>
      </w:r>
      <w:r>
        <w:rPr>
          <w:szCs w:val="28"/>
        </w:rPr>
        <w:t>G111</w:t>
      </w:r>
      <w:r>
        <w:rPr>
          <w:rFonts w:hint="eastAsia"/>
          <w:szCs w:val="28"/>
        </w:rPr>
        <w:t>国道发展轴支撑作用，串联全域城镇节点，促进要素高效流通与产业联动。统筹推进</w:t>
      </w:r>
      <w:r>
        <w:rPr>
          <w:rFonts w:hint="eastAsia" w:cs="宋体"/>
          <w:kern w:val="0"/>
        </w:rPr>
        <w:t>塔</w:t>
      </w:r>
      <w:r>
        <w:rPr>
          <w:rFonts w:hint="eastAsia"/>
          <w:szCs w:val="28"/>
        </w:rPr>
        <w:t>温敖宝镇等</w:t>
      </w:r>
      <w:r>
        <w:rPr>
          <w:szCs w:val="28"/>
        </w:rPr>
        <w:t>8</w:t>
      </w:r>
      <w:r>
        <w:rPr>
          <w:rFonts w:hint="eastAsia"/>
          <w:szCs w:val="28"/>
        </w:rPr>
        <w:t>个一般镇和库如奇乡等</w:t>
      </w:r>
      <w:r>
        <w:rPr>
          <w:szCs w:val="28"/>
        </w:rPr>
        <w:t>4</w:t>
      </w:r>
      <w:r>
        <w:rPr>
          <w:rFonts w:hint="eastAsia"/>
          <w:szCs w:val="28"/>
        </w:rPr>
        <w:t>个乡集镇差异化发展，完善基层服务功能，构建“中心城区-重点镇-一般镇-乡集镇”多方联动、功能互补的城镇发展体系。</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9"/>
        <w:gridCol w:w="3292"/>
        <w:gridCol w:w="2289"/>
      </w:tblGrid>
      <w:tr w14:paraId="50058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000" w:type="pct"/>
            <w:gridSpan w:val="3"/>
            <w:vAlign w:val="center"/>
          </w:tcPr>
          <w:p w14:paraId="126BE38E">
            <w:pPr>
              <w:pStyle w:val="37"/>
            </w:pPr>
            <w:r>
              <w:rPr>
                <w:rFonts w:hint="eastAsia"/>
              </w:rPr>
              <w:t>莫旗各乡镇职能分工</w:t>
            </w:r>
          </w:p>
        </w:tc>
      </w:tr>
      <w:tr w14:paraId="09E16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920" w:type="pct"/>
            <w:vAlign w:val="center"/>
          </w:tcPr>
          <w:p w14:paraId="7ED2A081">
            <w:pPr>
              <w:widowControl/>
              <w:ind w:firstLine="0" w:firstLineChars="0"/>
              <w:jc w:val="center"/>
              <w:rPr>
                <w:rFonts w:cs="宋体"/>
                <w:b/>
                <w:bCs/>
                <w:color w:val="000000"/>
                <w:kern w:val="0"/>
                <w:sz w:val="28"/>
              </w:rPr>
            </w:pPr>
            <w:r>
              <w:rPr>
                <w:rFonts w:hint="eastAsia" w:cs="宋体"/>
                <w:b/>
                <w:bCs/>
                <w:color w:val="000000"/>
                <w:kern w:val="0"/>
                <w:sz w:val="28"/>
              </w:rPr>
              <w:t>等级</w:t>
            </w:r>
          </w:p>
        </w:tc>
        <w:tc>
          <w:tcPr>
            <w:tcW w:w="1817" w:type="pct"/>
            <w:vAlign w:val="center"/>
          </w:tcPr>
          <w:p w14:paraId="7164658E">
            <w:pPr>
              <w:widowControl/>
              <w:ind w:firstLine="0" w:firstLineChars="0"/>
              <w:jc w:val="center"/>
              <w:rPr>
                <w:rFonts w:cs="宋体"/>
                <w:b/>
                <w:bCs/>
                <w:color w:val="000000"/>
                <w:kern w:val="0"/>
                <w:sz w:val="28"/>
              </w:rPr>
            </w:pPr>
            <w:r>
              <w:rPr>
                <w:rFonts w:hint="eastAsia" w:cs="宋体"/>
                <w:b/>
                <w:bCs/>
                <w:color w:val="000000"/>
                <w:kern w:val="0"/>
                <w:sz w:val="28"/>
              </w:rPr>
              <w:t>名称</w:t>
            </w:r>
          </w:p>
        </w:tc>
        <w:tc>
          <w:tcPr>
            <w:tcW w:w="1263" w:type="pct"/>
            <w:vAlign w:val="center"/>
          </w:tcPr>
          <w:p w14:paraId="3398D99F">
            <w:pPr>
              <w:widowControl/>
              <w:ind w:firstLine="0" w:firstLineChars="0"/>
              <w:jc w:val="center"/>
              <w:rPr>
                <w:rFonts w:cs="宋体"/>
                <w:b/>
                <w:bCs/>
                <w:color w:val="000000"/>
                <w:kern w:val="0"/>
                <w:sz w:val="28"/>
              </w:rPr>
            </w:pPr>
            <w:r>
              <w:rPr>
                <w:rFonts w:hint="eastAsia" w:cs="宋体"/>
                <w:b/>
                <w:bCs/>
                <w:color w:val="000000"/>
                <w:kern w:val="0"/>
                <w:sz w:val="28"/>
              </w:rPr>
              <w:t>职能分工</w:t>
            </w:r>
          </w:p>
        </w:tc>
      </w:tr>
      <w:tr w14:paraId="3C6EB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Align w:val="center"/>
          </w:tcPr>
          <w:p w14:paraId="26E9D2D5">
            <w:pPr>
              <w:widowControl/>
              <w:ind w:firstLine="0" w:firstLineChars="0"/>
              <w:jc w:val="center"/>
              <w:rPr>
                <w:rFonts w:cs="宋体"/>
                <w:color w:val="000000"/>
                <w:kern w:val="0"/>
                <w:sz w:val="28"/>
              </w:rPr>
            </w:pPr>
            <w:r>
              <w:rPr>
                <w:rFonts w:hint="eastAsia" w:cs="宋体"/>
                <w:color w:val="000000"/>
                <w:kern w:val="0"/>
                <w:sz w:val="28"/>
              </w:rPr>
              <w:t>旗县中心城区</w:t>
            </w:r>
          </w:p>
        </w:tc>
        <w:tc>
          <w:tcPr>
            <w:tcW w:w="1817" w:type="pct"/>
            <w:vAlign w:val="center"/>
          </w:tcPr>
          <w:p w14:paraId="7349FD15">
            <w:pPr>
              <w:widowControl/>
              <w:ind w:firstLine="0" w:firstLineChars="0"/>
              <w:jc w:val="center"/>
              <w:rPr>
                <w:rFonts w:cs="宋体"/>
                <w:color w:val="000000"/>
                <w:kern w:val="0"/>
                <w:sz w:val="28"/>
              </w:rPr>
            </w:pPr>
            <w:r>
              <w:rPr>
                <w:rFonts w:hint="eastAsia" w:cs="宋体"/>
                <w:color w:val="000000"/>
                <w:kern w:val="0"/>
                <w:sz w:val="28"/>
              </w:rPr>
              <w:t>尼尔基镇</w:t>
            </w:r>
          </w:p>
        </w:tc>
        <w:tc>
          <w:tcPr>
            <w:tcW w:w="1263" w:type="pct"/>
            <w:vAlign w:val="center"/>
          </w:tcPr>
          <w:p w14:paraId="787F084F">
            <w:pPr>
              <w:widowControl/>
              <w:ind w:firstLine="0" w:firstLineChars="0"/>
              <w:jc w:val="center"/>
              <w:rPr>
                <w:rFonts w:cs="宋体"/>
                <w:color w:val="000000"/>
                <w:kern w:val="0"/>
                <w:sz w:val="28"/>
              </w:rPr>
            </w:pPr>
            <w:r>
              <w:rPr>
                <w:rFonts w:hint="eastAsia" w:cs="宋体"/>
                <w:color w:val="000000"/>
                <w:kern w:val="0"/>
                <w:sz w:val="28"/>
              </w:rPr>
              <w:t>城镇带动型</w:t>
            </w:r>
          </w:p>
        </w:tc>
      </w:tr>
      <w:tr w14:paraId="4C38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restart"/>
            <w:vAlign w:val="center"/>
          </w:tcPr>
          <w:p w14:paraId="7F8776B2">
            <w:pPr>
              <w:widowControl/>
              <w:ind w:firstLine="0" w:firstLineChars="0"/>
              <w:jc w:val="center"/>
              <w:rPr>
                <w:rFonts w:cs="宋体"/>
                <w:color w:val="000000"/>
                <w:kern w:val="0"/>
                <w:sz w:val="28"/>
              </w:rPr>
            </w:pPr>
            <w:r>
              <w:rPr>
                <w:rFonts w:hint="eastAsia" w:cs="宋体"/>
                <w:color w:val="000000"/>
                <w:kern w:val="0"/>
                <w:sz w:val="28"/>
              </w:rPr>
              <w:t>重点镇</w:t>
            </w:r>
          </w:p>
        </w:tc>
        <w:tc>
          <w:tcPr>
            <w:tcW w:w="1817" w:type="pct"/>
            <w:vAlign w:val="center"/>
          </w:tcPr>
          <w:p w14:paraId="0AE18BFE">
            <w:pPr>
              <w:widowControl/>
              <w:ind w:firstLine="0" w:firstLineChars="0"/>
              <w:jc w:val="center"/>
              <w:rPr>
                <w:rFonts w:cs="宋体"/>
                <w:kern w:val="0"/>
                <w:sz w:val="28"/>
              </w:rPr>
            </w:pPr>
            <w:r>
              <w:rPr>
                <w:rFonts w:hint="eastAsia" w:cs="宋体"/>
                <w:kern w:val="0"/>
                <w:sz w:val="28"/>
              </w:rPr>
              <w:t>宝山镇</w:t>
            </w:r>
          </w:p>
        </w:tc>
        <w:tc>
          <w:tcPr>
            <w:tcW w:w="1263" w:type="pct"/>
            <w:vAlign w:val="center"/>
          </w:tcPr>
          <w:p w14:paraId="09C45689">
            <w:pPr>
              <w:widowControl/>
              <w:ind w:firstLine="0" w:firstLineChars="0"/>
              <w:jc w:val="center"/>
              <w:rPr>
                <w:rFonts w:cs="宋体"/>
                <w:color w:val="000000"/>
                <w:kern w:val="0"/>
                <w:sz w:val="28"/>
              </w:rPr>
            </w:pPr>
            <w:r>
              <w:rPr>
                <w:rFonts w:hint="eastAsia" w:cs="宋体"/>
                <w:color w:val="000000"/>
                <w:kern w:val="0"/>
                <w:sz w:val="28"/>
              </w:rPr>
              <w:t>城镇带动型</w:t>
            </w:r>
          </w:p>
        </w:tc>
      </w:tr>
      <w:tr w14:paraId="5107C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14:paraId="2C11E8C3">
            <w:pPr>
              <w:widowControl/>
              <w:ind w:firstLine="0" w:firstLineChars="0"/>
              <w:jc w:val="left"/>
              <w:rPr>
                <w:rFonts w:cs="宋体"/>
                <w:color w:val="000000"/>
                <w:kern w:val="0"/>
                <w:sz w:val="28"/>
              </w:rPr>
            </w:pPr>
          </w:p>
        </w:tc>
        <w:tc>
          <w:tcPr>
            <w:tcW w:w="1817" w:type="pct"/>
            <w:vAlign w:val="center"/>
          </w:tcPr>
          <w:p w14:paraId="461B3EE1">
            <w:pPr>
              <w:widowControl/>
              <w:ind w:firstLine="0" w:firstLineChars="0"/>
              <w:jc w:val="center"/>
              <w:rPr>
                <w:rFonts w:cs="宋体"/>
                <w:kern w:val="0"/>
                <w:sz w:val="28"/>
              </w:rPr>
            </w:pPr>
            <w:r>
              <w:rPr>
                <w:rFonts w:hint="eastAsia" w:cs="宋体"/>
                <w:kern w:val="0"/>
                <w:sz w:val="28"/>
              </w:rPr>
              <w:t>红彦镇</w:t>
            </w:r>
          </w:p>
        </w:tc>
        <w:tc>
          <w:tcPr>
            <w:tcW w:w="1263" w:type="pct"/>
            <w:vAlign w:val="center"/>
          </w:tcPr>
          <w:p w14:paraId="1E4826DD">
            <w:pPr>
              <w:widowControl/>
              <w:ind w:firstLine="0" w:firstLineChars="0"/>
              <w:jc w:val="center"/>
              <w:rPr>
                <w:rFonts w:cs="宋体"/>
                <w:color w:val="000000"/>
                <w:kern w:val="0"/>
                <w:sz w:val="28"/>
              </w:rPr>
            </w:pPr>
            <w:r>
              <w:rPr>
                <w:rFonts w:hint="eastAsia" w:cs="宋体"/>
                <w:color w:val="000000"/>
                <w:kern w:val="0"/>
                <w:sz w:val="28"/>
              </w:rPr>
              <w:t>城镇带动型</w:t>
            </w:r>
          </w:p>
        </w:tc>
      </w:tr>
      <w:tr w14:paraId="237FC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restart"/>
            <w:vAlign w:val="center"/>
          </w:tcPr>
          <w:p w14:paraId="315FB5C6">
            <w:pPr>
              <w:widowControl/>
              <w:ind w:firstLine="0" w:firstLineChars="0"/>
              <w:jc w:val="center"/>
              <w:rPr>
                <w:rFonts w:cs="宋体"/>
                <w:color w:val="000000"/>
                <w:kern w:val="0"/>
                <w:sz w:val="28"/>
              </w:rPr>
            </w:pPr>
            <w:r>
              <w:rPr>
                <w:rFonts w:hint="eastAsia" w:cs="宋体"/>
                <w:color w:val="000000"/>
                <w:kern w:val="0"/>
                <w:sz w:val="28"/>
              </w:rPr>
              <w:t>一般镇</w:t>
            </w:r>
          </w:p>
        </w:tc>
        <w:tc>
          <w:tcPr>
            <w:tcW w:w="1817" w:type="pct"/>
            <w:vAlign w:val="center"/>
          </w:tcPr>
          <w:p w14:paraId="3FCD3ADB">
            <w:pPr>
              <w:widowControl/>
              <w:ind w:firstLine="0" w:firstLineChars="0"/>
              <w:jc w:val="center"/>
              <w:rPr>
                <w:rFonts w:cs="宋体"/>
                <w:color w:val="000000"/>
                <w:kern w:val="0"/>
                <w:sz w:val="28"/>
              </w:rPr>
            </w:pPr>
            <w:r>
              <w:rPr>
                <w:rFonts w:hint="eastAsia" w:cs="宋体"/>
                <w:color w:val="000000"/>
                <w:kern w:val="0"/>
                <w:sz w:val="28"/>
              </w:rPr>
              <w:t>塔温敖宝镇</w:t>
            </w:r>
          </w:p>
        </w:tc>
        <w:tc>
          <w:tcPr>
            <w:tcW w:w="1263" w:type="pct"/>
            <w:vAlign w:val="center"/>
          </w:tcPr>
          <w:p w14:paraId="3F57B9CD">
            <w:pPr>
              <w:widowControl/>
              <w:ind w:firstLine="0" w:firstLineChars="0"/>
              <w:jc w:val="center"/>
              <w:rPr>
                <w:rFonts w:cs="宋体"/>
                <w:color w:val="000000"/>
                <w:kern w:val="0"/>
                <w:sz w:val="28"/>
              </w:rPr>
            </w:pPr>
            <w:r>
              <w:rPr>
                <w:rFonts w:hint="eastAsia" w:cs="宋体"/>
                <w:color w:val="000000"/>
                <w:kern w:val="0"/>
                <w:sz w:val="28"/>
              </w:rPr>
              <w:t>绿色农牧型</w:t>
            </w:r>
          </w:p>
        </w:tc>
      </w:tr>
      <w:tr w14:paraId="7ED4A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14:paraId="7872B534">
            <w:pPr>
              <w:widowControl/>
              <w:ind w:firstLine="0" w:firstLineChars="0"/>
              <w:jc w:val="left"/>
              <w:rPr>
                <w:rFonts w:cs="宋体"/>
                <w:color w:val="000000"/>
                <w:kern w:val="0"/>
                <w:sz w:val="28"/>
              </w:rPr>
            </w:pPr>
          </w:p>
        </w:tc>
        <w:tc>
          <w:tcPr>
            <w:tcW w:w="1817" w:type="pct"/>
            <w:vAlign w:val="center"/>
          </w:tcPr>
          <w:p w14:paraId="639E94DC">
            <w:pPr>
              <w:widowControl/>
              <w:ind w:firstLine="0" w:firstLineChars="0"/>
              <w:jc w:val="center"/>
              <w:rPr>
                <w:rFonts w:cs="宋体"/>
                <w:color w:val="000000"/>
                <w:kern w:val="0"/>
                <w:sz w:val="28"/>
              </w:rPr>
            </w:pPr>
            <w:r>
              <w:rPr>
                <w:rFonts w:hint="eastAsia" w:cs="宋体"/>
                <w:color w:val="000000"/>
                <w:kern w:val="0"/>
                <w:sz w:val="28"/>
              </w:rPr>
              <w:t>西瓦尔图镇</w:t>
            </w:r>
          </w:p>
        </w:tc>
        <w:tc>
          <w:tcPr>
            <w:tcW w:w="1263" w:type="pct"/>
            <w:vAlign w:val="center"/>
          </w:tcPr>
          <w:p w14:paraId="55C19742">
            <w:pPr>
              <w:widowControl/>
              <w:ind w:firstLine="0" w:firstLineChars="0"/>
              <w:jc w:val="center"/>
              <w:rPr>
                <w:rFonts w:cs="宋体"/>
                <w:color w:val="000000"/>
                <w:kern w:val="0"/>
                <w:sz w:val="28"/>
              </w:rPr>
            </w:pPr>
            <w:r>
              <w:rPr>
                <w:rFonts w:hint="eastAsia" w:cs="宋体"/>
                <w:color w:val="000000"/>
                <w:kern w:val="0"/>
                <w:sz w:val="28"/>
              </w:rPr>
              <w:t>绿色农牧型</w:t>
            </w:r>
          </w:p>
        </w:tc>
      </w:tr>
      <w:tr w14:paraId="4F5C7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14:paraId="3F615FCB">
            <w:pPr>
              <w:widowControl/>
              <w:ind w:firstLine="0" w:firstLineChars="0"/>
              <w:jc w:val="left"/>
              <w:rPr>
                <w:rFonts w:cs="宋体"/>
                <w:color w:val="000000"/>
                <w:kern w:val="0"/>
                <w:sz w:val="28"/>
              </w:rPr>
            </w:pPr>
          </w:p>
        </w:tc>
        <w:tc>
          <w:tcPr>
            <w:tcW w:w="1817" w:type="pct"/>
            <w:vAlign w:val="center"/>
          </w:tcPr>
          <w:p w14:paraId="15A4C48B">
            <w:pPr>
              <w:widowControl/>
              <w:ind w:firstLine="0" w:firstLineChars="0"/>
              <w:jc w:val="center"/>
              <w:rPr>
                <w:rFonts w:cs="宋体"/>
                <w:color w:val="000000"/>
                <w:kern w:val="0"/>
                <w:sz w:val="28"/>
              </w:rPr>
            </w:pPr>
            <w:r>
              <w:rPr>
                <w:rFonts w:hint="eastAsia" w:cs="宋体"/>
                <w:color w:val="000000"/>
                <w:kern w:val="0"/>
                <w:sz w:val="28"/>
              </w:rPr>
              <w:t>奎勒河镇</w:t>
            </w:r>
          </w:p>
        </w:tc>
        <w:tc>
          <w:tcPr>
            <w:tcW w:w="1263" w:type="pct"/>
            <w:vAlign w:val="center"/>
          </w:tcPr>
          <w:p w14:paraId="6D14BB25">
            <w:pPr>
              <w:widowControl/>
              <w:ind w:firstLine="0" w:firstLineChars="0"/>
              <w:jc w:val="center"/>
              <w:rPr>
                <w:rFonts w:cs="宋体"/>
                <w:color w:val="000000"/>
                <w:kern w:val="0"/>
                <w:sz w:val="28"/>
              </w:rPr>
            </w:pPr>
            <w:r>
              <w:rPr>
                <w:rFonts w:hint="eastAsia" w:cs="宋体"/>
                <w:color w:val="000000"/>
                <w:kern w:val="0"/>
                <w:sz w:val="28"/>
              </w:rPr>
              <w:t>绿色农牧型</w:t>
            </w:r>
          </w:p>
        </w:tc>
      </w:tr>
      <w:tr w14:paraId="76BE4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14:paraId="28A36BA8">
            <w:pPr>
              <w:widowControl/>
              <w:ind w:firstLine="0" w:firstLineChars="0"/>
              <w:jc w:val="left"/>
              <w:rPr>
                <w:rFonts w:cs="宋体"/>
                <w:color w:val="000000"/>
                <w:kern w:val="0"/>
                <w:sz w:val="28"/>
              </w:rPr>
            </w:pPr>
          </w:p>
        </w:tc>
        <w:tc>
          <w:tcPr>
            <w:tcW w:w="1817" w:type="pct"/>
            <w:vAlign w:val="center"/>
          </w:tcPr>
          <w:p w14:paraId="2065DD1B">
            <w:pPr>
              <w:widowControl/>
              <w:ind w:firstLine="0" w:firstLineChars="0"/>
              <w:jc w:val="center"/>
              <w:rPr>
                <w:rFonts w:cs="宋体"/>
                <w:color w:val="000000"/>
                <w:kern w:val="0"/>
                <w:sz w:val="28"/>
              </w:rPr>
            </w:pPr>
            <w:r>
              <w:rPr>
                <w:rFonts w:hint="eastAsia" w:cs="宋体"/>
                <w:color w:val="000000"/>
                <w:kern w:val="0"/>
                <w:sz w:val="28"/>
              </w:rPr>
              <w:t>哈达阳镇</w:t>
            </w:r>
          </w:p>
        </w:tc>
        <w:tc>
          <w:tcPr>
            <w:tcW w:w="1263" w:type="pct"/>
            <w:vAlign w:val="center"/>
          </w:tcPr>
          <w:p w14:paraId="7EE01CD0">
            <w:pPr>
              <w:widowControl/>
              <w:ind w:firstLine="0" w:firstLineChars="0"/>
              <w:jc w:val="center"/>
              <w:rPr>
                <w:rFonts w:cs="宋体"/>
                <w:color w:val="000000"/>
                <w:kern w:val="0"/>
                <w:sz w:val="28"/>
              </w:rPr>
            </w:pPr>
            <w:r>
              <w:rPr>
                <w:rFonts w:hint="eastAsia" w:cs="宋体"/>
                <w:color w:val="000000"/>
                <w:kern w:val="0"/>
                <w:sz w:val="28"/>
              </w:rPr>
              <w:t>绿色农牧型</w:t>
            </w:r>
          </w:p>
        </w:tc>
      </w:tr>
      <w:tr w14:paraId="6F342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14:paraId="7CAD493B">
            <w:pPr>
              <w:widowControl/>
              <w:ind w:firstLine="0" w:firstLineChars="0"/>
              <w:jc w:val="left"/>
              <w:rPr>
                <w:rFonts w:cs="宋体"/>
                <w:color w:val="000000"/>
                <w:kern w:val="0"/>
                <w:sz w:val="28"/>
              </w:rPr>
            </w:pPr>
          </w:p>
        </w:tc>
        <w:tc>
          <w:tcPr>
            <w:tcW w:w="1817" w:type="pct"/>
            <w:vAlign w:val="center"/>
          </w:tcPr>
          <w:p w14:paraId="1EDF44A9">
            <w:pPr>
              <w:widowControl/>
              <w:ind w:firstLine="0" w:firstLineChars="0"/>
              <w:jc w:val="center"/>
              <w:rPr>
                <w:rFonts w:cs="宋体"/>
                <w:color w:val="000000"/>
                <w:kern w:val="0"/>
                <w:sz w:val="28"/>
              </w:rPr>
            </w:pPr>
            <w:r>
              <w:rPr>
                <w:rFonts w:hint="eastAsia" w:cs="宋体"/>
                <w:color w:val="000000"/>
                <w:kern w:val="0"/>
                <w:sz w:val="28"/>
              </w:rPr>
              <w:t>汉古尔河镇</w:t>
            </w:r>
          </w:p>
        </w:tc>
        <w:tc>
          <w:tcPr>
            <w:tcW w:w="1263" w:type="pct"/>
            <w:vAlign w:val="center"/>
          </w:tcPr>
          <w:p w14:paraId="7659D458">
            <w:pPr>
              <w:widowControl/>
              <w:ind w:firstLine="0" w:firstLineChars="0"/>
              <w:jc w:val="center"/>
              <w:rPr>
                <w:rFonts w:cs="宋体"/>
                <w:color w:val="000000"/>
                <w:kern w:val="0"/>
                <w:sz w:val="28"/>
              </w:rPr>
            </w:pPr>
            <w:r>
              <w:rPr>
                <w:rFonts w:hint="eastAsia" w:cs="宋体"/>
                <w:color w:val="000000"/>
                <w:kern w:val="0"/>
                <w:sz w:val="28"/>
              </w:rPr>
              <w:t>绿色农牧型</w:t>
            </w:r>
          </w:p>
        </w:tc>
      </w:tr>
      <w:tr w14:paraId="12E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14:paraId="3E248BF0">
            <w:pPr>
              <w:widowControl/>
              <w:ind w:firstLine="0" w:firstLineChars="0"/>
              <w:jc w:val="left"/>
              <w:rPr>
                <w:rFonts w:cs="宋体"/>
                <w:color w:val="000000"/>
                <w:kern w:val="0"/>
                <w:sz w:val="28"/>
              </w:rPr>
            </w:pPr>
          </w:p>
        </w:tc>
        <w:tc>
          <w:tcPr>
            <w:tcW w:w="1817" w:type="pct"/>
            <w:vAlign w:val="center"/>
          </w:tcPr>
          <w:p w14:paraId="1B195EB7">
            <w:pPr>
              <w:widowControl/>
              <w:ind w:firstLine="0" w:firstLineChars="0"/>
              <w:jc w:val="center"/>
              <w:rPr>
                <w:rFonts w:cs="宋体"/>
                <w:color w:val="000000"/>
                <w:kern w:val="0"/>
                <w:sz w:val="28"/>
              </w:rPr>
            </w:pPr>
            <w:r>
              <w:rPr>
                <w:rFonts w:hint="eastAsia" w:cs="宋体"/>
                <w:color w:val="000000"/>
                <w:kern w:val="0"/>
                <w:sz w:val="28"/>
              </w:rPr>
              <w:t>阿尔拉镇</w:t>
            </w:r>
          </w:p>
        </w:tc>
        <w:tc>
          <w:tcPr>
            <w:tcW w:w="1263" w:type="pct"/>
            <w:vAlign w:val="center"/>
          </w:tcPr>
          <w:p w14:paraId="375354DE">
            <w:pPr>
              <w:widowControl/>
              <w:ind w:firstLine="0" w:firstLineChars="0"/>
              <w:jc w:val="center"/>
              <w:rPr>
                <w:rFonts w:cs="宋体"/>
                <w:color w:val="000000"/>
                <w:kern w:val="0"/>
                <w:sz w:val="28"/>
              </w:rPr>
            </w:pPr>
            <w:r>
              <w:rPr>
                <w:rFonts w:hint="eastAsia" w:cs="宋体"/>
                <w:color w:val="000000"/>
                <w:kern w:val="0"/>
                <w:sz w:val="28"/>
              </w:rPr>
              <w:t>文旅特色型</w:t>
            </w:r>
          </w:p>
        </w:tc>
      </w:tr>
      <w:tr w14:paraId="45DA8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14:paraId="7463AB7A">
            <w:pPr>
              <w:widowControl/>
              <w:ind w:firstLine="0" w:firstLineChars="0"/>
              <w:jc w:val="left"/>
              <w:rPr>
                <w:rFonts w:cs="宋体"/>
                <w:color w:val="000000"/>
                <w:kern w:val="0"/>
                <w:sz w:val="28"/>
              </w:rPr>
            </w:pPr>
          </w:p>
        </w:tc>
        <w:tc>
          <w:tcPr>
            <w:tcW w:w="1817" w:type="pct"/>
            <w:vAlign w:val="center"/>
          </w:tcPr>
          <w:p w14:paraId="2EB659BD">
            <w:pPr>
              <w:widowControl/>
              <w:ind w:firstLine="0" w:firstLineChars="0"/>
              <w:jc w:val="center"/>
              <w:rPr>
                <w:rFonts w:cs="宋体"/>
                <w:color w:val="000000"/>
                <w:kern w:val="0"/>
                <w:sz w:val="28"/>
              </w:rPr>
            </w:pPr>
            <w:r>
              <w:rPr>
                <w:rFonts w:hint="eastAsia" w:cs="宋体"/>
                <w:color w:val="000000"/>
                <w:kern w:val="0"/>
                <w:sz w:val="28"/>
              </w:rPr>
              <w:t>腾克镇</w:t>
            </w:r>
          </w:p>
        </w:tc>
        <w:tc>
          <w:tcPr>
            <w:tcW w:w="1263" w:type="pct"/>
            <w:vAlign w:val="center"/>
          </w:tcPr>
          <w:p w14:paraId="249D6939">
            <w:pPr>
              <w:widowControl/>
              <w:ind w:firstLine="0" w:firstLineChars="0"/>
              <w:jc w:val="center"/>
              <w:rPr>
                <w:rFonts w:cs="宋体"/>
                <w:color w:val="000000"/>
                <w:kern w:val="0"/>
                <w:sz w:val="28"/>
              </w:rPr>
            </w:pPr>
            <w:r>
              <w:rPr>
                <w:rFonts w:hint="eastAsia" w:cs="宋体"/>
                <w:color w:val="000000"/>
                <w:kern w:val="0"/>
                <w:sz w:val="28"/>
              </w:rPr>
              <w:t>文旅特色型</w:t>
            </w:r>
          </w:p>
        </w:tc>
      </w:tr>
      <w:tr w14:paraId="51DA2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14:paraId="6B7CB5CC">
            <w:pPr>
              <w:widowControl/>
              <w:ind w:firstLine="0" w:firstLineChars="0"/>
              <w:jc w:val="left"/>
              <w:rPr>
                <w:rFonts w:cs="宋体"/>
                <w:color w:val="000000"/>
                <w:kern w:val="0"/>
                <w:sz w:val="28"/>
              </w:rPr>
            </w:pPr>
          </w:p>
        </w:tc>
        <w:tc>
          <w:tcPr>
            <w:tcW w:w="1817" w:type="pct"/>
            <w:vAlign w:val="center"/>
          </w:tcPr>
          <w:p w14:paraId="2A574168">
            <w:pPr>
              <w:widowControl/>
              <w:ind w:firstLine="0" w:firstLineChars="0"/>
              <w:jc w:val="center"/>
              <w:rPr>
                <w:rFonts w:cs="宋体"/>
                <w:color w:val="000000"/>
                <w:kern w:val="0"/>
                <w:sz w:val="28"/>
              </w:rPr>
            </w:pPr>
            <w:r>
              <w:rPr>
                <w:rFonts w:hint="eastAsia" w:cs="宋体"/>
                <w:color w:val="000000"/>
                <w:kern w:val="0"/>
                <w:sz w:val="28"/>
              </w:rPr>
              <w:t>登特科镇</w:t>
            </w:r>
          </w:p>
        </w:tc>
        <w:tc>
          <w:tcPr>
            <w:tcW w:w="1263" w:type="pct"/>
            <w:vAlign w:val="center"/>
          </w:tcPr>
          <w:p w14:paraId="7074F4A4">
            <w:pPr>
              <w:widowControl/>
              <w:ind w:firstLine="0" w:firstLineChars="0"/>
              <w:jc w:val="center"/>
              <w:rPr>
                <w:rFonts w:cs="宋体"/>
                <w:color w:val="000000"/>
                <w:kern w:val="0"/>
                <w:sz w:val="28"/>
              </w:rPr>
            </w:pPr>
            <w:r>
              <w:rPr>
                <w:rFonts w:hint="eastAsia" w:cs="宋体"/>
                <w:color w:val="000000"/>
                <w:kern w:val="0"/>
                <w:sz w:val="28"/>
              </w:rPr>
              <w:t>文旅特色型</w:t>
            </w:r>
          </w:p>
        </w:tc>
      </w:tr>
      <w:tr w14:paraId="68D4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restart"/>
            <w:vAlign w:val="center"/>
          </w:tcPr>
          <w:p w14:paraId="39A97BDA">
            <w:pPr>
              <w:widowControl/>
              <w:ind w:firstLine="0" w:firstLineChars="0"/>
              <w:jc w:val="center"/>
              <w:rPr>
                <w:rFonts w:cs="宋体"/>
                <w:color w:val="000000"/>
                <w:kern w:val="0"/>
                <w:sz w:val="28"/>
              </w:rPr>
            </w:pPr>
            <w:r>
              <w:rPr>
                <w:rFonts w:hint="eastAsia" w:cs="宋体"/>
                <w:color w:val="000000"/>
                <w:kern w:val="0"/>
                <w:sz w:val="28"/>
              </w:rPr>
              <w:t>乡集镇</w:t>
            </w:r>
          </w:p>
        </w:tc>
        <w:tc>
          <w:tcPr>
            <w:tcW w:w="1817" w:type="pct"/>
            <w:vAlign w:val="center"/>
          </w:tcPr>
          <w:p w14:paraId="36013190">
            <w:pPr>
              <w:widowControl/>
              <w:ind w:firstLine="0" w:firstLineChars="0"/>
              <w:jc w:val="center"/>
              <w:rPr>
                <w:rFonts w:cs="宋体"/>
                <w:color w:val="000000"/>
                <w:kern w:val="0"/>
                <w:sz w:val="28"/>
              </w:rPr>
            </w:pPr>
            <w:r>
              <w:rPr>
                <w:rFonts w:hint="eastAsia" w:cs="宋体"/>
                <w:color w:val="000000"/>
                <w:kern w:val="0"/>
                <w:sz w:val="28"/>
              </w:rPr>
              <w:t>额尔和乡</w:t>
            </w:r>
          </w:p>
        </w:tc>
        <w:tc>
          <w:tcPr>
            <w:tcW w:w="1263" w:type="pct"/>
            <w:vAlign w:val="center"/>
          </w:tcPr>
          <w:p w14:paraId="66D73335">
            <w:pPr>
              <w:widowControl/>
              <w:ind w:firstLine="0" w:firstLineChars="0"/>
              <w:jc w:val="center"/>
              <w:rPr>
                <w:rFonts w:cs="宋体"/>
                <w:color w:val="000000"/>
                <w:kern w:val="0"/>
                <w:sz w:val="28"/>
              </w:rPr>
            </w:pPr>
            <w:r>
              <w:rPr>
                <w:rFonts w:hint="eastAsia" w:cs="宋体"/>
                <w:color w:val="000000"/>
                <w:kern w:val="0"/>
                <w:sz w:val="28"/>
              </w:rPr>
              <w:t>文旅特色型</w:t>
            </w:r>
          </w:p>
        </w:tc>
      </w:tr>
      <w:tr w14:paraId="4338A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14:paraId="376EF116">
            <w:pPr>
              <w:widowControl/>
              <w:ind w:firstLine="0" w:firstLineChars="0"/>
              <w:jc w:val="left"/>
              <w:rPr>
                <w:rFonts w:cs="宋体"/>
                <w:color w:val="000000"/>
                <w:kern w:val="0"/>
                <w:sz w:val="28"/>
              </w:rPr>
            </w:pPr>
          </w:p>
        </w:tc>
        <w:tc>
          <w:tcPr>
            <w:tcW w:w="1817" w:type="pct"/>
            <w:vAlign w:val="center"/>
          </w:tcPr>
          <w:p w14:paraId="3623A5DF">
            <w:pPr>
              <w:widowControl/>
              <w:ind w:firstLine="0" w:firstLineChars="0"/>
              <w:jc w:val="center"/>
              <w:rPr>
                <w:rFonts w:cs="宋体"/>
                <w:color w:val="000000"/>
                <w:kern w:val="0"/>
                <w:sz w:val="28"/>
              </w:rPr>
            </w:pPr>
            <w:r>
              <w:rPr>
                <w:rFonts w:hint="eastAsia" w:cs="宋体"/>
                <w:color w:val="000000"/>
                <w:kern w:val="0"/>
                <w:sz w:val="28"/>
              </w:rPr>
              <w:t>库如奇乡</w:t>
            </w:r>
          </w:p>
        </w:tc>
        <w:tc>
          <w:tcPr>
            <w:tcW w:w="1263" w:type="pct"/>
            <w:vAlign w:val="center"/>
          </w:tcPr>
          <w:p w14:paraId="109F1D6D">
            <w:pPr>
              <w:widowControl/>
              <w:ind w:firstLine="0" w:firstLineChars="0"/>
              <w:jc w:val="center"/>
              <w:rPr>
                <w:rFonts w:cs="宋体"/>
                <w:color w:val="000000"/>
                <w:kern w:val="0"/>
                <w:sz w:val="28"/>
              </w:rPr>
            </w:pPr>
            <w:r>
              <w:rPr>
                <w:rFonts w:hint="eastAsia" w:cs="宋体"/>
                <w:color w:val="000000"/>
                <w:kern w:val="0"/>
                <w:sz w:val="28"/>
              </w:rPr>
              <w:t>文旅特色型</w:t>
            </w:r>
          </w:p>
        </w:tc>
      </w:tr>
      <w:tr w14:paraId="6E457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14:paraId="6F92EEAE">
            <w:pPr>
              <w:widowControl/>
              <w:ind w:firstLine="0" w:firstLineChars="0"/>
              <w:jc w:val="left"/>
              <w:rPr>
                <w:rFonts w:cs="宋体"/>
                <w:color w:val="000000"/>
                <w:kern w:val="0"/>
                <w:sz w:val="28"/>
              </w:rPr>
            </w:pPr>
          </w:p>
        </w:tc>
        <w:tc>
          <w:tcPr>
            <w:tcW w:w="1817" w:type="pct"/>
            <w:vAlign w:val="center"/>
          </w:tcPr>
          <w:p w14:paraId="72DB76C1">
            <w:pPr>
              <w:widowControl/>
              <w:ind w:firstLine="0" w:firstLineChars="0"/>
              <w:jc w:val="center"/>
              <w:rPr>
                <w:rFonts w:cs="宋体"/>
                <w:color w:val="000000"/>
                <w:kern w:val="0"/>
                <w:sz w:val="28"/>
              </w:rPr>
            </w:pPr>
            <w:r>
              <w:rPr>
                <w:rFonts w:hint="eastAsia" w:cs="宋体"/>
                <w:color w:val="000000"/>
                <w:kern w:val="0"/>
                <w:sz w:val="28"/>
              </w:rPr>
              <w:t>巴彦鄂温克民族乡</w:t>
            </w:r>
          </w:p>
        </w:tc>
        <w:tc>
          <w:tcPr>
            <w:tcW w:w="1263" w:type="pct"/>
            <w:vAlign w:val="center"/>
          </w:tcPr>
          <w:p w14:paraId="6867B988">
            <w:pPr>
              <w:widowControl/>
              <w:ind w:firstLine="0" w:firstLineChars="0"/>
              <w:jc w:val="center"/>
              <w:rPr>
                <w:rFonts w:cs="宋体"/>
                <w:color w:val="000000"/>
                <w:kern w:val="0"/>
                <w:sz w:val="28"/>
              </w:rPr>
            </w:pPr>
            <w:r>
              <w:rPr>
                <w:rFonts w:hint="eastAsia" w:cs="宋体"/>
                <w:color w:val="000000"/>
                <w:kern w:val="0"/>
                <w:sz w:val="28"/>
              </w:rPr>
              <w:t>绿色农牧型</w:t>
            </w:r>
          </w:p>
        </w:tc>
      </w:tr>
      <w:tr w14:paraId="5BC9B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920" w:type="pct"/>
            <w:vMerge w:val="continue"/>
            <w:vAlign w:val="center"/>
          </w:tcPr>
          <w:p w14:paraId="79856BD5">
            <w:pPr>
              <w:widowControl/>
              <w:ind w:firstLine="0" w:firstLineChars="0"/>
              <w:jc w:val="left"/>
              <w:rPr>
                <w:rFonts w:cs="宋体"/>
                <w:color w:val="000000"/>
                <w:kern w:val="0"/>
                <w:sz w:val="28"/>
              </w:rPr>
            </w:pPr>
          </w:p>
        </w:tc>
        <w:tc>
          <w:tcPr>
            <w:tcW w:w="1817" w:type="pct"/>
            <w:vAlign w:val="center"/>
          </w:tcPr>
          <w:p w14:paraId="0E86B3CE">
            <w:pPr>
              <w:widowControl/>
              <w:ind w:firstLine="0" w:firstLineChars="0"/>
              <w:jc w:val="center"/>
              <w:rPr>
                <w:rFonts w:cs="宋体"/>
                <w:color w:val="000000"/>
                <w:kern w:val="0"/>
                <w:sz w:val="28"/>
              </w:rPr>
            </w:pPr>
            <w:r>
              <w:rPr>
                <w:rFonts w:hint="eastAsia" w:cs="宋体"/>
                <w:color w:val="000000"/>
                <w:kern w:val="0"/>
                <w:sz w:val="28"/>
              </w:rPr>
              <w:t>杜拉尔鄂温克民族乡</w:t>
            </w:r>
          </w:p>
        </w:tc>
        <w:tc>
          <w:tcPr>
            <w:tcW w:w="1263" w:type="pct"/>
            <w:vAlign w:val="center"/>
          </w:tcPr>
          <w:p w14:paraId="60ACAF30">
            <w:pPr>
              <w:widowControl/>
              <w:ind w:firstLine="0" w:firstLineChars="0"/>
              <w:jc w:val="center"/>
              <w:rPr>
                <w:rFonts w:cs="宋体"/>
                <w:color w:val="000000"/>
                <w:kern w:val="0"/>
                <w:sz w:val="28"/>
              </w:rPr>
            </w:pPr>
            <w:r>
              <w:rPr>
                <w:rFonts w:hint="eastAsia" w:cs="宋体"/>
                <w:color w:val="000000"/>
                <w:kern w:val="0"/>
                <w:sz w:val="28"/>
              </w:rPr>
              <w:t>绿色农牧型</w:t>
            </w:r>
          </w:p>
        </w:tc>
      </w:tr>
    </w:tbl>
    <w:p w14:paraId="6589C4C2">
      <w:pPr>
        <w:pStyle w:val="5"/>
        <w:spacing w:before="156" w:after="156"/>
      </w:pPr>
      <w:bookmarkStart w:id="78" w:name="_Toc228206133"/>
      <w:r>
        <w:rPr>
          <w:rFonts w:hint="eastAsia"/>
        </w:rPr>
        <w:t>第二节 增强城市综合承载力</w:t>
      </w:r>
      <w:bookmarkEnd w:id="78"/>
    </w:p>
    <w:p w14:paraId="714E355E">
      <w:pPr>
        <w:ind w:firstLine="643"/>
        <w:rPr>
          <w:szCs w:val="28"/>
        </w:rPr>
      </w:pPr>
      <w:r>
        <w:rPr>
          <w:rFonts w:hint="eastAsia"/>
          <w:b/>
          <w:bCs/>
          <w:szCs w:val="28"/>
        </w:rPr>
        <w:t>推进城市更新改造。</w:t>
      </w:r>
      <w:r>
        <w:rPr>
          <w:rFonts w:hint="eastAsia"/>
          <w:szCs w:val="28"/>
        </w:rPr>
        <w:t>聚焦2001—2010年建成小区，推动水电气信邮、供热、消防、安防、照明等配套设施更新。合理规划公共区域道路和停车位，实施房屋本体更新改造和加固工程，重点优化绿化环卫设施、休闲空间等小区公共环境，因地制宜对多层住宅开展加装电梯、扶手等适老化改造。全面改造危旧住房，解决老城区平房区房屋建筑密度大、安全隐患严重等问题。开展居住社区建设补短板行动，布局社区综合服务设施，加快社区嵌入式服务设施建设。推进城市平急两用公共基础设施建设。</w:t>
      </w:r>
    </w:p>
    <w:p w14:paraId="606250C1">
      <w:pPr>
        <w:ind w:firstLine="643"/>
        <w:rPr>
          <w:szCs w:val="28"/>
        </w:rPr>
      </w:pPr>
      <w:r>
        <w:rPr>
          <w:rFonts w:hint="eastAsia"/>
          <w:b/>
          <w:bCs/>
          <w:szCs w:val="28"/>
        </w:rPr>
        <w:t>完善市政基础设施。</w:t>
      </w:r>
      <w:r>
        <w:rPr>
          <w:rFonts w:hint="eastAsia"/>
          <w:szCs w:val="28"/>
        </w:rPr>
        <w:t>强化城市道路交通运行基础，拓宽“大转盘”南侧索日都勒路至巴特罕大街路段，加快西排洪沟至学府南路、尼三小至汉古尔河大街等公共交通设施建设，打通城区“断头路”“瓶颈路”。加强地下综合管廊建设和老旧管线改造升级，以温暖工程实施为重点，重点推进尼尔基镇燃气、给水等管网改造及设施工程。合理规划布局加气站。强化海绵城市和韧性城市建设，以尼尔基防洪排涝调蓄工程等为重点，统筹完善中心城区防洪排涝设施建设。“十五五”时期，力争新建改造燃气管网</w:t>
      </w:r>
      <w:r>
        <w:rPr>
          <w:szCs w:val="28"/>
        </w:rPr>
        <w:t>34</w:t>
      </w:r>
      <w:r>
        <w:rPr>
          <w:rFonts w:hint="eastAsia"/>
          <w:szCs w:val="28"/>
        </w:rPr>
        <w:t>公里、供热管网</w:t>
      </w:r>
      <w:r>
        <w:rPr>
          <w:szCs w:val="28"/>
        </w:rPr>
        <w:t>30</w:t>
      </w:r>
      <w:r>
        <w:rPr>
          <w:rFonts w:hint="eastAsia"/>
          <w:szCs w:val="28"/>
        </w:rPr>
        <w:t>公里、供水管网</w:t>
      </w:r>
      <w:r>
        <w:rPr>
          <w:szCs w:val="28"/>
        </w:rPr>
        <w:t>110.89</w:t>
      </w:r>
      <w:r>
        <w:rPr>
          <w:rFonts w:hint="eastAsia"/>
          <w:szCs w:val="28"/>
        </w:rPr>
        <w:t>公里、排水管网</w:t>
      </w:r>
      <w:r>
        <w:rPr>
          <w:szCs w:val="28"/>
        </w:rPr>
        <w:t>80</w:t>
      </w:r>
      <w:r>
        <w:rPr>
          <w:rFonts w:hint="eastAsia"/>
          <w:szCs w:val="28"/>
        </w:rPr>
        <w:t>公里。</w:t>
      </w:r>
    </w:p>
    <w:p w14:paraId="36C0F4D3">
      <w:pPr>
        <w:ind w:firstLine="643"/>
        <w:rPr>
          <w:szCs w:val="28"/>
        </w:rPr>
      </w:pPr>
      <w:r>
        <w:rPr>
          <w:rFonts w:hint="eastAsia"/>
          <w:b/>
          <w:bCs/>
          <w:szCs w:val="28"/>
        </w:rPr>
        <w:t>提升城区宜居环境。</w:t>
      </w:r>
      <w:r>
        <w:rPr>
          <w:rFonts w:hint="eastAsia"/>
          <w:szCs w:val="28"/>
        </w:rPr>
        <w:t>系统加强金界壕遗址的保护与修复，将民族文化元素有机融入城市规划建设，建设文化广场、民俗村及非遗街区。结合“曲棍球之乡”“曲棍球名城”IP，升级社区体育设施，改造街区风貌，打造特色文旅节点，构建集文化展示、旅游与商业于一体的民族文化活力区。实施“300米见绿”工程，扩大城区绿化覆盖范围。加强水环境综合整治，推进城镇生活污水源头防治，因地制宜对河湖岸线进行生态化改造。以谋划建设绿色建筑装配式产业园为契机，实施既有居住建筑、公共建筑绿色改造，引导超低能耗建筑建设。到2030年，力争城镇新建建筑全面执行绿色建筑标准，绿色建筑占新建建筑的比例达到100%。</w:t>
      </w:r>
    </w:p>
    <w:p w14:paraId="237D0E08">
      <w:pPr>
        <w:pStyle w:val="5"/>
        <w:spacing w:before="156" w:after="156"/>
      </w:pPr>
      <w:bookmarkStart w:id="79" w:name="_Toc228206134"/>
      <w:r>
        <w:rPr>
          <w:rFonts w:hint="eastAsia"/>
        </w:rPr>
        <w:t>第三节 提升城市精细化治理水平</w:t>
      </w:r>
      <w:bookmarkEnd w:id="79"/>
    </w:p>
    <w:p w14:paraId="0F901869">
      <w:pPr>
        <w:ind w:firstLine="643"/>
        <w:rPr>
          <w:szCs w:val="28"/>
        </w:rPr>
      </w:pPr>
      <w:r>
        <w:rPr>
          <w:rFonts w:hint="eastAsia"/>
          <w:b/>
          <w:bCs/>
          <w:szCs w:val="28"/>
        </w:rPr>
        <w:t>优化城镇空间治理。</w:t>
      </w:r>
      <w:r>
        <w:rPr>
          <w:rFonts w:hint="eastAsia"/>
          <w:szCs w:val="28"/>
        </w:rPr>
        <w:t>严格锁定城镇建设开发边界，优化城镇结构布局，促进城镇发展向内涵提升转变。盘活低效存量建设用地，以“空心村”为核心有序推动废弃宅基地等闲置建设用地拆旧复垦；盘活闲置低效土地，合理挖潜工矿废弃地等用地流量，腾退建设用地指标向中心城镇倾斜。推进产业用地高效发展，积极推动工业园区工业项目“标准地”改革。</w:t>
      </w:r>
    </w:p>
    <w:p w14:paraId="26051CE8">
      <w:pPr>
        <w:ind w:firstLine="643"/>
        <w:rPr>
          <w:szCs w:val="28"/>
        </w:rPr>
      </w:pPr>
      <w:r>
        <w:rPr>
          <w:rFonts w:hint="eastAsia"/>
          <w:b/>
          <w:bCs/>
          <w:szCs w:val="28"/>
        </w:rPr>
        <w:t>提升城市精细化管理水平。</w:t>
      </w:r>
      <w:r>
        <w:rPr>
          <w:rFonts w:hint="eastAsia"/>
          <w:szCs w:val="28"/>
        </w:rPr>
        <w:t>开展城市环境卫生整治，合理布局公共厕所，新建改建水冲式公共厕所。建立和优化慢行系统，完善机动车道、人行道、公交车道、残障人员通道等设施。推动店外经营和占道经营问题整治，对主次干道、路灯及广告设施进行规范化改造与管护。完善城市特色、交通出行、公共服务、发展活力、宜居环境、公共安全和管理等方面指标体系。</w:t>
      </w:r>
    </w:p>
    <w:p w14:paraId="2D32C2EE">
      <w:pPr>
        <w:ind w:firstLine="643"/>
        <w:rPr>
          <w:szCs w:val="28"/>
        </w:rPr>
      </w:pPr>
      <w:r>
        <w:rPr>
          <w:rFonts w:hint="eastAsia"/>
          <w:b/>
          <w:bCs/>
          <w:szCs w:val="28"/>
        </w:rPr>
        <w:t>积极推进数字城市建设。</w:t>
      </w:r>
      <w:r>
        <w:rPr>
          <w:rFonts w:hint="eastAsia"/>
          <w:szCs w:val="28"/>
        </w:rPr>
        <w:t>夯实数字基础设施底座，全面加强中心城区网络化覆盖，稳步开展“一网覆盖”网格化管理体系与“城市大脑”建设工程。整合政务、市政、民生等领域数据资源，借鉴先进地区“一屏统管”经验，搭建市政设施智能监测平台，对供水、燃气管网等实施数字化、智能化改造，有效降低管网漏损率，提升城市运维效率。深化数据融合与平台支撑，有序推动城市交通、静态交通智慧停车、公共安全及民生服务等应用水平的整体提升，构建高效协同的新型智慧城市。</w:t>
      </w:r>
    </w:p>
    <w:p w14:paraId="0F6CE55A">
      <w:pPr>
        <w:pStyle w:val="5"/>
        <w:spacing w:before="156" w:after="156"/>
      </w:pPr>
      <w:bookmarkStart w:id="80" w:name="_Toc228206135"/>
      <w:r>
        <w:rPr>
          <w:rFonts w:hint="eastAsia"/>
        </w:rPr>
        <w:t>第四节 推进以人为本的新型城镇化</w:t>
      </w:r>
      <w:bookmarkEnd w:id="80"/>
    </w:p>
    <w:p w14:paraId="5FA76CB5">
      <w:pPr>
        <w:ind w:firstLine="643"/>
        <w:rPr>
          <w:szCs w:val="28"/>
        </w:rPr>
      </w:pPr>
      <w:r>
        <w:rPr>
          <w:rFonts w:hint="eastAsia"/>
          <w:b/>
          <w:bCs/>
          <w:szCs w:val="28"/>
        </w:rPr>
        <w:t>推动农牧业人口市民化。</w:t>
      </w:r>
      <w:r>
        <w:rPr>
          <w:rFonts w:hint="eastAsia"/>
          <w:szCs w:val="28"/>
        </w:rPr>
        <w:t>持续深化户籍制度改革，推进“互联网+户政管理服务”建设，不断提升“网上办、掌上办、全程网办、综窗办、一次办”服务能力，促进转移人口落户便利化。全面实行居住证制度，推行电子居住证。加强农牧业转移人口技能培训和创业指导，发放就业补贴和交通补贴，提升就业服务效能。优化基本公共服务设施布局，逐步实现常住地提供基本公共服务，覆盖全部常住人口。积极拓宽农牧业转移人口住房保障渠道，完善社会保障体系，优化子女平等教育保障机制。全面落实“人地钱挂钩”配套措施，用好农业转移人口市民化奖励资金，合理安排住房、教育、医疗等基本公共服务用地指标。依法保障进城落户农牧民的农村土地承包权、宅基地使用权、集体收益分配权，探索进城落户农民依法自愿有偿退出“三权”机制。</w:t>
      </w:r>
    </w:p>
    <w:p w14:paraId="350252BE">
      <w:pPr>
        <w:ind w:firstLine="643"/>
        <w:rPr>
          <w:szCs w:val="28"/>
        </w:rPr>
      </w:pPr>
      <w:r>
        <w:rPr>
          <w:rFonts w:hint="eastAsia"/>
          <w:b/>
          <w:bCs/>
          <w:szCs w:val="28"/>
        </w:rPr>
        <w:t>畅通城乡要素流通渠道。</w:t>
      </w:r>
      <w:r>
        <w:rPr>
          <w:rFonts w:hint="eastAsia"/>
          <w:szCs w:val="28"/>
        </w:rPr>
        <w:t>统筹促进城乡劳动力双向流动，围绕莫旗重点行业产业，加强农民职业技能培训，促进农村人口向城市有序转移。建立健全城市人才下乡激励机制，吸引外出务工人员、大学生、退役军人等群体返乡就业创业，引导人才与劳动力要素向农村合理配置。加快技术与信息流通，推动农业科技成果转化。落实涉农企业优惠政策，鼓励银行业金融机构开发以农村承包土地经营权、集体资产股份等为基础的金融产品，开辟信贷审批“绿色通道”，加大对农村基础设施的投入。</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1B88C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352D0795">
            <w:pPr>
              <w:pStyle w:val="37"/>
              <w:spacing w:before="0" w:after="0"/>
              <w:ind w:firstLine="640"/>
            </w:pPr>
            <w:r>
              <w:rPr>
                <w:rFonts w:hint="eastAsia"/>
              </w:rPr>
              <w:t>提升城市生活品质工程</w:t>
            </w:r>
          </w:p>
        </w:tc>
      </w:tr>
      <w:tr w14:paraId="2315C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6854E671">
            <w:pPr>
              <w:pStyle w:val="38"/>
              <w:ind w:firstLine="562"/>
            </w:pPr>
            <w:r>
              <w:rPr>
                <w:rFonts w:hint="eastAsia"/>
                <w:b/>
              </w:rPr>
              <w:t>老旧小区改造：</w:t>
            </w:r>
            <w:r>
              <w:rPr>
                <w:rFonts w:hint="eastAsia"/>
              </w:rPr>
              <w:t>莫旗老旧小区改造工程（2001年至2010年）。</w:t>
            </w:r>
          </w:p>
          <w:p w14:paraId="1C197A55">
            <w:pPr>
              <w:pStyle w:val="38"/>
              <w:ind w:firstLine="562"/>
            </w:pPr>
            <w:r>
              <w:rPr>
                <w:rFonts w:hint="eastAsia"/>
                <w:b/>
              </w:rPr>
              <w:t>市政基础设施：（1）燃气：</w:t>
            </w:r>
            <w:r>
              <w:rPr>
                <w:rFonts w:hint="eastAsia"/>
              </w:rPr>
              <w:t>莫旗和平路-纳文西大街中压管网燃气管道工程、莫旗既有小区瓶改管燃气管道设施改造工程；</w:t>
            </w:r>
            <w:r>
              <w:rPr>
                <w:rFonts w:hint="eastAsia"/>
                <w:b/>
              </w:rPr>
              <w:t>（2）管网：</w:t>
            </w:r>
            <w:r>
              <w:rPr>
                <w:rFonts w:hint="eastAsia"/>
              </w:rPr>
              <w:t>莫旗尼尔基镇给水管网及设施改造工程、莫旗尼尔基镇给水管网新建工程、莫旗尼尔基镇雨水管道工程，莫旗一级、二级管网改造及智慧供热管网改造项目；</w:t>
            </w:r>
            <w:r>
              <w:rPr>
                <w:rFonts w:hint="eastAsia"/>
                <w:b/>
              </w:rPr>
              <w:t>（3）城区道路：</w:t>
            </w:r>
            <w:r>
              <w:rPr>
                <w:rFonts w:hint="eastAsia"/>
              </w:rPr>
              <w:t>莫旗慕仁大街道路工程（西排洪沟至学府南路）、莫旗学府南路道路工程（尼三小至汉古尔河大街）、福民路道路延伸工程（福民大街至腾克大街）；</w:t>
            </w:r>
            <w:r>
              <w:rPr>
                <w:rFonts w:hint="eastAsia"/>
                <w:b/>
              </w:rPr>
              <w:t>（4）供热：</w:t>
            </w:r>
            <w:r>
              <w:rPr>
                <w:rFonts w:hint="eastAsia"/>
              </w:rPr>
              <w:t>新建2×132MW热水锅炉及配套设施、莫旗新建风电供热及配套设施工程；</w:t>
            </w:r>
            <w:r>
              <w:rPr>
                <w:rFonts w:hint="eastAsia"/>
                <w:b/>
              </w:rPr>
              <w:t>（5）城区防洪排涝：</w:t>
            </w:r>
            <w:r>
              <w:rPr>
                <w:rFonts w:hint="eastAsia"/>
              </w:rPr>
              <w:t>防洪排涝调蓄工程。</w:t>
            </w:r>
          </w:p>
          <w:p w14:paraId="1876DD55">
            <w:pPr>
              <w:pStyle w:val="38"/>
              <w:ind w:firstLine="562"/>
            </w:pPr>
            <w:r>
              <w:rPr>
                <w:rFonts w:hint="eastAsia"/>
                <w:b/>
              </w:rPr>
              <w:t>智慧城市：</w:t>
            </w:r>
            <w:r>
              <w:rPr>
                <w:rFonts w:hint="eastAsia"/>
              </w:rPr>
              <w:t>静态交通智慧停车及人防工程项目。</w:t>
            </w:r>
          </w:p>
        </w:tc>
      </w:tr>
    </w:tbl>
    <w:p w14:paraId="147A3DF7">
      <w:pPr>
        <w:ind w:firstLine="640"/>
        <w:sectPr>
          <w:pgSz w:w="11906" w:h="16838"/>
          <w:pgMar w:top="2098" w:right="1531" w:bottom="1984" w:left="1531" w:header="851" w:footer="992" w:gutter="0"/>
          <w:cols w:space="425" w:num="1"/>
          <w:docGrid w:type="lines" w:linePitch="312" w:charSpace="0"/>
        </w:sectPr>
      </w:pPr>
      <w:bookmarkStart w:id="81" w:name="OLE_LINK18"/>
    </w:p>
    <w:p w14:paraId="30A7E860">
      <w:pPr>
        <w:pStyle w:val="4"/>
        <w:spacing w:before="312" w:after="312"/>
      </w:pPr>
      <w:bookmarkStart w:id="82" w:name="_Toc228206136"/>
      <w:r>
        <w:rPr>
          <w:rFonts w:hint="eastAsia"/>
        </w:rPr>
        <w:t>第十五章 促进文旅体商，培育消费增长核心引擎</w:t>
      </w:r>
      <w:bookmarkEnd w:id="82"/>
    </w:p>
    <w:p w14:paraId="348A74D5">
      <w:pPr>
        <w:ind w:firstLine="640"/>
        <w:rPr>
          <w:szCs w:val="28"/>
        </w:rPr>
      </w:pPr>
      <w:r>
        <w:rPr>
          <w:rFonts w:hint="eastAsia"/>
          <w:szCs w:val="28"/>
        </w:rPr>
        <w:t>深入践行习近平文化思想，坚持马克思主义在意识形态领域的指导地位，以弘扬和践行社会主义核心价值观为引领，立足文旅体商融合发展基地建设，统筹推进社会文明建设，持续擦亮“曲棍球名城”“歌舞之乡”金色名片，推动文化、旅游、体育与商业深度互融，打造特色鲜明的融合发展产业集群，全面建成呼伦贝尔市文化和旅游强旗。到2030年，文旅体商融合发展产业集群基本形成，产值力争突破90亿元以上。</w:t>
      </w:r>
    </w:p>
    <w:p w14:paraId="3EB0CD92">
      <w:pPr>
        <w:pStyle w:val="5"/>
        <w:spacing w:before="156" w:after="156"/>
      </w:pPr>
      <w:bookmarkStart w:id="83" w:name="_Toc228206137"/>
      <w:r>
        <w:rPr>
          <w:rFonts w:hint="eastAsia"/>
        </w:rPr>
        <w:t>第一节 培育和践行社会主义核心价值观</w:t>
      </w:r>
      <w:bookmarkEnd w:id="83"/>
    </w:p>
    <w:p w14:paraId="1FCB2ABD">
      <w:pPr>
        <w:ind w:firstLine="643"/>
        <w:rPr>
          <w:szCs w:val="28"/>
        </w:rPr>
      </w:pPr>
      <w:r>
        <w:rPr>
          <w:rFonts w:hint="eastAsia"/>
          <w:b/>
          <w:bCs/>
          <w:szCs w:val="28"/>
        </w:rPr>
        <w:t>践行社会主义核心价值观。</w:t>
      </w:r>
      <w:r>
        <w:rPr>
          <w:rFonts w:hint="eastAsia"/>
          <w:szCs w:val="28"/>
        </w:rPr>
        <w:t>持续深入学习宣传贯彻习近平新时代中国特色社会主义思想，健全用党的创新理论武装党员、教育群众、指导实践的工作体系，推动学习贯彻常态化制度化。推动理想信念教育常态化制度化，加强党史、新中国史、改革开放史、社会主义发展史、中华民族发展史教育，强化爱国主义、集体主义、社会主义教育。充分发挥社会主义核心价值观凝心聚力的强大力量，将着力培育和践行社会主义核心价值观融入法治建设、融入社会发展、融入日常生活。加强新时代爱国主义教育基地、社会主义核心价值观示范点建设。弘扬蒙古马精神、“三北精神”和守望相助理念。完善地方党史基本著作和地方志书体系，创新开展社会科学应用研究与普及宣传。弘扬红色文化、诚信文化、廉洁文化。加强和改进思想政治工作，强化对各类群体特别是青少年的思想政治引领。加强网络文明建设，发展积极健康的网络文化，营造更加清朗的网络空间。</w:t>
      </w:r>
    </w:p>
    <w:p w14:paraId="50336030">
      <w:pPr>
        <w:ind w:firstLine="643"/>
        <w:rPr>
          <w:szCs w:val="28"/>
        </w:rPr>
      </w:pPr>
      <w:r>
        <w:rPr>
          <w:rFonts w:hint="eastAsia"/>
          <w:b/>
          <w:bCs/>
          <w:szCs w:val="28"/>
        </w:rPr>
        <w:t>持续提升公民文明素养。</w:t>
      </w:r>
      <w:r>
        <w:rPr>
          <w:rFonts w:hint="eastAsia"/>
          <w:szCs w:val="28"/>
        </w:rPr>
        <w:t>实施公民道德建设工程，深化社会公德、职业道德、家庭美德、个人品德建设，强化未成年人思想道德建设。统筹家庭教育指导服务，设立家庭教育指导服务点，构建覆盖城乡的公益性家庭教育指导服务体系。深化家庭家教家风建设，倡导现代家庭文明观念。健全家庭、学校、政府、社会相结合的思想道德教育体系，把立德树人贯穿学校教育全过程。</w:t>
      </w:r>
    </w:p>
    <w:p w14:paraId="5DFDEEDF">
      <w:pPr>
        <w:ind w:firstLine="643"/>
        <w:rPr>
          <w:szCs w:val="28"/>
        </w:rPr>
      </w:pPr>
      <w:r>
        <w:rPr>
          <w:rFonts w:hint="eastAsia"/>
          <w:b/>
          <w:bCs/>
          <w:szCs w:val="28"/>
        </w:rPr>
        <w:t>加强精神文明创建。</w:t>
      </w:r>
      <w:r>
        <w:rPr>
          <w:rFonts w:hint="eastAsia"/>
          <w:szCs w:val="28"/>
        </w:rPr>
        <w:t>广泛开展道德模范、身边好人等先进典型培育选树、学习宣传和帮扶礼遇活动。深入开展文明交通、文明旅游、文明餐桌、文明上网、文明出行、文明观赛行动，引导公众自觉遵守社会交往、公共场所中的文明规范，增强公共意识、规则意识。深入移风易俗，破除铺张浪费、薄养厚葬、人情攀比等不良习俗，抵制迷信和腐朽落后文化。以巩固提升自治区文明城市创建成效为引领，统筹推进文明村镇、文明单位、文明家庭、文明校园和文明社区等精神文明创建，推动文明城市向城市文明跃升。推动文明实践从有形覆盖向有效覆盖跃升，拓展新时代文明实践中心建设，丰富新时代文明实践活动内容。落实新时代志愿服务体系要求，大力弘扬志愿精神，引领志愿力量更好服务国家战略、百姓民生、社会治理。规范志愿服务组织管理，推进志愿服务高质量发展。</w:t>
      </w:r>
    </w:p>
    <w:p w14:paraId="71C1CE41">
      <w:pPr>
        <w:pStyle w:val="5"/>
        <w:spacing w:before="156" w:after="156"/>
      </w:pPr>
      <w:bookmarkStart w:id="84" w:name="_Toc228206138"/>
      <w:r>
        <w:rPr>
          <w:rFonts w:hint="eastAsia"/>
        </w:rPr>
        <w:t>第二节 发展文化事业产业</w:t>
      </w:r>
      <w:bookmarkEnd w:id="84"/>
    </w:p>
    <w:p w14:paraId="33128D5F">
      <w:pPr>
        <w:ind w:firstLine="643"/>
        <w:rPr>
          <w:szCs w:val="28"/>
        </w:rPr>
      </w:pPr>
      <w:r>
        <w:rPr>
          <w:rFonts w:hint="eastAsia"/>
          <w:b/>
          <w:bCs/>
          <w:szCs w:val="28"/>
        </w:rPr>
        <w:t>提升公共文化服务能力。</w:t>
      </w:r>
      <w:r>
        <w:rPr>
          <w:rFonts w:hint="eastAsia"/>
          <w:szCs w:val="28"/>
        </w:rPr>
        <w:t>落实博物馆、公共图书馆、文化馆免费开放政策，精准对接群众文化需求，完善“订单式”“菜单式”“预约式”服务机制。</w:t>
      </w:r>
      <w:r>
        <w:rPr>
          <w:rFonts w:hint="eastAsia" w:ascii="仿宋_GB2312" w:hAnsi="仿宋_GB2312" w:cs="仿宋_GB2312"/>
          <w:szCs w:val="32"/>
        </w:rPr>
        <w:t>深入实施文化惠民工程，</w:t>
      </w:r>
      <w:r>
        <w:rPr>
          <w:rFonts w:hint="eastAsia" w:ascii="仿宋_GB2312" w:hAnsi="仿宋_GB2312" w:cs="仿宋_GB2312"/>
          <w:szCs w:val="40"/>
        </w:rPr>
        <w:t>发挥乌兰牧骑“红色文艺轻骑兵”等文艺团体作用</w:t>
      </w:r>
      <w:r>
        <w:rPr>
          <w:rFonts w:hint="eastAsia" w:ascii="仿宋_GB2312" w:hAnsi="仿宋_GB2312" w:cs="仿宋_GB2312"/>
          <w:szCs w:val="32"/>
        </w:rPr>
        <w:t>，加强文艺精品创作生产，推动优质惠民演出常态化扎根基层。</w:t>
      </w:r>
      <w:r>
        <w:rPr>
          <w:rFonts w:hint="eastAsia"/>
          <w:szCs w:val="28"/>
        </w:rPr>
        <w:t>引进文艺人才，开展文化志愿服务，优化基层文化资源配置，巩固提升三级公共文化设施网络，引导优质文化资源和服务向农村倾斜。推动全民阅读和全民艺术普及，推进数字文化资源进农村，全面提升公共文化服务的覆盖面和实效性。到2030年，新增艺术精品力作30部，组织基层惠民演出活动500场左右。</w:t>
      </w:r>
    </w:p>
    <w:p w14:paraId="69C655CB">
      <w:pPr>
        <w:ind w:firstLine="643"/>
        <w:rPr>
          <w:szCs w:val="28"/>
        </w:rPr>
      </w:pPr>
      <w:r>
        <w:rPr>
          <w:rFonts w:hint="eastAsia"/>
          <w:b/>
          <w:bCs/>
          <w:szCs w:val="28"/>
        </w:rPr>
        <w:t>推动文化遗产保护利用。</w:t>
      </w:r>
      <w:r>
        <w:rPr>
          <w:rFonts w:hint="eastAsia"/>
          <w:szCs w:val="28"/>
        </w:rPr>
        <w:t>落实中华优秀传统文化传承发展工程，加强文物保护、非物质文化遗产保护。重点实施文物保护强基工程，加强旗域内文物遗址保护、修复工作，推进全国重点文物保护单位金界壕遗址莫旗段的保护和管理，对其存在结构性隐患的核心区段进行本体修复、风貌恢复及生态修复，强化治理地质灾害风险点。深化非物质文化遗产的调查、保存与动态管理，加强传承梯队建设。博物馆做好免费开放工作，积极引进高端展览。到2030年，力争莫旗达斡尔民族博物馆藏品达3000件。</w:t>
      </w:r>
    </w:p>
    <w:p w14:paraId="78D6363E">
      <w:pPr>
        <w:ind w:firstLine="643"/>
        <w:rPr>
          <w:szCs w:val="28"/>
        </w:rPr>
      </w:pPr>
      <w:r>
        <w:rPr>
          <w:rFonts w:hint="eastAsia"/>
          <w:b/>
          <w:bCs/>
          <w:szCs w:val="28"/>
        </w:rPr>
        <w:t>推动文化产业健康发展。</w:t>
      </w:r>
      <w:r>
        <w:rPr>
          <w:rFonts w:hint="eastAsia"/>
          <w:szCs w:val="28"/>
        </w:rPr>
        <w:t>加强对传统工艺的传承保护和开发创新、让优秀文化资源借助数字技术“活起来”，培育壮大线上演播、沉浸式体验等新型文化业态。盘活非物质文化遗产资源，搭建文创产品展示和营销平台，持续开展非物质文化遗产项目传承人进校园、进社区等社会宣传传承活动。开发农村传统节日文化、民间艺术、民俗表演等项目，发展露营旅游、乡村旅游、民俗研学、曲棍球研学等特色文旅品牌。优化文化企业发展环境，激发文化经营主体发展活力。提升版权社会服务质量。加强线上线下内容审核及动态监测，落实文化市场综合执法改革任务，为文化产业健康有序发展提供坚实保障。</w:t>
      </w:r>
    </w:p>
    <w:p w14:paraId="4CEBDF22">
      <w:pPr>
        <w:ind w:firstLine="643"/>
        <w:rPr>
          <w:szCs w:val="28"/>
        </w:rPr>
      </w:pPr>
      <w:r>
        <w:rPr>
          <w:rFonts w:hint="eastAsia"/>
          <w:b/>
          <w:bCs/>
          <w:szCs w:val="28"/>
        </w:rPr>
        <w:t>发挥新闻舆论导向作用。</w:t>
      </w:r>
      <w:r>
        <w:rPr>
          <w:rFonts w:hint="eastAsia"/>
          <w:szCs w:val="28"/>
        </w:rPr>
        <w:t>抓好融媒体中心建设，建好、用好、管好网上舆论阵地。推动传统媒体和新兴媒体深度融合，主动对接中央、自治区及呼伦贝尔市主流媒体资源，深化与莫旗融媒体中心协作关系，推进文旅体沉浸式体验节目制作工作。强化媒体与受众连接，以开放平台吸引广大用户参与信息生产传播，及时回应社会关切。着力打造一批群众喜闻乐见、具有广泛影响力的新闻报道精品，有效发挥新闻舆论在引导社会思潮、凝聚人心、推动发展中的积极作用。</w:t>
      </w:r>
    </w:p>
    <w:p w14:paraId="0FDC09E0">
      <w:pPr>
        <w:pStyle w:val="5"/>
        <w:spacing w:before="156" w:after="156"/>
      </w:pPr>
      <w:bookmarkStart w:id="85" w:name="_Toc228206139"/>
      <w:r>
        <w:rPr>
          <w:rFonts w:hint="eastAsia"/>
        </w:rPr>
        <w:t>第三节 做优做强旅游产业</w:t>
      </w:r>
      <w:bookmarkEnd w:id="85"/>
    </w:p>
    <w:p w14:paraId="077386C8">
      <w:pPr>
        <w:ind w:firstLine="643"/>
        <w:rPr>
          <w:szCs w:val="28"/>
        </w:rPr>
      </w:pPr>
      <w:r>
        <w:rPr>
          <w:rFonts w:hint="eastAsia"/>
          <w:b/>
          <w:bCs/>
          <w:szCs w:val="28"/>
        </w:rPr>
        <w:t>加强文化旅游载体建设。</w:t>
      </w:r>
      <w:r>
        <w:rPr>
          <w:rFonts w:hint="eastAsia"/>
          <w:szCs w:val="28"/>
        </w:rPr>
        <w:t>坚持全域统筹规划、全域合理布局、全域服务提升原则，实施旅游景区梯次培育计划，重点推动中国达斡尔民族园、兴安岭·尼尔基湖国家旅游度假区、西博荣民俗村、腾克达斡尔民俗村、额尔和慢享河谷庄园等核心文旅载体建设。完善旅游观光、旅居养老、摄影采风、亲水娱乐、3C自驾车旅居车营地等综合性服务设施，推动景区提质扩容。深度开发水上观光、冰雪渔猎、森林康养、田园体验等四季旅游产品，探索民俗文化体验等融合模式。</w:t>
      </w:r>
    </w:p>
    <w:p w14:paraId="7606672B">
      <w:pPr>
        <w:ind w:firstLine="643"/>
        <w:rPr>
          <w:szCs w:val="28"/>
        </w:rPr>
      </w:pPr>
      <w:r>
        <w:rPr>
          <w:rFonts w:hint="eastAsia"/>
          <w:b/>
          <w:bCs/>
          <w:szCs w:val="28"/>
        </w:rPr>
        <w:t>推动文体旅融合发展。</w:t>
      </w:r>
      <w:r>
        <w:rPr>
          <w:rFonts w:hint="eastAsia"/>
          <w:szCs w:val="28"/>
        </w:rPr>
        <w:t>充分利用曲棍球赛事、训练基地等体育资源，开发观赛旅游、研学旅游产品，将赛事流量转化为旅游消费。充分挖掘达斡尔族“鲁日格勒”“扎恩达勒”“乌春”等非物质文化遗产价值，推动非遗进景区、进展演，打造非遗手作、民俗演艺等体验项目，做强民俗风情游、戍边文化游和红色文化游。推进“文旅+农业”融合，立足“菇娘之乡”“大豆之乡”资源禀赋，构建“特色农业+生态文旅+研学体验”产业模式。培育“文旅+康养”新业态，拓展康养休闲及复合型户外露营业态，开发</w:t>
      </w:r>
      <w:r>
        <w:rPr>
          <w:rFonts w:hint="eastAsia" w:ascii="仿宋_GB2312" w:hAnsi="仿宋_GB2312" w:cs="仿宋_GB2312"/>
          <w:szCs w:val="32"/>
        </w:rPr>
        <w:t>文化康养、心灵疗愈</w:t>
      </w:r>
      <w:r>
        <w:rPr>
          <w:rFonts w:hint="eastAsia"/>
          <w:szCs w:val="28"/>
        </w:rPr>
        <w:t>等特色产品，全面推动文旅业态多</w:t>
      </w:r>
      <w:r>
        <w:rPr>
          <w:rFonts w:hint="eastAsia"/>
        </w:rPr>
        <w:t>元创新与能级提升。学习借鉴“内蒙古自治区冰雪那达慕”“内蒙古冰雪英雄会”活动经验，开发雪海穿越、滑雪、雪地摩托竞技等多元业态，打造区域性冰雪旅游目的地。持续扩大曲棍球竞技非遗传承暨文旅体商融合发展大会品牌辐射力，创新升级“莫力达瓦冰钓季”冰雪活动体系，不断深化“赛会+”模式，打造“冷资源”向“热经济”转化模式，通过夏秋季与冬季IP互补，打造协同活动发展IP，突破寒地旅游季节瓶颈，长效赋能区域发展。</w:t>
      </w:r>
    </w:p>
    <w:p w14:paraId="6EB0C585">
      <w:pPr>
        <w:ind w:firstLine="643"/>
        <w:rPr>
          <w:szCs w:val="28"/>
        </w:rPr>
      </w:pPr>
      <w:r>
        <w:rPr>
          <w:rFonts w:hint="eastAsia"/>
          <w:b/>
          <w:bCs/>
          <w:szCs w:val="28"/>
        </w:rPr>
        <w:t>打造精品文旅线路体系。</w:t>
      </w:r>
      <w:r>
        <w:rPr>
          <w:rFonts w:hint="eastAsia"/>
          <w:szCs w:val="28"/>
        </w:rPr>
        <w:t>整合民俗、生态与产业资源，主动融入“五彩呼伦贝尔旅游环线”“北纬49度旅游环线”等全市骨干线路，构建多层次文旅线路。重点打造“曲棍球名城研学线”，串联曲棍球训练基地、夏训基地、博物馆专题展等内容，强化“文化+旅游+研学”立体传播。深化民俗风情体验线，以中国达斡尔民族园为核心，结合非遗工坊、达斡尔民族博物馆、民俗活动等节点，推出“非遗研学之旅”。开发生态康养休闲线，依托自然资源，设计水上观光、冰雪渔猎、田园康养等四季产品，打造滨水康养、冰雪休闲系列线路。构建农文旅融合体验线，结合农业采摘、农事体验、生态观光与民俗文化，推出集观光、体验、研学于一体的综合型线路，系统提升文旅吸引力。</w:t>
      </w:r>
    </w:p>
    <w:p w14:paraId="0E96648C">
      <w:pPr>
        <w:ind w:firstLine="643"/>
        <w:rPr>
          <w:szCs w:val="28"/>
        </w:rPr>
      </w:pPr>
      <w:r>
        <w:rPr>
          <w:rFonts w:hint="eastAsia"/>
          <w:b/>
          <w:bCs/>
          <w:szCs w:val="28"/>
        </w:rPr>
        <w:t>壮大文旅融合经营主体。</w:t>
      </w:r>
      <w:r>
        <w:rPr>
          <w:rFonts w:hint="eastAsia"/>
          <w:szCs w:val="28"/>
        </w:rPr>
        <w:t>鼓励大型企业通过资源整合、并购重组做优做强，打造具有核心竞争力的文旅产业集团；通过共享资源、生产协作、开放平台等方式，带动产业链上下游中小微企业协同发展。支持中小微企业向“专业化、特色化、创新型”方向纵深发展，谋划打造个性化、多样化、高品质产品与服务。引导企业提升品牌意识，打造一批具有代表性和美誉度的文旅企业品牌，积极培育引进创意设计、景区运营等领域的优质企业。建立健全企业培育机制，优化营商环境，积极推进经营主体“升规纳统”，全面夯实产业发展基础。</w:t>
      </w:r>
    </w:p>
    <w:p w14:paraId="3A9C119F">
      <w:pPr>
        <w:ind w:firstLine="643"/>
        <w:rPr>
          <w:szCs w:val="28"/>
        </w:rPr>
      </w:pPr>
      <w:r>
        <w:rPr>
          <w:rFonts w:hint="eastAsia"/>
          <w:b/>
          <w:bCs/>
          <w:szCs w:val="28"/>
        </w:rPr>
        <w:t>全面提升旅游服务质量。</w:t>
      </w:r>
      <w:r>
        <w:rPr>
          <w:rFonts w:hint="eastAsia"/>
          <w:szCs w:val="28"/>
        </w:rPr>
        <w:t>推动农家乐、乡村民宿、主题酒店、特色酒店等多元化住宿业态提质升级，引导旅游饭店与特色民宿差异化发展，以匹配不同层次游客需求。完善“快进慢游”交通体系，拓展旅游专线、共享汽车与异地还车服务，优化旅游交通网络。持续推进旅游厕所提档升级，加强停车场、充电桩、房车营地、旅游信息服务站点等配套设施建设，提升景区智能化、数字化水平。健全旅游服务质量监管体系，健全旅游市场综合监管与服务质量监督机制，重点规范旅游景区和旅游经营者的价格行为，严厉打击各类违法违规经营；优化旅游投诉处理流程，探索建立“投诉-调解-仲裁”高效衔接的协同机制，以系统化举措保障旅游服务标准化水平与游客满意度。</w:t>
      </w:r>
    </w:p>
    <w:p w14:paraId="105CD489">
      <w:pPr>
        <w:ind w:firstLine="643"/>
        <w:rPr>
          <w:szCs w:val="28"/>
        </w:rPr>
      </w:pPr>
      <w:r>
        <w:rPr>
          <w:rFonts w:hint="eastAsia"/>
          <w:b/>
          <w:bCs/>
          <w:szCs w:val="28"/>
        </w:rPr>
        <w:t>加强旅游合作与品牌建设。</w:t>
      </w:r>
      <w:r>
        <w:rPr>
          <w:rFonts w:hint="eastAsia"/>
          <w:szCs w:val="28"/>
        </w:rPr>
        <w:t>加强与东部盟市、东北三省深度对接协作，开拓重要客源地旅游市场空间，加强与国内主流媒体、线上知名营销平台和新媒体社交平台合作，扩大宣传推广的影响范围。</w:t>
      </w:r>
      <w:r>
        <w:rPr>
          <w:rFonts w:hint="eastAsia" w:ascii="仿宋_GB2312" w:hAnsi="仿宋_GB2312" w:cs="仿宋_GB2312"/>
          <w:szCs w:val="32"/>
        </w:rPr>
        <w:t>主动融入市级、自治区级、国家级区域品牌框架</w:t>
      </w:r>
      <w:r>
        <w:rPr>
          <w:rFonts w:hint="eastAsia"/>
          <w:szCs w:val="28"/>
        </w:rPr>
        <w:t>，深入挖掘莫旗曲棍球文化、非遗文化、红色文化、历史文化与生态资源价值，塑造差异化文旅形象，打造具有莫旗特色文旅品牌。</w:t>
      </w:r>
    </w:p>
    <w:p w14:paraId="54524217">
      <w:pPr>
        <w:pStyle w:val="5"/>
        <w:spacing w:before="156" w:after="156"/>
      </w:pPr>
      <w:bookmarkStart w:id="86" w:name="_Toc228206140"/>
      <w:r>
        <w:rPr>
          <w:rFonts w:hint="eastAsia"/>
        </w:rPr>
        <w:t>第四节 推进体育全面发展</w:t>
      </w:r>
      <w:bookmarkEnd w:id="86"/>
    </w:p>
    <w:p w14:paraId="72BE60A4">
      <w:pPr>
        <w:ind w:firstLine="643"/>
        <w:rPr>
          <w:szCs w:val="28"/>
        </w:rPr>
      </w:pPr>
      <w:r>
        <w:rPr>
          <w:rFonts w:hint="eastAsia"/>
          <w:b/>
          <w:bCs/>
          <w:szCs w:val="28"/>
        </w:rPr>
        <w:t>完善全民健身公共服务体系。</w:t>
      </w:r>
      <w:r>
        <w:rPr>
          <w:rFonts w:hint="eastAsia"/>
          <w:szCs w:val="28"/>
        </w:rPr>
        <w:t>实施全民健身设施补短板工程，推进体育公园与中小型便民场地建设，构建旗、乡镇、行政村（社区）三级全民健身设施网络，打造“10分钟健身圈”，推动公共体育设施、符合条件的学校及公园广场体育设施全面开放共享。实施全民健身计划，以全民健身运动会为统领，打造多项目覆盖、线上线下结合、城乡联动的群众体育赛事与社区运动会品牌。夯实老年体育工作，依托社区平台组织开展适老体育健身活动。加快社会体育组织改革，加强体育社团组织建设和管理。提升智慧化服务水平，推进“互联网+体育”建设，推动健身场所智慧化升级，提升全民健身公共服务智能化、信息化水平。到2030年，力争人均体育场地面积达3.2平方米。</w:t>
      </w:r>
    </w:p>
    <w:p w14:paraId="0C8E7030">
      <w:pPr>
        <w:ind w:firstLine="643"/>
        <w:rPr>
          <w:szCs w:val="28"/>
        </w:rPr>
      </w:pPr>
      <w:r>
        <w:rPr>
          <w:rFonts w:hint="eastAsia"/>
          <w:b/>
          <w:bCs/>
          <w:szCs w:val="28"/>
        </w:rPr>
        <w:t>提升特色竞技体育水平。</w:t>
      </w:r>
      <w:r>
        <w:rPr>
          <w:rFonts w:hint="eastAsia"/>
          <w:szCs w:val="28"/>
        </w:rPr>
        <w:t>系统推进曲棍球场地设施建设与产业发展，高水平承办亚洲冠军杯、国际精英赛等各级赛事，全力打造国家级曲棍球训练、研学基地和知名赛事品牌。大力发展赛事经济，加快推进曲棍球冬季训练基地建设和市场化运营，举办更高品质、更高水平曲棍球赛事活动，推动赛事策划、赛事转播、体育培训、体育装备制造和用品销售全链条发展。加强曲棍球专业人才梯队建设，完善从青少年选拔到运动员培养与专业升学的路径，储备优秀后备力量。推进呼伦贝尔市青少年曲棍球训练中心建设项目，为青少年提供优质训练条件。强化赛事服务保障，积累高水平赛事承办经验。以曲棍球为引领，拓展定向越野、山地自行车、冰雪运动等项目，推广“区队校办”、联合办队等新型训练模式，增强全旗竞技体育整体实力。</w:t>
      </w:r>
    </w:p>
    <w:p w14:paraId="4F72979C">
      <w:pPr>
        <w:ind w:firstLine="643"/>
        <w:rPr>
          <w:szCs w:val="28"/>
        </w:rPr>
      </w:pPr>
      <w:r>
        <w:rPr>
          <w:rFonts w:hint="eastAsia"/>
          <w:b/>
          <w:bCs/>
          <w:szCs w:val="28"/>
        </w:rPr>
        <w:t>夯实青少年体育发展基础。</w:t>
      </w:r>
      <w:r>
        <w:rPr>
          <w:rFonts w:hint="eastAsia"/>
          <w:szCs w:val="28"/>
        </w:rPr>
        <w:t>深化体校改革，强化人才培养主渠道作用。鼓励青少年体育俱乐部发展，推动足球、篮球、排球、冰雪运动及曲棍球等项目进校园，编制分级教学大纲，推广“一校一品”特色模式，健全“教学-训练-竞赛”有机衔接的体教共管机制。构建U8至U15分学段、跨区域的青少年体育赛事体系，常态化开展校内、校际、跨区域比赛，完善社会力量办赛参赛机制。强化条件保障与目标引领，加强体育师资与教练员队伍建设，推进学校体育场馆向社会开放，完善青少年体育活动场地设施。全面落实“四位一体”育人目标，将学生体质健康与运动技能纳入教育评价体系，引导学生在体育锻炼中享受乐趣、增强体质、健全人格、锤炼意志，为培养全面发展的人才奠定坚实基础。</w:t>
      </w:r>
    </w:p>
    <w:p w14:paraId="7A2F2205">
      <w:pPr>
        <w:pStyle w:val="5"/>
        <w:spacing w:before="156" w:after="156"/>
      </w:pPr>
      <w:bookmarkStart w:id="87" w:name="_Toc228206141"/>
      <w:r>
        <w:rPr>
          <w:rFonts w:hint="eastAsia"/>
        </w:rPr>
        <w:t>第五节 扩容提质现代商贸</w:t>
      </w:r>
      <w:bookmarkEnd w:id="87"/>
    </w:p>
    <w:p w14:paraId="7D391EA9">
      <w:pPr>
        <w:ind w:firstLine="640"/>
        <w:rPr>
          <w:szCs w:val="28"/>
        </w:rPr>
      </w:pPr>
      <w:r>
        <w:rPr>
          <w:rFonts w:hint="eastAsia"/>
          <w:szCs w:val="28"/>
        </w:rPr>
        <w:t>以购物广场为核心，推动从单一购物中心向融合零售、体验、社交、亲子娱乐的“一站式”城市生活中心转型，科学合理谋划综合性商业体项目，形成覆盖全域的多层级消费目的地。依托达斡尔族文化底蕴与特色物产，重点培育民俗风情体验街区、特色餐饮夜市街区及文创产品街区，推动商旅文深度融合，营造沉浸式、互动性消费新场景。围绕菇娘果、食用菌、绿色农畜产品等优势产业，高标准谋划建设集商品集散、价格形成、信息发布等于一体的区域性专业市场与产地集配中心，积极发展线上交易、订单农业等现代流通方式，强化全产业链服务支撑。</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07AB3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834" w:type="dxa"/>
          </w:tcPr>
          <w:p w14:paraId="135A3B8C">
            <w:pPr>
              <w:pStyle w:val="37"/>
              <w:spacing w:before="0" w:after="0"/>
              <w:ind w:firstLine="640"/>
            </w:pPr>
            <w:r>
              <w:rPr>
                <w:rFonts w:hint="eastAsia"/>
              </w:rPr>
              <w:t>文体旅融合发展工程</w:t>
            </w:r>
          </w:p>
        </w:tc>
      </w:tr>
      <w:tr w14:paraId="7F6DB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4D825C08">
            <w:pPr>
              <w:pStyle w:val="38"/>
              <w:ind w:firstLine="562"/>
            </w:pPr>
            <w:r>
              <w:rPr>
                <w:rFonts w:hint="eastAsia"/>
                <w:b/>
                <w:bCs/>
              </w:rPr>
              <w:t>文化发展：</w:t>
            </w:r>
            <w:r>
              <w:rPr>
                <w:rFonts w:hint="eastAsia"/>
              </w:rPr>
              <w:t>莫旗七家子段、万宝山段、兴隆泉段界壕保护工程，博物馆数字化改造提升项目、非物质文化遗产数字化保护项目、金界壕安防项目、乌兰牧骑宫剧场舞台设备更新改造项目、达斡尔民族博物馆文化体验中心、莫力达瓦城市娱乐文化主题公园、城市文化会客厅项目、莫力达瓦群众文化服务中心（含非遗主题馆）、莫旗文物保护中心规划旗级及旗级以下文物保护工程。</w:t>
            </w:r>
          </w:p>
          <w:p w14:paraId="1D1172C1">
            <w:pPr>
              <w:pStyle w:val="38"/>
              <w:ind w:firstLine="562"/>
            </w:pPr>
            <w:r>
              <w:rPr>
                <w:rFonts w:hint="eastAsia"/>
                <w:b/>
                <w:bCs/>
              </w:rPr>
              <w:t>旅游开发：</w:t>
            </w:r>
            <w:r>
              <w:rPr>
                <w:rFonts w:hint="eastAsia"/>
              </w:rPr>
              <w:t>中国达斡尔民族园曲棍球赛事服务中心（配套康养中心、3C露营营地）项目、额尔和慢享河谷庄园项目、莫力达瓦山景区旅游开发项目、腾克生态旅游项目、莫力达瓦城市娱乐文化主题公园、中国达斡尔民族园雅克萨城影视基地项目、中国达斡尔民族园智慧景区建设项目、中国达斡尔民族园爱国主义研学基地项目、腾克温泉度假村项目、尼尔基水利枢纽至中国达斡尔民族园航线及配套设施采购项目、腾克达斡尔民俗村品质提升项目、中国达斡尔民族园旅游景区提档升级项目、莫力达瓦山自驾车营地提档升级项目、阿尔拉镇露营基地项目、全季设施渔业项目。</w:t>
            </w:r>
          </w:p>
          <w:p w14:paraId="416C1368">
            <w:pPr>
              <w:pStyle w:val="38"/>
              <w:ind w:firstLine="562"/>
            </w:pPr>
            <w:r>
              <w:rPr>
                <w:rFonts w:hint="eastAsia"/>
                <w:b/>
                <w:bCs/>
              </w:rPr>
              <w:t>体育发展：（1）全民健身公共服务：</w:t>
            </w:r>
            <w:r>
              <w:rPr>
                <w:rFonts w:hint="eastAsia"/>
              </w:rPr>
              <w:t>莫旗塔温敖宝镇、汉古尔河镇、宝山镇、红彦镇、巴彦鄂温克民族乡5个全民健身中心项目、莫旗全民健身多功能体育馆项目；</w:t>
            </w:r>
            <w:r>
              <w:rPr>
                <w:rFonts w:hint="eastAsia"/>
                <w:b/>
                <w:bCs/>
              </w:rPr>
              <w:t>（2）特色竞技体育：</w:t>
            </w:r>
            <w:r>
              <w:rPr>
                <w:rFonts w:hint="eastAsia"/>
              </w:rPr>
              <w:t>呼伦贝尔曲棍球青少年训练中心项目、曲棍球海南冬季训练基地项目；</w:t>
            </w:r>
            <w:r>
              <w:rPr>
                <w:rFonts w:hint="eastAsia"/>
                <w:b/>
                <w:bCs/>
              </w:rPr>
              <w:t>（3）青少年体育发展：</w:t>
            </w:r>
            <w:r>
              <w:rPr>
                <w:rFonts w:hint="eastAsia"/>
              </w:rPr>
              <w:t>莫旗尼尔基第五小学体育教室项目，莫旗第二民族小学新建曲棍球馆项目，莫旗学校校园曲棍球场建设项目，莫旗学校运动场建设项目，莫旗学校足球馆建设项目。</w:t>
            </w:r>
          </w:p>
          <w:p w14:paraId="6A314695">
            <w:pPr>
              <w:pStyle w:val="38"/>
              <w:ind w:firstLine="562"/>
            </w:pPr>
            <w:r>
              <w:rPr>
                <w:rFonts w:hint="eastAsia"/>
                <w:b/>
                <w:bCs/>
              </w:rPr>
              <w:t>现代商贸：</w:t>
            </w:r>
            <w:r>
              <w:rPr>
                <w:rFonts w:hint="eastAsia"/>
              </w:rPr>
              <w:t>文化美食商业街项目、莫旗智慧农贸市场项目。</w:t>
            </w:r>
          </w:p>
        </w:tc>
      </w:tr>
    </w:tbl>
    <w:p w14:paraId="30496E1D">
      <w:pPr>
        <w:ind w:firstLine="640"/>
        <w:sectPr>
          <w:pgSz w:w="11906" w:h="16838"/>
          <w:pgMar w:top="2098" w:right="1531" w:bottom="1984" w:left="1531" w:header="851" w:footer="992" w:gutter="0"/>
          <w:cols w:space="425" w:num="1"/>
          <w:docGrid w:type="lines" w:linePitch="312" w:charSpace="0"/>
        </w:sectPr>
      </w:pPr>
    </w:p>
    <w:p w14:paraId="0C121964">
      <w:pPr>
        <w:pStyle w:val="4"/>
        <w:spacing w:before="312" w:after="312"/>
      </w:pPr>
      <w:bookmarkStart w:id="88" w:name="_Toc228206142"/>
      <w:r>
        <w:rPr>
          <w:rFonts w:hint="eastAsia"/>
        </w:rPr>
        <w:t>第十六章 坚持民生优先，携手迈向共同富裕道路</w:t>
      </w:r>
      <w:bookmarkEnd w:id="88"/>
    </w:p>
    <w:p w14:paraId="2D64D66A">
      <w:pPr>
        <w:ind w:firstLine="640"/>
        <w:rPr>
          <w:szCs w:val="28"/>
        </w:rPr>
      </w:pPr>
      <w:r>
        <w:rPr>
          <w:rFonts w:hint="eastAsia"/>
          <w:szCs w:val="28"/>
        </w:rPr>
        <w:t>坚持以人民为中心的发展思想，把实现好、维护好、发展好最广大人民根本利益作为发展的出发点和落脚点，坚持尽力而为、量力而行，推动投资于物和投资于人紧密结合，落实就业优先战略，办好人民满意的教育，不断完善社会保障体系，加快“健康莫力达瓦”建设，健全人口发展支持和服务体系，全面提升人民生活质量。</w:t>
      </w:r>
    </w:p>
    <w:p w14:paraId="1082661F">
      <w:pPr>
        <w:pStyle w:val="5"/>
        <w:spacing w:before="156" w:after="156"/>
      </w:pPr>
      <w:bookmarkStart w:id="89" w:name="_Toc228206143"/>
      <w:r>
        <w:rPr>
          <w:rFonts w:hint="eastAsia"/>
        </w:rPr>
        <w:t>第一节 促进就业与增收致富</w:t>
      </w:r>
      <w:bookmarkEnd w:id="89"/>
    </w:p>
    <w:p w14:paraId="75945CEB">
      <w:pPr>
        <w:ind w:firstLine="643"/>
        <w:rPr>
          <w:szCs w:val="28"/>
        </w:rPr>
      </w:pPr>
      <w:r>
        <w:rPr>
          <w:rFonts w:hint="eastAsia"/>
          <w:b/>
          <w:bCs/>
          <w:szCs w:val="28"/>
        </w:rPr>
        <w:t>扩大就业岗位供给。</w:t>
      </w:r>
      <w:r>
        <w:rPr>
          <w:rFonts w:hint="eastAsia"/>
          <w:szCs w:val="28"/>
        </w:rPr>
        <w:t>围绕农畜产品加工、绿色能源等重点产业布局挖掘就业潜力，扩大就业容量；充分利用“就业内蒙古”求职招聘平台、“蒙速聘”小程序归集发布重大产业、重大项目岗位需求信息，强化供需对接，为重点产业发展和项目建设提供人才和劳动力支撑。推动消费新热点转化为就业新渠道，带动商贸、文旅、康养等领域就业，提供更多就业机会。持续开展“春暖农民工”招聘活动，创新劳务组织模式，加快组建农牧民施工队、劳务公司、劳务合作社，进一步扩大劳务输出规模。围绕保障重点民生服务促进就业，以“京蒙协作”为契机，</w:t>
      </w:r>
      <w:r>
        <w:rPr>
          <w:rFonts w:hint="eastAsia" w:ascii="仿宋_GB2312" w:hAnsi="仿宋_GB2312" w:cs="仿宋_GB2312"/>
          <w:spacing w:val="8"/>
          <w:szCs w:val="36"/>
          <w:shd w:val="clear" w:color="auto" w:fill="FFFFFF"/>
        </w:rPr>
        <w:t>深入开展家政服务劳务对接助力乡村振兴行动，搭建区域劳务协作平台，</w:t>
      </w:r>
      <w:r>
        <w:rPr>
          <w:rFonts w:hint="eastAsia"/>
          <w:szCs w:val="28"/>
        </w:rPr>
        <w:t>加强养老护理员培养培训，推进保育员、育婴师技能培训，推进家政服务业提质吸纳更多就业。实施新一轮农村集体经济扶持行动，开发农村公路管护等领域就业岗位，创造更多家门口就业机会。完善岗位归集和动态发布机制，规范开发和使用公益性岗位，提升岗位吸纳力。</w:t>
      </w:r>
    </w:p>
    <w:p w14:paraId="57BDA346">
      <w:pPr>
        <w:ind w:firstLine="643"/>
        <w:rPr>
          <w:szCs w:val="28"/>
        </w:rPr>
      </w:pPr>
      <w:r>
        <w:rPr>
          <w:rFonts w:hint="eastAsia" w:ascii="仿宋_GB2312"/>
          <w:b/>
          <w:szCs w:val="28"/>
        </w:rPr>
        <w:t>健全就业公共服务体系。</w:t>
      </w:r>
      <w:r>
        <w:rPr>
          <w:rFonts w:hint="eastAsia"/>
          <w:szCs w:val="28"/>
        </w:rPr>
        <w:t>完善公共就业创业服务网络，加强基层就业创业服务队伍专业化建设，推进行政审批、政策兑现、补贴经办等“一窗受理、集成办理”。持续开展“一起益企”中小企业服务行动，加快构建“创业培训、创业服务、创业孵化、创业活动”四创联动的支持体系。强化数字赋能，依托自治区“就业内蒙古”网站和“就业内蒙古”移动端开展职业培训、创业服务、招聘服务活动等。深入实施“技能照亮前程”专项行动，推动公共实训基地建设，推行“岗位需要+技能培训+技能评价+就业服务”四位一体项目化培训模式。推动公共就业服务下沉，在工业园区、零工市场、社区服务中心设立就业服务站点，常态化开展就业援助月、民营企业招聘月等活动。</w:t>
      </w:r>
    </w:p>
    <w:p w14:paraId="212D90AB">
      <w:pPr>
        <w:ind w:firstLine="643"/>
        <w:rPr>
          <w:szCs w:val="28"/>
        </w:rPr>
      </w:pPr>
      <w:r>
        <w:rPr>
          <w:rFonts w:hint="eastAsia" w:ascii="仿宋_GB2312"/>
          <w:b/>
          <w:szCs w:val="28"/>
        </w:rPr>
        <w:t>强化重点群体就业支持。</w:t>
      </w:r>
      <w:r>
        <w:rPr>
          <w:rFonts w:hint="eastAsia"/>
          <w:szCs w:val="28"/>
        </w:rPr>
        <w:t>开展高校毕业生等青年就业服务攻坚行动、“宏志助航”计划、“人社局长进校园”等活动，畅通基层成长成才路径，加强校内校外服务衔接，促进高校毕业生通过基层服务项目、中小企业就业、自主创业等多渠道实现早就业、就好业。健全农牧民转移就业服务体系，坚持外出务工和就近就业并重，培育壮大劳务品牌，强化职业介绍、技能培训、权益保障服务。完善困难人员就业援助制度，畅通失业人员等就业困难人员求助渠道；聚焦低保家庭、零就业家庭和残疾人等群体，实施托底帮扶，规范公益性岗位开发管理，落实兜底保障；针对就业困难人员探索开展结对帮扶，制定个性化的帮扶方案，优先推荐岗位、优先组织培训见习、优先提供职业指导。支持退役军人就业创业，落实退役军人安置政策，搭建退役军人就业创业服务平台，探讨通过跨省职业技能培训促进退役军人就业模式，鼓励退役军人参与基层治理、乡村振兴等工作。</w:t>
      </w:r>
    </w:p>
    <w:p w14:paraId="6C13BA99">
      <w:pPr>
        <w:ind w:firstLine="643"/>
        <w:rPr>
          <w:szCs w:val="28"/>
        </w:rPr>
      </w:pPr>
      <w:r>
        <w:rPr>
          <w:rFonts w:hint="eastAsia" w:ascii="仿宋_GB2312"/>
          <w:b/>
          <w:szCs w:val="28"/>
        </w:rPr>
        <w:t>促进城乡居民增收。</w:t>
      </w:r>
      <w:r>
        <w:rPr>
          <w:rFonts w:hint="eastAsia"/>
          <w:szCs w:val="28"/>
        </w:rPr>
        <w:t>发挥基金等金融产品支撑作用，稳定有序推动个体工商户、小微企业规范发展便民服务业，推动家政、物流等行业提质发展，培育夜间经济、便民经济等新业态，创造更多增收渠道。规范住房租赁市场，培育专业化住房租赁企业，规范发展理财、信托、增加居民财产性收入。支持自主创业增收，落实创业扶持政策，加大创业担保贷款、税收减免等政策支持力度，鼓励劳动者通过创业实现增收，发挥创业带动就业倍增效应。以大豆、生猪、大鹅、肉牛羊等为重点，完善“种养加销”全产业链条，发展乡村旅游、电商直播和农畜产品深加工，充分挖掘二三产增收潜力。引导鼓励有条件的村集体经济组织盘活利用闲置房屋（宅基地），发展民宿、仓储、庭院经济等乡村产业，持续推进林菌、林药等多元化林下经济产业发展，强化产业联动带农。在农业农村基础设施建设等领域积极推广以工代赈。严格规范农房租赁期限和用途等，依法保障农牧民宅基地权益。全面落实各项惠农惠牧政策，落实对农牧民直接补贴政策，保障农民种粮收益，有效增加农牧民转移性收入。</w:t>
      </w:r>
    </w:p>
    <w:p w14:paraId="4BEA6E8D">
      <w:pPr>
        <w:ind w:firstLine="643"/>
        <w:rPr>
          <w:szCs w:val="28"/>
        </w:rPr>
      </w:pPr>
      <w:r>
        <w:rPr>
          <w:rFonts w:hint="eastAsia" w:ascii="仿宋_GB2312"/>
          <w:b/>
          <w:szCs w:val="28"/>
        </w:rPr>
        <w:t>完善劳动保障体系。</w:t>
      </w:r>
      <w:r>
        <w:rPr>
          <w:rFonts w:hint="eastAsia" w:ascii="仿宋_GB2312" w:hAnsi="仿宋_GB2312" w:cs="仿宋_GB2312"/>
          <w:szCs w:val="36"/>
        </w:rPr>
        <w:t>通过拉网式排查、重点排查、线上排查等多种方式，对重点领域开展历史欠薪和新发欠薪隐患“双排查”，肃清欠薪隐患，化解欠薪案件，确保实现“两清零”和“三个不发生”。持续开展清理整顿人力资源市场秩序专项行动，依法查处就业歧视、黑职介、招聘欺诈等违法行为，规范劳务派遣用工，纠治“假外包、真派遣”等乱象。组织开展“人社系统全领域、劳动用工全链条”劳动保障服务行动，引导用人单位依法建立和完善劳动规章制度，规范企业用工，维护劳动者就业权益。积极开展劳动保障法律法规的宣传活动，增强广大农民工维权意识，增强企业依法支付农民工工资的主动性和责任感。用足用好国家、自治区、市级失业保险促进企业稳岗、支持参保职工技能提升等政策，切实减轻企业用工成本。完善外出务工人员电子信息，逐步实现外出务工人员信息精准动态化管理。</w:t>
      </w:r>
    </w:p>
    <w:p w14:paraId="7B9FF182">
      <w:pPr>
        <w:pStyle w:val="5"/>
        <w:spacing w:before="156" w:after="156"/>
      </w:pPr>
      <w:bookmarkStart w:id="90" w:name="_Toc228206144"/>
      <w:r>
        <w:rPr>
          <w:rFonts w:hint="eastAsia"/>
        </w:rPr>
        <w:t>第二节 推进“健康莫力达瓦”建设</w:t>
      </w:r>
      <w:bookmarkEnd w:id="90"/>
    </w:p>
    <w:p w14:paraId="420103B5">
      <w:pPr>
        <w:ind w:firstLine="643"/>
        <w:rPr>
          <w:szCs w:val="28"/>
        </w:rPr>
      </w:pPr>
      <w:r>
        <w:rPr>
          <w:rFonts w:hint="eastAsia" w:ascii="仿宋_GB2312"/>
          <w:b/>
          <w:szCs w:val="28"/>
        </w:rPr>
        <w:t>完善医疗卫生服务体系。</w:t>
      </w:r>
      <w:r>
        <w:rPr>
          <w:rFonts w:hint="eastAsia" w:ascii="仿宋_GB2312" w:hAnsi="仿宋_GB2312" w:cs="仿宋_GB2312"/>
          <w:szCs w:val="32"/>
        </w:rPr>
        <w:t>加强医院（含中蒙医院）临床专科和管理能力建设，提高重症服务能力</w:t>
      </w:r>
      <w:r>
        <w:rPr>
          <w:rFonts w:hint="eastAsia"/>
          <w:szCs w:val="28"/>
        </w:rPr>
        <w:t>。稳步提升基层医疗卫生服务能力，加强乡镇卫生院和社区卫生服务中心规范化建设，增强常见病多发病诊治、公共卫生、健康管理服务能力，提升传染病筛查、防治水平。加强公共卫生体系建设，健全完善职业病防治体系和精神卫生、社会心理服务体系。全面提升疾病预防控制专业能力，强化疫苗预防接种。持续深化“京蒙”医疗帮扶。加强心理健康和精神卫生服务。</w:t>
      </w:r>
    </w:p>
    <w:p w14:paraId="3BF81DC8">
      <w:pPr>
        <w:ind w:firstLine="643"/>
        <w:rPr>
          <w:szCs w:val="28"/>
        </w:rPr>
      </w:pPr>
      <w:r>
        <w:rPr>
          <w:rFonts w:hint="eastAsia"/>
          <w:b/>
          <w:bCs/>
          <w:szCs w:val="28"/>
        </w:rPr>
        <w:t>推进中（蒙）医服务能力。</w:t>
      </w:r>
      <w:r>
        <w:rPr>
          <w:rFonts w:hint="eastAsia"/>
          <w:szCs w:val="28"/>
        </w:rPr>
        <w:t>推进中医药（蒙医药）传承创新发展，推进旗中蒙医院服务能力建设，加强基层医疗卫生机构中医馆建设。</w:t>
      </w:r>
      <w:r>
        <w:rPr>
          <w:rFonts w:hint="eastAsia" w:ascii="仿宋_GB2312" w:hAnsi="仿宋_GB2312" w:cs="仿宋_GB2312"/>
          <w:szCs w:val="32"/>
        </w:rPr>
        <w:t>依托中蒙医院适宜技术推广中心，开展适宜技术推广，缓解基层人才短缺。推动中医（蒙医）公立医院运营精细化管理改革，推动运行模式提质增效，为“健康莫力达瓦”建设提供核心支撑。</w:t>
      </w:r>
    </w:p>
    <w:p w14:paraId="389B5221">
      <w:pPr>
        <w:ind w:firstLine="643"/>
        <w:rPr>
          <w:b/>
          <w:bCs/>
          <w:szCs w:val="28"/>
        </w:rPr>
      </w:pPr>
      <w:r>
        <w:rPr>
          <w:rFonts w:hint="eastAsia"/>
          <w:b/>
          <w:bCs/>
          <w:szCs w:val="28"/>
        </w:rPr>
        <w:t>全面落实分级诊疗。</w:t>
      </w:r>
      <w:r>
        <w:rPr>
          <w:rFonts w:hint="eastAsia"/>
          <w:szCs w:val="28"/>
        </w:rPr>
        <w:t>加强家庭医生签约服务，完善连续通畅的双向转诊服务路径。推进紧密型县域医共体建设，推动优质医疗资源和居民就医“双下沉”，提升农村居民医疗卫生服务可及性。加强县域医疗卫生人才一体化配备和管理，落实基层医疗卫生机构绩效工资政策、高层次人才工资分配激励政策，提高乡村医生待遇。</w:t>
      </w:r>
    </w:p>
    <w:p w14:paraId="39AA98FA">
      <w:pPr>
        <w:ind w:firstLine="643"/>
      </w:pPr>
      <w:r>
        <w:rPr>
          <w:rFonts w:hint="eastAsia"/>
          <w:b/>
          <w:bCs/>
          <w:szCs w:val="28"/>
        </w:rPr>
        <w:t>提高医疗服务质量。</w:t>
      </w:r>
      <w:r>
        <w:rPr>
          <w:rFonts w:hint="eastAsia"/>
          <w:szCs w:val="28"/>
        </w:rPr>
        <w:t>改善门诊医疗服务，提高患者就医满意度。强化医疗急救与急诊的无缝衔接机制，优化急诊就诊和绿色通道流程，持续推进胸痛中心、危重新生儿救治中心、危重孕产妇救治中心、卒中中心和创伤中心建设，推进健康数智化建设。建立医疗质量管理与控制体系，改善护理服务，完善公立医院绩效考核。</w:t>
      </w:r>
    </w:p>
    <w:p w14:paraId="60BB7241">
      <w:pPr>
        <w:pStyle w:val="5"/>
        <w:spacing w:before="156" w:after="156"/>
      </w:pPr>
      <w:bookmarkStart w:id="91" w:name="_Toc228206145"/>
      <w:r>
        <w:rPr>
          <w:rFonts w:hint="eastAsia"/>
        </w:rPr>
        <w:t>第三节 推动人口长期均衡发展</w:t>
      </w:r>
      <w:bookmarkEnd w:id="91"/>
    </w:p>
    <w:p w14:paraId="121B13BD">
      <w:pPr>
        <w:ind w:firstLine="643"/>
      </w:pPr>
      <w:r>
        <w:rPr>
          <w:rFonts w:hint="eastAsia"/>
          <w:b/>
          <w:bCs/>
          <w:szCs w:val="28"/>
        </w:rPr>
        <w:t>推进全链条生育支持。</w:t>
      </w:r>
      <w:r>
        <w:rPr>
          <w:rFonts w:hint="eastAsia"/>
        </w:rPr>
        <w:t>构建全龄友好社会环境，落实生育支持政策和激励机制，探索建立企业生育津贴成本政府分担机制，落实好育儿补贴制度，探索研究托育服务券、消费券等配套支持措施。加强普惠托育服务体系建设，提升托育服务质量，支持社区嵌入式托育、托幼一体、用人单位办托等多种模式发展，加强农村生育支持和婴幼儿照护服务，稳步提升0-3岁婴幼儿入托率。推动构建新型婚育文化，开展人口高质量发展宣传教育。提倡科学备孕和适龄怀孕，深入实施母婴安全、出生缺陷防治能力提升计划，加强家庭科学育儿指导服务。健全反家庭暴力多部门联动机制，完善婚姻家庭纠纷预防化解工作，加强妇女权益保障。实施“妇女健康促进行动”，加快妇幼保健机构标准化建设，提升旗妇幼保健计划生育服务中心诊疗水平，重点加强农村妇幼卫生服务能力建设，健全覆盖城乡的妇幼健康服务体系，确保产前筛查率达90%以上，新生儿疾病筛查率稳定在90%以上。</w:t>
      </w:r>
    </w:p>
    <w:p w14:paraId="33D0F142">
      <w:pPr>
        <w:ind w:firstLine="643"/>
        <w:rPr>
          <w:rFonts w:hint="eastAsia" w:ascii="仿宋_GB2312" w:hAnsi="仿宋_GB2312" w:cs="仿宋_GB2312"/>
          <w:szCs w:val="36"/>
        </w:rPr>
      </w:pPr>
      <w:r>
        <w:rPr>
          <w:rFonts w:hint="eastAsia" w:ascii="仿宋_GB2312"/>
          <w:b/>
          <w:szCs w:val="28"/>
        </w:rPr>
        <w:t>推进养老体系建设。</w:t>
      </w:r>
      <w:r>
        <w:rPr>
          <w:rFonts w:hint="eastAsia"/>
          <w:szCs w:val="28"/>
        </w:rPr>
        <w:t>完善三级养老服务网络，探索推进一批新建、改扩建乡镇区域养老服务中心、村级养老站建设，完善服务设施功能，到2030年三级养老服务网络覆盖率显著提升。加强养老服务设施规划布局，推动居家和机构养老融合发展，优化养老服务中心布局。鼓励社会力量参与养老服务设施建设，谋划建设一批医养结合机构。开展居家适老化改造，提升老年助餐服务。支持养老机构改造失能、失智照护专区，持续加大养老机构护理型床位供给，到2030年全旗养老机构护理型床位占比不低于70%。加强养老服务质量综合监管，建立养老服务质量标准和评价体系，定期开展服务质量评估。推进养老服务人才队伍建设，加强养老护理员培训，提高护理员专业技能和服务水平。完善老年人社会参与体系，深入开展“银龄行动”。</w:t>
      </w:r>
    </w:p>
    <w:p w14:paraId="71C44245">
      <w:pPr>
        <w:ind w:firstLine="643"/>
        <w:rPr>
          <w:szCs w:val="28"/>
        </w:rPr>
      </w:pPr>
      <w:r>
        <w:rPr>
          <w:rFonts w:hint="eastAsia" w:ascii="仿宋_GB2312"/>
          <w:b/>
          <w:szCs w:val="28"/>
        </w:rPr>
        <w:t>保障重点人群发展权益。</w:t>
      </w:r>
      <w:r>
        <w:rPr>
          <w:rFonts w:hint="eastAsia"/>
          <w:szCs w:val="28"/>
        </w:rPr>
        <w:t>落实妇女就业和生育权益保障，落实妇女就业创业扶持政策和女职工特殊劳动保护制度，保障农村妇女土地权益。完善困境儿童分类保障制度，规范儿童收养管理；推进儿童福利机构转型发展和功能提升，支持儿童福利院“开门办院”；加强流动儿童、留守儿童监测摸排和关爱服务，加快构建困境儿童保障工作网络。鼓励支持青年参与科技创新、乡村振兴、绿色发展、社会服务等事业发展；聚焦青年群体在求学工作、创新创业、婚恋生育、住房保障、社会融入等需求，健全完善精准性服务、利益表达和诉求响应机制，加强对困难青年群体关爱和权益维护。健全残疾人“两项补贴”动态调整机制，实施重度残疾人托养照护，支持有条件的养老机构承接重度残疾人托养照护服务。健全退役军人优抚优待、权益维护等机制，强化镇村两级退役军人服务站建设，完善退役军人服务保障体系，推动莫力达瓦革命烈士陵园与“军转干部红色教育培训基地”有效衔接，持续打造退役军人之家等多元服务阵地。</w:t>
      </w:r>
    </w:p>
    <w:bookmarkEnd w:id="81"/>
    <w:p w14:paraId="112F5458">
      <w:pPr>
        <w:pStyle w:val="5"/>
        <w:spacing w:before="156" w:after="156"/>
      </w:pPr>
      <w:bookmarkStart w:id="92" w:name="_Toc228206146"/>
      <w:r>
        <w:rPr>
          <w:rFonts w:hint="eastAsia"/>
        </w:rPr>
        <w:t>第四节 健全多层次社会保障体系</w:t>
      </w:r>
      <w:bookmarkEnd w:id="92"/>
    </w:p>
    <w:p w14:paraId="5FC3706F">
      <w:pPr>
        <w:ind w:firstLine="643" w:firstLineChars="0"/>
        <w:rPr>
          <w:szCs w:val="28"/>
        </w:rPr>
      </w:pPr>
      <w:r>
        <w:rPr>
          <w:rFonts w:hint="eastAsia" w:ascii="仿宋_GB2312"/>
          <w:b/>
          <w:szCs w:val="28"/>
        </w:rPr>
        <w:t>完善社会保险制度体系。</w:t>
      </w:r>
      <w:r>
        <w:rPr>
          <w:rFonts w:hint="eastAsia"/>
          <w:szCs w:val="28"/>
        </w:rPr>
        <w:t>深入实施全民参保计划，引导灵活就业人员、新业态从业人员等参加城镇职工基本养老保险，实现法定人群全覆盖；落实基本养老保险缴费政策，完善企业职工和城乡居民养老保险制度；稳步推进机关事业单位养老保险制度改革；加大企业年金扩面力度；全面实施个人养老金制度，推动规范发展；落实取消在就业地参保户籍限制政策，聚焦灵活就业人员、农牧民工、新就业形态人员等重点群体，开展政策宣传。落实好失业保险基金统筹制度，推进失业保险金标准与最低工资标准挂钩联动。落实工伤保险扩面政策，扩大工伤保险参保覆盖面，健全预防、补偿、康复“三位一体”制度，落实社会保险关系转移接续政策，提高社会保险关系转移接续工作效率。</w:t>
      </w:r>
    </w:p>
    <w:p w14:paraId="67BD4291">
      <w:pPr>
        <w:ind w:firstLine="643"/>
        <w:rPr>
          <w:szCs w:val="28"/>
        </w:rPr>
      </w:pPr>
      <w:r>
        <w:rPr>
          <w:rFonts w:hint="eastAsia" w:ascii="仿宋_GB2312"/>
          <w:b/>
          <w:szCs w:val="28"/>
        </w:rPr>
        <w:t>健全多层次医疗保障制度体系。</w:t>
      </w:r>
      <w:r>
        <w:rPr>
          <w:rFonts w:hint="eastAsia"/>
          <w:szCs w:val="28"/>
        </w:rPr>
        <w:t>完善医疗保险制度，配合推动基本医疗保险自治区级统筹，统一政策标准、基金收支和预算管理，健全基本医疗保险筹资和待遇合理调整机制，逐步建立完善长期护理保险制度。强化基本医保、大病保险、医疗救助综合保障，建立长期护理保险制度。确定困难群众医疗保障待遇标准，确保困难群众基本医疗有保障。推行医保经办服务“一窗通办”，推进高频服务事项“网上办”，推进医保服务下沉乡镇。优化医保关系转移接续，简化异地就医备案流程，提升异地就医结算服务，缩短办理时限。加强医保基金使用常态化监管，保障医保基金安全运行，提高基金使用效率。</w:t>
      </w:r>
    </w:p>
    <w:p w14:paraId="62AF9242">
      <w:pPr>
        <w:ind w:firstLine="643"/>
        <w:rPr>
          <w:szCs w:val="28"/>
        </w:rPr>
      </w:pPr>
      <w:r>
        <w:rPr>
          <w:rFonts w:hint="eastAsia" w:ascii="仿宋_GB2312"/>
          <w:b/>
          <w:szCs w:val="28"/>
        </w:rPr>
        <w:t>健全分层分类的社会救助体系。</w:t>
      </w:r>
      <w:r>
        <w:rPr>
          <w:rFonts w:hint="eastAsia"/>
          <w:szCs w:val="28"/>
        </w:rPr>
        <w:t>健全以基本生活救助、专项社会救助、急难社会救助为主体，社会力量参与为补充的社会救助制度体系。完善城乡低保、特困人员供养等基本生活救助制度，合理制定城乡低保、特困人员供养标准，及时将符合条件的困难家庭纳入低保和特困供养范围，加大对因灾、因病等原因造成的临时致贫或返贫群众专项救助力度。建立健全低收入人口动态监测和常态化帮扶机制，加强部门数据共享与比对，精准识别救助对象。加强社会救助对象分类管理，根据救助对象的困难程度和需求特点，实施差异化救助。扩大社会救助服务供给，积极探索发展生活、照护、支持等服务类社会救助，推动社会救助与社会保险、社会福利等政策有效衔接，缩小救助标准城乡差距。引导社会组织、经营主体和慈善力量参与社会救助，形成对政府救助的有益补充。完善社会救助标准动态调整机制，确保城乡低保标准年度增速不低于上年度居民人均消费支出增速。</w:t>
      </w:r>
    </w:p>
    <w:p w14:paraId="048AE92A">
      <w:pPr>
        <w:ind w:firstLine="643"/>
        <w:rPr>
          <w:szCs w:val="28"/>
        </w:rPr>
      </w:pPr>
      <w:r>
        <w:rPr>
          <w:rFonts w:hint="eastAsia" w:ascii="仿宋_GB2312"/>
          <w:b/>
          <w:szCs w:val="28"/>
        </w:rPr>
        <w:t>优化专项社会事务管理服务水平。</w:t>
      </w:r>
      <w:r>
        <w:rPr>
          <w:rFonts w:hint="eastAsia"/>
          <w:szCs w:val="28"/>
        </w:rPr>
        <w:t>优化婚姻管理服务，加强对婚姻登记场所的规范化、便利化建设，深化婚俗改革，推进婚姻家庭辅导服务。完善殡葬事务管理机制，强化基本殡葬服务保障，逐步扩大基本殡葬服务覆盖范围，倡导推行生态安葬方式；巩固提升违建墓地专项整治成果，强化违建墓地长效治理工作，进一步推进殡葬移风易俗。健全完善慈善事业体制机制，创新慈善参与方式，激发社会慈善热情，稳步发展慈善事业、红十字事业。加强流浪乞讨人员救助管理，完善救助管理机构设施，建立跨区域救助协作机制，加大对生活无着流浪乞讨人员的主动救助力度。</w:t>
      </w:r>
    </w:p>
    <w:p w14:paraId="601F950C">
      <w:pPr>
        <w:ind w:firstLine="643"/>
        <w:rPr>
          <w:szCs w:val="28"/>
        </w:rPr>
      </w:pPr>
      <w:r>
        <w:rPr>
          <w:rFonts w:hint="eastAsia" w:ascii="仿宋_GB2312"/>
          <w:b/>
          <w:szCs w:val="28"/>
        </w:rPr>
        <w:t>推动房地产高质量发展。</w:t>
      </w:r>
      <w:r>
        <w:rPr>
          <w:rFonts w:hint="eastAsia"/>
          <w:szCs w:val="28"/>
        </w:rPr>
        <w:t>加大住房保障力度，逐步将符合条件的农牧民工纳入城镇住房保障范围，改善城镇中等偏下及以下收入住房困难家庭、新就业无房职工和城镇稳定就业的无房外来务工人员居住条件。持续推进城镇住房收入“双困”家庭公租房和租赁补贴保障。完善住房公积金制度，健全缴存、使用、管理和运行机制，稳步扩大住房公积金缴存面。保障农牧区住房安全，持续开展农牧区住房安全动态监测，对因灾、因病因意外导致住房安全隐患的家庭，及时实施危房改造或修缮加固。健全房地产市场平稳健康发展长效机制，规范房地产市场发展，推动房地产销售模式转型，因地制宜增加改善性住房供给，建设安全舒适绿色智慧的“好房子”，实施房屋品质提升工程和物业服务质量提升行动。</w:t>
      </w:r>
      <w:r>
        <w:rPr>
          <w:szCs w:val="28"/>
        </w:rPr>
        <w:br w:type="page"/>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4"/>
      </w:tblGrid>
      <w:tr w14:paraId="11E8D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36A5CE51">
            <w:pPr>
              <w:pStyle w:val="37"/>
              <w:spacing w:before="0" w:after="0"/>
              <w:ind w:firstLine="640"/>
            </w:pPr>
            <w:r>
              <w:rPr>
                <w:rFonts w:hint="eastAsia"/>
              </w:rPr>
              <w:t>民生保障建设工程</w:t>
            </w:r>
          </w:p>
        </w:tc>
      </w:tr>
      <w:tr w14:paraId="68BBA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34" w:type="dxa"/>
          </w:tcPr>
          <w:p w14:paraId="2C3CE688">
            <w:pPr>
              <w:pStyle w:val="38"/>
              <w:ind w:firstLine="562"/>
            </w:pPr>
            <w:r>
              <w:rPr>
                <w:rFonts w:hint="eastAsia"/>
                <w:b/>
                <w:bCs/>
              </w:rPr>
              <w:t>医疗卫生：</w:t>
            </w:r>
            <w:r>
              <w:rPr>
                <w:rFonts w:hint="eastAsia"/>
              </w:rPr>
              <w:t>莫旗中蒙医院提标扩能改扩建工程项目、莫旗县域紧密型医共体五大中心及附属工程建设项目、莫旗登特科镇卫生院业务用房及附属工程建设项目、莫旗塔温敖宝镇卫生院业务用房及附属建设项目、莫旗乡镇卫生院改扩建项目，莫旗21所基层医疗机构标准化发热诊室建设及医疗垃圾、污水处理改造工程，莫旗中蒙医院发热门诊楼改造（原人民医院传染病房）项目、莫旗医疗防控物资储备库项目、莫旗紧密型县域医共体信息化建设项目、莫旗紧密型县域医共体急诊急救项目、医疗设备更新项目，莫旗中蒙医院建设智慧医院、提升治未病中心、适宜技术推广中心项目（基础建设、设备），莫旗人民医院智慧医院建设项目、莫旗紧密型县域医共体智慧化中医（蒙医）建设项目。</w:t>
            </w:r>
          </w:p>
          <w:p w14:paraId="3764BADC">
            <w:pPr>
              <w:pStyle w:val="38"/>
              <w:ind w:firstLine="562"/>
            </w:pPr>
            <w:r>
              <w:rPr>
                <w:rFonts w:hint="eastAsia"/>
                <w:b/>
                <w:bCs/>
              </w:rPr>
              <w:t>“一老一小”：</w:t>
            </w:r>
            <w:r>
              <w:rPr>
                <w:rFonts w:hint="eastAsia"/>
              </w:rPr>
              <w:t>莫旗幼儿托育建设项目、莫旗妇幼保健计划生育服务中心关于儿童先心病初筛和儿童口腔科建设项目。</w:t>
            </w:r>
          </w:p>
          <w:p w14:paraId="2E616064">
            <w:pPr>
              <w:pStyle w:val="38"/>
              <w:ind w:firstLine="562"/>
            </w:pPr>
            <w:r>
              <w:rPr>
                <w:rFonts w:hint="eastAsia"/>
                <w:b/>
                <w:bCs/>
              </w:rPr>
              <w:t>殡葬：</w:t>
            </w:r>
            <w:r>
              <w:rPr>
                <w:rFonts w:hint="eastAsia"/>
              </w:rPr>
              <w:t>莫旗中心殡仪馆建设项目。</w:t>
            </w:r>
          </w:p>
        </w:tc>
      </w:tr>
    </w:tbl>
    <w:p w14:paraId="020F3AE7">
      <w:pPr>
        <w:ind w:firstLine="640"/>
        <w:sectPr>
          <w:pgSz w:w="11906" w:h="16838"/>
          <w:pgMar w:top="2098" w:right="1531" w:bottom="1984" w:left="1531" w:header="851" w:footer="992" w:gutter="0"/>
          <w:cols w:space="425" w:num="1"/>
          <w:docGrid w:type="lines" w:linePitch="312" w:charSpace="0"/>
        </w:sectPr>
      </w:pPr>
    </w:p>
    <w:p w14:paraId="1D536D49">
      <w:pPr>
        <w:pStyle w:val="4"/>
        <w:spacing w:before="312" w:after="312"/>
      </w:pPr>
      <w:bookmarkStart w:id="93" w:name="_Toc228206147"/>
      <w:r>
        <w:rPr>
          <w:rFonts w:hint="eastAsia"/>
        </w:rPr>
        <w:t>第十七章 强化实施保障，确保规划蓝图全面落实</w:t>
      </w:r>
      <w:bookmarkEnd w:id="93"/>
    </w:p>
    <w:p w14:paraId="24945A4C">
      <w:pPr>
        <w:ind w:firstLine="640"/>
        <w:rPr>
          <w:szCs w:val="28"/>
        </w:rPr>
      </w:pPr>
      <w:r>
        <w:rPr>
          <w:rFonts w:hint="eastAsia"/>
          <w:szCs w:val="28"/>
        </w:rPr>
        <w:t>围绕规划执行全过程，着力构建以党的领导为核心、以规划衔接为框架、以监测评估为抓手、以社会共识为基础的实施保障体系，确保各项目标任务分工明确、推进有序、监督有力，为规划全面落地见效提供坚实保障。</w:t>
      </w:r>
    </w:p>
    <w:p w14:paraId="6A58D8BE">
      <w:pPr>
        <w:pStyle w:val="5"/>
        <w:spacing w:before="156" w:after="156"/>
      </w:pPr>
      <w:bookmarkStart w:id="94" w:name="_Toc210923727"/>
      <w:bookmarkStart w:id="95" w:name="_Toc228206148"/>
      <w:r>
        <w:rPr>
          <w:rFonts w:hint="eastAsia"/>
        </w:rPr>
        <w:t>第一节 加强党的</w:t>
      </w:r>
      <w:bookmarkEnd w:id="94"/>
      <w:r>
        <w:rPr>
          <w:rFonts w:hint="eastAsia"/>
        </w:rPr>
        <w:t>全面领导</w:t>
      </w:r>
      <w:bookmarkEnd w:id="95"/>
    </w:p>
    <w:p w14:paraId="6D7FE7A2">
      <w:pPr>
        <w:ind w:firstLine="640"/>
      </w:pPr>
      <w:r>
        <w:rPr>
          <w:rFonts w:hint="eastAsia"/>
        </w:rPr>
        <w:t>坚决维护党中央权威和集中统一领导，持续用习近平新时代中国特色社会主义思想统一思想、统一意志、统一行动，始终在思想上政治上行动上同以习近平同志为核心的党中央保持高度一致。健全贯彻落实习近平总书记重要指示精神和党中央决策部署全链条、闭环式工作机制。全面推进各级各类巡视、巡察、督察、审计等反馈问题整改落实。全面加强干部队伍建设，强化教育培训和实践历练，推动干部大讲学习、深入调研、真抓实干、清正廉洁，增强推进现代化建设本领。深化“守望相助”党建品牌建设，发挥党员先锋模范作用。推进作风建设常态化长效化，锲而不舍贯彻中央八项规定精神，持续为基层松绑减负。加强新时代廉洁文化建设。深入贯彻“两个零容忍”重要要求，保持反腐败永远在路上的清醒坚定，一体推进不敢腐、不能腐、不想腐，净化政治生态，优化发展环境。</w:t>
      </w:r>
    </w:p>
    <w:p w14:paraId="5EE6204B">
      <w:pPr>
        <w:pStyle w:val="5"/>
        <w:spacing w:before="156" w:after="156"/>
      </w:pPr>
      <w:bookmarkStart w:id="96" w:name="_Toc228206149"/>
      <w:bookmarkStart w:id="97" w:name="_Toc210923728"/>
      <w:r>
        <w:rPr>
          <w:rFonts w:hint="eastAsia"/>
        </w:rPr>
        <w:t>第二节 全力推动规划落地实施</w:t>
      </w:r>
      <w:bookmarkEnd w:id="96"/>
    </w:p>
    <w:p w14:paraId="3D71D38F">
      <w:pPr>
        <w:ind w:firstLine="643"/>
        <w:rPr>
          <w:szCs w:val="28"/>
        </w:rPr>
      </w:pPr>
      <w:r>
        <w:rPr>
          <w:rFonts w:hint="eastAsia"/>
          <w:b/>
          <w:bCs/>
        </w:rPr>
        <w:t>健全规划体系</w:t>
      </w:r>
      <w:bookmarkEnd w:id="97"/>
      <w:r>
        <w:rPr>
          <w:rFonts w:hint="eastAsia"/>
          <w:b/>
          <w:bCs/>
        </w:rPr>
        <w:t>。</w:t>
      </w:r>
      <w:r>
        <w:rPr>
          <w:rFonts w:hint="eastAsia"/>
          <w:szCs w:val="28"/>
        </w:rPr>
        <w:t>主动对接并严格落实既有的顶层规划，构建定位清晰、功能互补、统一衔接的规划实施体系。强化空间保障支撑作用，以《莫旗国土空间总体规划（2021—2035年）》为重要依据和承载平台，严格落实生态保护红线、永久基本农田、城镇开发边界等空间管控要求，各类发展布局与项目选址必须符合国土空间规划，确保“十五五”规划确定的战略任务在空间上精准落地。加强专项规划衔接，确保专项规划与发展规划在主要目标、发展方向、重大项目安排上协调一致，并共同遵循国土空间规划的刚性约束。健全年度计划落实机制，明确年度工作重点、责任单位和进度要求，优先保障规划选址、土地供应和融资安排，有力支撑五年规划的整体实现。</w:t>
      </w:r>
    </w:p>
    <w:p w14:paraId="52CDE785">
      <w:pPr>
        <w:ind w:firstLine="643"/>
      </w:pPr>
      <w:r>
        <w:rPr>
          <w:rFonts w:hint="eastAsia"/>
          <w:b/>
          <w:bCs/>
        </w:rPr>
        <w:t>强化政策协同保障。</w:t>
      </w:r>
      <w:r>
        <w:rPr>
          <w:rFonts w:hint="eastAsia"/>
        </w:rPr>
        <w:t>坚持规划定方向、财政作保障、金融为支持、其他政策相协调，着力构建规划与各类政策协调联动机制。优化财政支出结构和政府投资结构，重点向社会民生、公共服务、生态环保等领域倾斜，积极争取上级资金支持。坚持项目跟着规划走、资金和要素跟着项目走，积极推进本规划提出的项目，在规划选址、土地供应和资金需求等方面给予保障。</w:t>
      </w:r>
    </w:p>
    <w:p w14:paraId="4037B999">
      <w:pPr>
        <w:ind w:firstLine="643"/>
        <w:rPr>
          <w:szCs w:val="28"/>
        </w:rPr>
      </w:pPr>
      <w:bookmarkStart w:id="98" w:name="_Toc210923729"/>
      <w:r>
        <w:rPr>
          <w:rFonts w:hint="eastAsia"/>
          <w:b/>
          <w:bCs/>
        </w:rPr>
        <w:t>强化评估考核</w:t>
      </w:r>
      <w:bookmarkEnd w:id="98"/>
      <w:r>
        <w:rPr>
          <w:rFonts w:hint="eastAsia"/>
          <w:b/>
          <w:bCs/>
        </w:rPr>
        <w:t>。</w:t>
      </w:r>
      <w:r>
        <w:rPr>
          <w:rFonts w:hint="eastAsia"/>
          <w:szCs w:val="28"/>
        </w:rPr>
        <w:t>加强监测评估，建立规划实施年度监测、中期评估和总结评估机制，构建涵盖主要指标、重点任务、重大项目完成情况的统计监测体系；引入第三方评估，增强评估的客观性和科学性；及时发现实施中的问题，提出对策建议。完善考核评价，将规划实施成效纳入各乡镇、各部门领导班子和领导干部绩效考核的重要内容；将考核结果作为干部选拔任用、评先评优的重要依据；建立重大项目跟踪督办机制，确保项目按时保质推进。实施动态调整，若国内外环境发生重大变化或国家、自治区、市重大政策调整，需对规划目标、任务进行调整时，由旗政府提出调整方案，按程序报请旗人民代表大会及其常务委员会批准，保持规划的严肃性和灵活性。</w:t>
      </w:r>
    </w:p>
    <w:sectPr>
      <w:pgSz w:w="11906" w:h="16838"/>
      <w:pgMar w:top="2098" w:right="1531" w:bottom="1984" w:left="153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A3767">
    <w:pPr>
      <w:pStyle w:val="14"/>
      <w:ind w:firstLine="560"/>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3AF709">
    <w:pPr>
      <w:pStyle w:val="14"/>
      <w:bidi/>
      <w:spacing w:before="120" w:after="120"/>
      <w:ind w:firstLine="5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ECF0B">
    <w:pPr>
      <w:pStyle w:val="14"/>
      <w:ind w:firstLine="560"/>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66202">
    <w:pPr>
      <w:pStyle w:val="14"/>
      <w:bidi/>
      <w:spacing w:before="120" w:after="120"/>
      <w:ind w:firstLine="560"/>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F8D76">
    <w:pPr>
      <w:pStyle w:val="14"/>
      <w:spacing w:before="120" w:after="120"/>
      <w:ind w:firstLine="560"/>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posOffset>5715</wp:posOffset>
              </wp:positionH>
              <wp:positionV relativeFrom="paragraph">
                <wp:posOffset>-154305</wp:posOffset>
              </wp:positionV>
              <wp:extent cx="831850" cy="377190"/>
              <wp:effectExtent l="0" t="0" r="6350" b="3810"/>
              <wp:wrapNone/>
              <wp:docPr id="3" name="文本框 3"/>
              <wp:cNvGraphicFramePr/>
              <a:graphic xmlns:a="http://schemas.openxmlformats.org/drawingml/2006/main">
                <a:graphicData uri="http://schemas.microsoft.com/office/word/2010/wordprocessingShape">
                  <wps:wsp>
                    <wps:cNvSpPr txBox="1"/>
                    <wps:spPr>
                      <a:xfrm>
                        <a:off x="0" y="0"/>
                        <a:ext cx="831850" cy="3771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D57E49">
                          <w:pPr>
                            <w:pStyle w:val="14"/>
                            <w:ind w:firstLine="0" w:firstLineChars="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0.45pt;margin-top:-12.15pt;height:29.7pt;width:65.5pt;mso-position-horizontal-relative:margin;z-index:251660288;mso-width-relative:page;mso-height-relative:page;" filled="f" stroked="f" coordsize="21600,21600" o:gfxdata="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15xAh1AAAAAcBAAAPAAAAAAAAAAEAIAAAACIAAABkcnMvZG93bnJldi54bWxQSwEC&#10;FAAUAAAACACHTuJAHiP0ojECAABVBAAADgAAAAAAAAABACAAAAAjAQAAZHJzL2Uyb0RvYy54bWxQ&#10;SwUGAAAAAAYABgBZAQAAxgUAAAAA&#10;">
              <v:fill on="f" focussize="0,0"/>
              <v:stroke on="f" weight="0.5pt"/>
              <v:imagedata o:title=""/>
              <o:lock v:ext="edit" aspectratio="f"/>
              <v:textbox inset="0mm,0mm,0mm,0mm">
                <w:txbxContent>
                  <w:p w14:paraId="5CD57E49">
                    <w:pPr>
                      <w:pStyle w:val="14"/>
                      <w:ind w:firstLine="0" w:firstLineChars="0"/>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5A1A1">
    <w:pPr>
      <w:pStyle w:val="14"/>
      <w:bidi/>
      <w:spacing w:before="120" w:after="120"/>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-226060</wp:posOffset>
              </wp:positionV>
              <wp:extent cx="1085215" cy="406400"/>
              <wp:effectExtent l="0" t="0" r="635" b="12700"/>
              <wp:wrapNone/>
              <wp:docPr id="2" name="文本框 2"/>
              <wp:cNvGraphicFramePr/>
              <a:graphic xmlns:a="http://schemas.openxmlformats.org/drawingml/2006/main">
                <a:graphicData uri="http://schemas.microsoft.com/office/word/2010/wordprocessingShape">
                  <wps:wsp>
                    <wps:cNvSpPr txBox="1"/>
                    <wps:spPr>
                      <a:xfrm>
                        <a:off x="0" y="0"/>
                        <a:ext cx="1085215" cy="406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044132">
                          <w:pPr>
                            <w:pStyle w:val="14"/>
                            <w:ind w:firstLine="560"/>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17.8pt;height:32pt;width:85.45pt;mso-position-horizontal:right;mso-position-horizontal-relative:margin;z-index:251659264;mso-width-relative:page;mso-height-relative:page;" filled="f" stroked="f" coordsize="21600,21600" o:gfxdata="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kb+J/1wAAAAcBAAAPAAAAAAAAAAEAIAAAACIAAABkcnMvZG93bnJldi54bWxQ&#10;SwECFAAUAAAACACHTuJAZ/GYDzECAABWBAAADgAAAAAAAAABACAAAAAmAQAAZHJzL2Uyb0RvYy54&#10;bWxQSwUGAAAAAAYABgBZAQAAyQUAAAAA&#10;">
              <v:fill on="f" focussize="0,0"/>
              <v:stroke on="f" weight="0.5pt"/>
              <v:imagedata o:title=""/>
              <o:lock v:ext="edit" aspectratio="f"/>
              <v:textbox inset="0mm,0mm,0mm,0mm">
                <w:txbxContent>
                  <w:p w14:paraId="02044132">
                    <w:pPr>
                      <w:pStyle w:val="14"/>
                      <w:ind w:firstLine="560"/>
                      <w:jc w:val="cente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B4CFB">
    <w:pPr>
      <w:pStyle w:val="15"/>
      <w:spacing w:before="120" w:after="12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D75DF">
    <w:pPr>
      <w:pStyle w:val="15"/>
      <w:spacing w:before="120" w:after="12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0C53E9"/>
    <w:multiLevelType w:val="multilevel"/>
    <w:tmpl w:val="440C53E9"/>
    <w:lvl w:ilvl="0" w:tentative="0">
      <w:start w:val="1"/>
      <w:numFmt w:val="decimal"/>
      <w:pStyle w:val="37"/>
      <w:suff w:val="space"/>
      <w:lvlText w:val="专栏%1"/>
      <w:lvlJc w:val="left"/>
      <w:pPr>
        <w:ind w:left="2849" w:hanging="440"/>
      </w:pPr>
      <w:rPr>
        <w:rFonts w:hint="eastAsia"/>
      </w:rPr>
    </w:lvl>
    <w:lvl w:ilvl="1" w:tentative="0">
      <w:start w:val="1"/>
      <w:numFmt w:val="lowerLetter"/>
      <w:lvlText w:val="%2)"/>
      <w:lvlJc w:val="left"/>
      <w:pPr>
        <w:ind w:left="880" w:hanging="440"/>
      </w:pPr>
      <w:rPr>
        <w:rFonts w:hint="eastAsia"/>
      </w:rPr>
    </w:lvl>
    <w:lvl w:ilvl="2" w:tentative="0">
      <w:start w:val="1"/>
      <w:numFmt w:val="lowerRoman"/>
      <w:lvlText w:val="%3."/>
      <w:lvlJc w:val="right"/>
      <w:pPr>
        <w:ind w:left="1320" w:hanging="440"/>
      </w:pPr>
      <w:rPr>
        <w:rFonts w:hint="eastAsia"/>
      </w:rPr>
    </w:lvl>
    <w:lvl w:ilvl="3" w:tentative="0">
      <w:start w:val="1"/>
      <w:numFmt w:val="decimal"/>
      <w:lvlText w:val="%4."/>
      <w:lvlJc w:val="left"/>
      <w:pPr>
        <w:ind w:left="1760" w:hanging="440"/>
      </w:pPr>
      <w:rPr>
        <w:rFonts w:hint="eastAsia"/>
      </w:rPr>
    </w:lvl>
    <w:lvl w:ilvl="4" w:tentative="0">
      <w:start w:val="1"/>
      <w:numFmt w:val="lowerLetter"/>
      <w:lvlText w:val="%5)"/>
      <w:lvlJc w:val="left"/>
      <w:pPr>
        <w:ind w:left="2200" w:hanging="440"/>
      </w:pPr>
      <w:rPr>
        <w:rFonts w:hint="eastAsia"/>
      </w:rPr>
    </w:lvl>
    <w:lvl w:ilvl="5" w:tentative="0">
      <w:start w:val="1"/>
      <w:numFmt w:val="lowerRoman"/>
      <w:lvlText w:val="%6."/>
      <w:lvlJc w:val="right"/>
      <w:pPr>
        <w:ind w:left="2640" w:hanging="440"/>
      </w:pPr>
      <w:rPr>
        <w:rFonts w:hint="eastAsia"/>
      </w:rPr>
    </w:lvl>
    <w:lvl w:ilvl="6" w:tentative="0">
      <w:start w:val="1"/>
      <w:numFmt w:val="decimal"/>
      <w:lvlText w:val="%7."/>
      <w:lvlJc w:val="left"/>
      <w:pPr>
        <w:ind w:left="3080" w:hanging="440"/>
      </w:pPr>
      <w:rPr>
        <w:rFonts w:hint="eastAsia"/>
      </w:rPr>
    </w:lvl>
    <w:lvl w:ilvl="7" w:tentative="0">
      <w:start w:val="1"/>
      <w:numFmt w:val="lowerLetter"/>
      <w:lvlText w:val="%8)"/>
      <w:lvlJc w:val="left"/>
      <w:pPr>
        <w:ind w:left="3520" w:hanging="440"/>
      </w:pPr>
      <w:rPr>
        <w:rFonts w:hint="eastAsia"/>
      </w:rPr>
    </w:lvl>
    <w:lvl w:ilvl="8" w:tentative="0">
      <w:start w:val="1"/>
      <w:numFmt w:val="lowerRoman"/>
      <w:lvlText w:val="%9."/>
      <w:lvlJc w:val="right"/>
      <w:pPr>
        <w:ind w:left="3960" w:hanging="44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evenAndOddHeaders w:val="1"/>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3B7B11"/>
    <w:rsid w:val="00002A31"/>
    <w:rsid w:val="0000399C"/>
    <w:rsid w:val="00010B88"/>
    <w:rsid w:val="00012933"/>
    <w:rsid w:val="00013512"/>
    <w:rsid w:val="0001366F"/>
    <w:rsid w:val="000145EF"/>
    <w:rsid w:val="000146D3"/>
    <w:rsid w:val="00014DA9"/>
    <w:rsid w:val="000170BD"/>
    <w:rsid w:val="00025668"/>
    <w:rsid w:val="00025B5E"/>
    <w:rsid w:val="00026466"/>
    <w:rsid w:val="00030259"/>
    <w:rsid w:val="00032E0E"/>
    <w:rsid w:val="000340AC"/>
    <w:rsid w:val="00034C39"/>
    <w:rsid w:val="00035CCA"/>
    <w:rsid w:val="00036854"/>
    <w:rsid w:val="0004066D"/>
    <w:rsid w:val="00051D8D"/>
    <w:rsid w:val="000606D4"/>
    <w:rsid w:val="0006072A"/>
    <w:rsid w:val="00061A09"/>
    <w:rsid w:val="00061F62"/>
    <w:rsid w:val="000638B7"/>
    <w:rsid w:val="00063CA0"/>
    <w:rsid w:val="000671FC"/>
    <w:rsid w:val="0007671F"/>
    <w:rsid w:val="000768B5"/>
    <w:rsid w:val="000777E2"/>
    <w:rsid w:val="00080742"/>
    <w:rsid w:val="00080E78"/>
    <w:rsid w:val="00081DED"/>
    <w:rsid w:val="00087FF4"/>
    <w:rsid w:val="00087FF5"/>
    <w:rsid w:val="00095CE0"/>
    <w:rsid w:val="00097D6B"/>
    <w:rsid w:val="000A1D31"/>
    <w:rsid w:val="000A1E6E"/>
    <w:rsid w:val="000A3868"/>
    <w:rsid w:val="000B240E"/>
    <w:rsid w:val="000B3A16"/>
    <w:rsid w:val="000B472C"/>
    <w:rsid w:val="000B50BD"/>
    <w:rsid w:val="000B59FD"/>
    <w:rsid w:val="000B5C99"/>
    <w:rsid w:val="000B6EC5"/>
    <w:rsid w:val="000C0021"/>
    <w:rsid w:val="000C227F"/>
    <w:rsid w:val="000C3223"/>
    <w:rsid w:val="000C4760"/>
    <w:rsid w:val="000D084B"/>
    <w:rsid w:val="000D228F"/>
    <w:rsid w:val="000D26AD"/>
    <w:rsid w:val="000D28F0"/>
    <w:rsid w:val="000E3DB0"/>
    <w:rsid w:val="000E751F"/>
    <w:rsid w:val="000E75F4"/>
    <w:rsid w:val="000F04F9"/>
    <w:rsid w:val="000F2BCF"/>
    <w:rsid w:val="000F2CAD"/>
    <w:rsid w:val="00103330"/>
    <w:rsid w:val="00103774"/>
    <w:rsid w:val="00110AA6"/>
    <w:rsid w:val="00110E98"/>
    <w:rsid w:val="0011164D"/>
    <w:rsid w:val="0011629D"/>
    <w:rsid w:val="0011699A"/>
    <w:rsid w:val="00117075"/>
    <w:rsid w:val="00121C10"/>
    <w:rsid w:val="00122E4D"/>
    <w:rsid w:val="001257D0"/>
    <w:rsid w:val="00126508"/>
    <w:rsid w:val="00132ABA"/>
    <w:rsid w:val="00132EBA"/>
    <w:rsid w:val="00136F48"/>
    <w:rsid w:val="00140256"/>
    <w:rsid w:val="00142414"/>
    <w:rsid w:val="0014551E"/>
    <w:rsid w:val="00155116"/>
    <w:rsid w:val="0016026D"/>
    <w:rsid w:val="001617DF"/>
    <w:rsid w:val="001639B2"/>
    <w:rsid w:val="00166775"/>
    <w:rsid w:val="0016708E"/>
    <w:rsid w:val="00170B45"/>
    <w:rsid w:val="0017237E"/>
    <w:rsid w:val="001749FD"/>
    <w:rsid w:val="001759D8"/>
    <w:rsid w:val="00177D7B"/>
    <w:rsid w:val="00177DF9"/>
    <w:rsid w:val="00180814"/>
    <w:rsid w:val="00181E34"/>
    <w:rsid w:val="00184C7E"/>
    <w:rsid w:val="00184C90"/>
    <w:rsid w:val="00185A04"/>
    <w:rsid w:val="00197258"/>
    <w:rsid w:val="001A212F"/>
    <w:rsid w:val="001A2C1D"/>
    <w:rsid w:val="001A42B4"/>
    <w:rsid w:val="001A6DE9"/>
    <w:rsid w:val="001B07F7"/>
    <w:rsid w:val="001B0F84"/>
    <w:rsid w:val="001B5DCD"/>
    <w:rsid w:val="001C4ACD"/>
    <w:rsid w:val="001C66CB"/>
    <w:rsid w:val="001D3539"/>
    <w:rsid w:val="001D43CE"/>
    <w:rsid w:val="001D6EA7"/>
    <w:rsid w:val="001D6F4D"/>
    <w:rsid w:val="001E0486"/>
    <w:rsid w:val="001E4520"/>
    <w:rsid w:val="001F0696"/>
    <w:rsid w:val="001F4BB9"/>
    <w:rsid w:val="00201B3E"/>
    <w:rsid w:val="00203E93"/>
    <w:rsid w:val="00205795"/>
    <w:rsid w:val="00211433"/>
    <w:rsid w:val="00213458"/>
    <w:rsid w:val="002179EA"/>
    <w:rsid w:val="00223996"/>
    <w:rsid w:val="00226BB4"/>
    <w:rsid w:val="00227F9A"/>
    <w:rsid w:val="00231017"/>
    <w:rsid w:val="00234160"/>
    <w:rsid w:val="00234291"/>
    <w:rsid w:val="002402CD"/>
    <w:rsid w:val="00240909"/>
    <w:rsid w:val="002617A4"/>
    <w:rsid w:val="00261FA4"/>
    <w:rsid w:val="00263C42"/>
    <w:rsid w:val="00264E44"/>
    <w:rsid w:val="00265248"/>
    <w:rsid w:val="0027004A"/>
    <w:rsid w:val="0027037C"/>
    <w:rsid w:val="00271B10"/>
    <w:rsid w:val="00280AB1"/>
    <w:rsid w:val="00284AF2"/>
    <w:rsid w:val="00285456"/>
    <w:rsid w:val="002915F8"/>
    <w:rsid w:val="00295AC9"/>
    <w:rsid w:val="00295D31"/>
    <w:rsid w:val="002A152C"/>
    <w:rsid w:val="002A6868"/>
    <w:rsid w:val="002B0C51"/>
    <w:rsid w:val="002B47E8"/>
    <w:rsid w:val="002B565C"/>
    <w:rsid w:val="002B5A38"/>
    <w:rsid w:val="002C489D"/>
    <w:rsid w:val="002C4DDB"/>
    <w:rsid w:val="002C5778"/>
    <w:rsid w:val="002C7657"/>
    <w:rsid w:val="002D0CF0"/>
    <w:rsid w:val="002D2824"/>
    <w:rsid w:val="002D4E15"/>
    <w:rsid w:val="002D7AD6"/>
    <w:rsid w:val="002E671A"/>
    <w:rsid w:val="002F05ED"/>
    <w:rsid w:val="002F3462"/>
    <w:rsid w:val="002F42F2"/>
    <w:rsid w:val="002F51B9"/>
    <w:rsid w:val="002F51CD"/>
    <w:rsid w:val="002F5763"/>
    <w:rsid w:val="00301D6E"/>
    <w:rsid w:val="0030462F"/>
    <w:rsid w:val="00305A2B"/>
    <w:rsid w:val="003069B9"/>
    <w:rsid w:val="00310059"/>
    <w:rsid w:val="00310EB1"/>
    <w:rsid w:val="00312E6F"/>
    <w:rsid w:val="0031359F"/>
    <w:rsid w:val="00316094"/>
    <w:rsid w:val="0032451F"/>
    <w:rsid w:val="00326AF2"/>
    <w:rsid w:val="003331B7"/>
    <w:rsid w:val="00333435"/>
    <w:rsid w:val="003416A3"/>
    <w:rsid w:val="0034209A"/>
    <w:rsid w:val="00342B41"/>
    <w:rsid w:val="0034408D"/>
    <w:rsid w:val="00346221"/>
    <w:rsid w:val="00351171"/>
    <w:rsid w:val="00360B3B"/>
    <w:rsid w:val="00360D7C"/>
    <w:rsid w:val="0036255C"/>
    <w:rsid w:val="00363CF2"/>
    <w:rsid w:val="003647C4"/>
    <w:rsid w:val="003650B4"/>
    <w:rsid w:val="00366A1D"/>
    <w:rsid w:val="00366B97"/>
    <w:rsid w:val="00366DBD"/>
    <w:rsid w:val="003719A8"/>
    <w:rsid w:val="003730AD"/>
    <w:rsid w:val="0037463E"/>
    <w:rsid w:val="00377868"/>
    <w:rsid w:val="003827F3"/>
    <w:rsid w:val="00382CD3"/>
    <w:rsid w:val="00392F63"/>
    <w:rsid w:val="0039393E"/>
    <w:rsid w:val="00394C78"/>
    <w:rsid w:val="00396C28"/>
    <w:rsid w:val="00397C17"/>
    <w:rsid w:val="003B3DDE"/>
    <w:rsid w:val="003B787A"/>
    <w:rsid w:val="003C212D"/>
    <w:rsid w:val="003C6F8D"/>
    <w:rsid w:val="003D1D6B"/>
    <w:rsid w:val="003D45AB"/>
    <w:rsid w:val="003D5FCC"/>
    <w:rsid w:val="003D75DC"/>
    <w:rsid w:val="003E1197"/>
    <w:rsid w:val="003E5088"/>
    <w:rsid w:val="003E5A7F"/>
    <w:rsid w:val="003E6D77"/>
    <w:rsid w:val="003E7BDB"/>
    <w:rsid w:val="003F60EE"/>
    <w:rsid w:val="004000AE"/>
    <w:rsid w:val="0040066D"/>
    <w:rsid w:val="00401577"/>
    <w:rsid w:val="004049DA"/>
    <w:rsid w:val="004100F5"/>
    <w:rsid w:val="00412BDB"/>
    <w:rsid w:val="0041728B"/>
    <w:rsid w:val="004213A6"/>
    <w:rsid w:val="00423ED1"/>
    <w:rsid w:val="004249C0"/>
    <w:rsid w:val="00431320"/>
    <w:rsid w:val="0043278F"/>
    <w:rsid w:val="00432852"/>
    <w:rsid w:val="004333CB"/>
    <w:rsid w:val="0043435A"/>
    <w:rsid w:val="0043744D"/>
    <w:rsid w:val="004406C8"/>
    <w:rsid w:val="00440756"/>
    <w:rsid w:val="00443858"/>
    <w:rsid w:val="00454851"/>
    <w:rsid w:val="00461A15"/>
    <w:rsid w:val="0046349B"/>
    <w:rsid w:val="00467613"/>
    <w:rsid w:val="00471ABF"/>
    <w:rsid w:val="00473384"/>
    <w:rsid w:val="00474D73"/>
    <w:rsid w:val="0047525A"/>
    <w:rsid w:val="00475D55"/>
    <w:rsid w:val="00481E29"/>
    <w:rsid w:val="00486636"/>
    <w:rsid w:val="00486A0B"/>
    <w:rsid w:val="00487763"/>
    <w:rsid w:val="0049396A"/>
    <w:rsid w:val="00494FC8"/>
    <w:rsid w:val="004A0420"/>
    <w:rsid w:val="004A0E28"/>
    <w:rsid w:val="004A1509"/>
    <w:rsid w:val="004A593A"/>
    <w:rsid w:val="004A70FB"/>
    <w:rsid w:val="004B4B6D"/>
    <w:rsid w:val="004B5A5D"/>
    <w:rsid w:val="004B5D52"/>
    <w:rsid w:val="004B64F3"/>
    <w:rsid w:val="004C396C"/>
    <w:rsid w:val="004C3F27"/>
    <w:rsid w:val="004C554F"/>
    <w:rsid w:val="004C57B3"/>
    <w:rsid w:val="004D07E2"/>
    <w:rsid w:val="004D4928"/>
    <w:rsid w:val="004D6BEF"/>
    <w:rsid w:val="004E09A0"/>
    <w:rsid w:val="004E17A2"/>
    <w:rsid w:val="004E20ED"/>
    <w:rsid w:val="004E3B53"/>
    <w:rsid w:val="004F1C3D"/>
    <w:rsid w:val="004F5365"/>
    <w:rsid w:val="004F564D"/>
    <w:rsid w:val="004F63E0"/>
    <w:rsid w:val="00504718"/>
    <w:rsid w:val="00507494"/>
    <w:rsid w:val="00510E3C"/>
    <w:rsid w:val="0051188D"/>
    <w:rsid w:val="00514341"/>
    <w:rsid w:val="0051578C"/>
    <w:rsid w:val="00515DFC"/>
    <w:rsid w:val="00516153"/>
    <w:rsid w:val="00516540"/>
    <w:rsid w:val="00522B71"/>
    <w:rsid w:val="00527222"/>
    <w:rsid w:val="005277C3"/>
    <w:rsid w:val="00527F64"/>
    <w:rsid w:val="00530C58"/>
    <w:rsid w:val="005325E6"/>
    <w:rsid w:val="005340B3"/>
    <w:rsid w:val="00534ABD"/>
    <w:rsid w:val="00535D95"/>
    <w:rsid w:val="00535E8D"/>
    <w:rsid w:val="00535EDA"/>
    <w:rsid w:val="005443DE"/>
    <w:rsid w:val="0054495A"/>
    <w:rsid w:val="005457F5"/>
    <w:rsid w:val="005529BE"/>
    <w:rsid w:val="0055572E"/>
    <w:rsid w:val="005560E4"/>
    <w:rsid w:val="00561B0C"/>
    <w:rsid w:val="005644BA"/>
    <w:rsid w:val="00567665"/>
    <w:rsid w:val="00567CDA"/>
    <w:rsid w:val="00571B5E"/>
    <w:rsid w:val="00575B23"/>
    <w:rsid w:val="0058160B"/>
    <w:rsid w:val="00583B39"/>
    <w:rsid w:val="00585090"/>
    <w:rsid w:val="00585734"/>
    <w:rsid w:val="0059066B"/>
    <w:rsid w:val="00590A20"/>
    <w:rsid w:val="0059193B"/>
    <w:rsid w:val="0059229A"/>
    <w:rsid w:val="00595928"/>
    <w:rsid w:val="0059786C"/>
    <w:rsid w:val="005A018C"/>
    <w:rsid w:val="005A2822"/>
    <w:rsid w:val="005A7FC3"/>
    <w:rsid w:val="005B1C2E"/>
    <w:rsid w:val="005B4EA9"/>
    <w:rsid w:val="005B55E1"/>
    <w:rsid w:val="005C0BE2"/>
    <w:rsid w:val="005C1022"/>
    <w:rsid w:val="005C68AA"/>
    <w:rsid w:val="005C695D"/>
    <w:rsid w:val="005D5C4A"/>
    <w:rsid w:val="005D6B74"/>
    <w:rsid w:val="005D6C50"/>
    <w:rsid w:val="005D74D8"/>
    <w:rsid w:val="005E36EE"/>
    <w:rsid w:val="005F03E1"/>
    <w:rsid w:val="005F0C2D"/>
    <w:rsid w:val="005F12A8"/>
    <w:rsid w:val="005F3F39"/>
    <w:rsid w:val="005F694F"/>
    <w:rsid w:val="006007B7"/>
    <w:rsid w:val="00600ED8"/>
    <w:rsid w:val="0060107E"/>
    <w:rsid w:val="006126E8"/>
    <w:rsid w:val="00612A7C"/>
    <w:rsid w:val="0061574C"/>
    <w:rsid w:val="006163E0"/>
    <w:rsid w:val="00617EA8"/>
    <w:rsid w:val="0062035B"/>
    <w:rsid w:val="0062254D"/>
    <w:rsid w:val="0062338C"/>
    <w:rsid w:val="006304D1"/>
    <w:rsid w:val="00630BB2"/>
    <w:rsid w:val="006327CB"/>
    <w:rsid w:val="00637842"/>
    <w:rsid w:val="00642BA7"/>
    <w:rsid w:val="00643B0A"/>
    <w:rsid w:val="00646DF7"/>
    <w:rsid w:val="00651E98"/>
    <w:rsid w:val="006562A6"/>
    <w:rsid w:val="00660A44"/>
    <w:rsid w:val="00661448"/>
    <w:rsid w:val="00667C7D"/>
    <w:rsid w:val="00671923"/>
    <w:rsid w:val="006724D6"/>
    <w:rsid w:val="00673D41"/>
    <w:rsid w:val="00674655"/>
    <w:rsid w:val="006769DE"/>
    <w:rsid w:val="006818ED"/>
    <w:rsid w:val="00686B1B"/>
    <w:rsid w:val="00690A8D"/>
    <w:rsid w:val="006A442C"/>
    <w:rsid w:val="006A7E5C"/>
    <w:rsid w:val="006B57A6"/>
    <w:rsid w:val="006B77D5"/>
    <w:rsid w:val="006C28FD"/>
    <w:rsid w:val="006C4AFB"/>
    <w:rsid w:val="006C68C6"/>
    <w:rsid w:val="006C71D5"/>
    <w:rsid w:val="006D2DB5"/>
    <w:rsid w:val="006D3AFB"/>
    <w:rsid w:val="006D441B"/>
    <w:rsid w:val="006D52DA"/>
    <w:rsid w:val="006D60E4"/>
    <w:rsid w:val="006D659E"/>
    <w:rsid w:val="006D65B4"/>
    <w:rsid w:val="006E1C05"/>
    <w:rsid w:val="006E5C93"/>
    <w:rsid w:val="006F26A1"/>
    <w:rsid w:val="006F424B"/>
    <w:rsid w:val="006F5F8C"/>
    <w:rsid w:val="006F653F"/>
    <w:rsid w:val="006F7A64"/>
    <w:rsid w:val="00710F7F"/>
    <w:rsid w:val="00711248"/>
    <w:rsid w:val="00711A27"/>
    <w:rsid w:val="007213BF"/>
    <w:rsid w:val="00730D2C"/>
    <w:rsid w:val="00731D21"/>
    <w:rsid w:val="007326F4"/>
    <w:rsid w:val="00733E38"/>
    <w:rsid w:val="00736492"/>
    <w:rsid w:val="007409A2"/>
    <w:rsid w:val="00741FCD"/>
    <w:rsid w:val="00743330"/>
    <w:rsid w:val="00744768"/>
    <w:rsid w:val="00746F5A"/>
    <w:rsid w:val="00750389"/>
    <w:rsid w:val="0076161F"/>
    <w:rsid w:val="00761A2E"/>
    <w:rsid w:val="00762121"/>
    <w:rsid w:val="00762372"/>
    <w:rsid w:val="00762941"/>
    <w:rsid w:val="007669E5"/>
    <w:rsid w:val="00767884"/>
    <w:rsid w:val="00772ECC"/>
    <w:rsid w:val="007774F9"/>
    <w:rsid w:val="00780104"/>
    <w:rsid w:val="0078358F"/>
    <w:rsid w:val="00786DBB"/>
    <w:rsid w:val="00787E85"/>
    <w:rsid w:val="00790F4E"/>
    <w:rsid w:val="00795AF6"/>
    <w:rsid w:val="007A5500"/>
    <w:rsid w:val="007A6BE2"/>
    <w:rsid w:val="007A753A"/>
    <w:rsid w:val="007B2BF4"/>
    <w:rsid w:val="007C23C8"/>
    <w:rsid w:val="007C2622"/>
    <w:rsid w:val="007C4040"/>
    <w:rsid w:val="007C5B49"/>
    <w:rsid w:val="007C6487"/>
    <w:rsid w:val="007D0450"/>
    <w:rsid w:val="007D06D7"/>
    <w:rsid w:val="007D3834"/>
    <w:rsid w:val="007D3906"/>
    <w:rsid w:val="007D39B7"/>
    <w:rsid w:val="007D4554"/>
    <w:rsid w:val="007D49ED"/>
    <w:rsid w:val="007E0AED"/>
    <w:rsid w:val="007E147B"/>
    <w:rsid w:val="007E1DED"/>
    <w:rsid w:val="007E38DC"/>
    <w:rsid w:val="007E6A35"/>
    <w:rsid w:val="007F58AA"/>
    <w:rsid w:val="0080730B"/>
    <w:rsid w:val="00807E19"/>
    <w:rsid w:val="008140CC"/>
    <w:rsid w:val="00815A8E"/>
    <w:rsid w:val="00815D26"/>
    <w:rsid w:val="008224A0"/>
    <w:rsid w:val="00822B64"/>
    <w:rsid w:val="00823DC8"/>
    <w:rsid w:val="00826D1B"/>
    <w:rsid w:val="008273FF"/>
    <w:rsid w:val="00830BD8"/>
    <w:rsid w:val="00832C53"/>
    <w:rsid w:val="00837066"/>
    <w:rsid w:val="008372FA"/>
    <w:rsid w:val="00843B9A"/>
    <w:rsid w:val="008450F1"/>
    <w:rsid w:val="008501E8"/>
    <w:rsid w:val="0085237B"/>
    <w:rsid w:val="008618BB"/>
    <w:rsid w:val="0086479E"/>
    <w:rsid w:val="00864DD6"/>
    <w:rsid w:val="0087491A"/>
    <w:rsid w:val="0087586E"/>
    <w:rsid w:val="0088605B"/>
    <w:rsid w:val="00886E10"/>
    <w:rsid w:val="00890FD3"/>
    <w:rsid w:val="00893FE1"/>
    <w:rsid w:val="00894CD8"/>
    <w:rsid w:val="008958B3"/>
    <w:rsid w:val="00895F08"/>
    <w:rsid w:val="008A1AAC"/>
    <w:rsid w:val="008A20F6"/>
    <w:rsid w:val="008A3C99"/>
    <w:rsid w:val="008A3DCC"/>
    <w:rsid w:val="008A6080"/>
    <w:rsid w:val="008B1890"/>
    <w:rsid w:val="008B2E29"/>
    <w:rsid w:val="008B3C89"/>
    <w:rsid w:val="008B531C"/>
    <w:rsid w:val="008C487F"/>
    <w:rsid w:val="008C4A25"/>
    <w:rsid w:val="008D2DD1"/>
    <w:rsid w:val="008D3C64"/>
    <w:rsid w:val="008D647D"/>
    <w:rsid w:val="008E007D"/>
    <w:rsid w:val="008E23F2"/>
    <w:rsid w:val="008E2C39"/>
    <w:rsid w:val="008E464E"/>
    <w:rsid w:val="008E50FA"/>
    <w:rsid w:val="008E71AF"/>
    <w:rsid w:val="008F428B"/>
    <w:rsid w:val="008F5CA9"/>
    <w:rsid w:val="008F7084"/>
    <w:rsid w:val="00910BA0"/>
    <w:rsid w:val="0092141C"/>
    <w:rsid w:val="00925C6B"/>
    <w:rsid w:val="00927D44"/>
    <w:rsid w:val="00934340"/>
    <w:rsid w:val="00936F2D"/>
    <w:rsid w:val="00941E0A"/>
    <w:rsid w:val="0094281F"/>
    <w:rsid w:val="00944CC6"/>
    <w:rsid w:val="009464E6"/>
    <w:rsid w:val="009464EE"/>
    <w:rsid w:val="00947CB9"/>
    <w:rsid w:val="009502B9"/>
    <w:rsid w:val="00953D0C"/>
    <w:rsid w:val="00953DBE"/>
    <w:rsid w:val="00955A10"/>
    <w:rsid w:val="00960028"/>
    <w:rsid w:val="009605D0"/>
    <w:rsid w:val="00962119"/>
    <w:rsid w:val="00962AA4"/>
    <w:rsid w:val="00963935"/>
    <w:rsid w:val="00964C56"/>
    <w:rsid w:val="00967BB3"/>
    <w:rsid w:val="009744B0"/>
    <w:rsid w:val="00977262"/>
    <w:rsid w:val="009843E7"/>
    <w:rsid w:val="00984480"/>
    <w:rsid w:val="00984F30"/>
    <w:rsid w:val="009852E5"/>
    <w:rsid w:val="009853C7"/>
    <w:rsid w:val="00986574"/>
    <w:rsid w:val="009874FF"/>
    <w:rsid w:val="00987545"/>
    <w:rsid w:val="00987C9E"/>
    <w:rsid w:val="00994A18"/>
    <w:rsid w:val="00996AFB"/>
    <w:rsid w:val="009A3357"/>
    <w:rsid w:val="009B44AC"/>
    <w:rsid w:val="009B4960"/>
    <w:rsid w:val="009D642E"/>
    <w:rsid w:val="009D7104"/>
    <w:rsid w:val="009D7FA1"/>
    <w:rsid w:val="009E0159"/>
    <w:rsid w:val="009E36E4"/>
    <w:rsid w:val="009E3E3D"/>
    <w:rsid w:val="009E62C2"/>
    <w:rsid w:val="009E67C6"/>
    <w:rsid w:val="009F128D"/>
    <w:rsid w:val="009F2A63"/>
    <w:rsid w:val="009F3580"/>
    <w:rsid w:val="009F5328"/>
    <w:rsid w:val="00A00BDC"/>
    <w:rsid w:val="00A0778A"/>
    <w:rsid w:val="00A10575"/>
    <w:rsid w:val="00A11A3F"/>
    <w:rsid w:val="00A133F6"/>
    <w:rsid w:val="00A139FA"/>
    <w:rsid w:val="00A16C9D"/>
    <w:rsid w:val="00A23AED"/>
    <w:rsid w:val="00A36679"/>
    <w:rsid w:val="00A37481"/>
    <w:rsid w:val="00A37F88"/>
    <w:rsid w:val="00A40387"/>
    <w:rsid w:val="00A43242"/>
    <w:rsid w:val="00A44546"/>
    <w:rsid w:val="00A46075"/>
    <w:rsid w:val="00A47FC5"/>
    <w:rsid w:val="00A50BED"/>
    <w:rsid w:val="00A568A5"/>
    <w:rsid w:val="00A64EF6"/>
    <w:rsid w:val="00A66808"/>
    <w:rsid w:val="00A732C1"/>
    <w:rsid w:val="00A7398D"/>
    <w:rsid w:val="00A74CB5"/>
    <w:rsid w:val="00A756FC"/>
    <w:rsid w:val="00A80C71"/>
    <w:rsid w:val="00A82900"/>
    <w:rsid w:val="00A834A7"/>
    <w:rsid w:val="00A862A5"/>
    <w:rsid w:val="00A907F2"/>
    <w:rsid w:val="00A91514"/>
    <w:rsid w:val="00A9390F"/>
    <w:rsid w:val="00AA2F30"/>
    <w:rsid w:val="00AA769D"/>
    <w:rsid w:val="00AB60CC"/>
    <w:rsid w:val="00AC1B75"/>
    <w:rsid w:val="00AC1D75"/>
    <w:rsid w:val="00AC489A"/>
    <w:rsid w:val="00AC5912"/>
    <w:rsid w:val="00AC5A40"/>
    <w:rsid w:val="00AD08B1"/>
    <w:rsid w:val="00AD0BE8"/>
    <w:rsid w:val="00AD38A9"/>
    <w:rsid w:val="00AD5B89"/>
    <w:rsid w:val="00AD5C16"/>
    <w:rsid w:val="00AD6060"/>
    <w:rsid w:val="00AD618B"/>
    <w:rsid w:val="00AE18E1"/>
    <w:rsid w:val="00AE1E67"/>
    <w:rsid w:val="00AE2B85"/>
    <w:rsid w:val="00AE3BAB"/>
    <w:rsid w:val="00AE44CD"/>
    <w:rsid w:val="00AE4E5E"/>
    <w:rsid w:val="00AE6289"/>
    <w:rsid w:val="00AE7691"/>
    <w:rsid w:val="00AF7FC2"/>
    <w:rsid w:val="00B015FB"/>
    <w:rsid w:val="00B074F7"/>
    <w:rsid w:val="00B15507"/>
    <w:rsid w:val="00B17300"/>
    <w:rsid w:val="00B17AC0"/>
    <w:rsid w:val="00B21A26"/>
    <w:rsid w:val="00B24BEB"/>
    <w:rsid w:val="00B2747E"/>
    <w:rsid w:val="00B3242F"/>
    <w:rsid w:val="00B33B52"/>
    <w:rsid w:val="00B34EFB"/>
    <w:rsid w:val="00B40B27"/>
    <w:rsid w:val="00B47EBB"/>
    <w:rsid w:val="00B50631"/>
    <w:rsid w:val="00B579CA"/>
    <w:rsid w:val="00B614D8"/>
    <w:rsid w:val="00B730D8"/>
    <w:rsid w:val="00B7695F"/>
    <w:rsid w:val="00B82038"/>
    <w:rsid w:val="00B84D63"/>
    <w:rsid w:val="00B8733E"/>
    <w:rsid w:val="00B944DE"/>
    <w:rsid w:val="00B97FF6"/>
    <w:rsid w:val="00BA2358"/>
    <w:rsid w:val="00BA3475"/>
    <w:rsid w:val="00BA4AC8"/>
    <w:rsid w:val="00BA63A1"/>
    <w:rsid w:val="00BA6A0E"/>
    <w:rsid w:val="00BA71BE"/>
    <w:rsid w:val="00BA76D6"/>
    <w:rsid w:val="00BB0165"/>
    <w:rsid w:val="00BB2245"/>
    <w:rsid w:val="00BC6A4B"/>
    <w:rsid w:val="00BD002D"/>
    <w:rsid w:val="00BD042D"/>
    <w:rsid w:val="00BD2553"/>
    <w:rsid w:val="00BD2587"/>
    <w:rsid w:val="00BD455E"/>
    <w:rsid w:val="00BD794C"/>
    <w:rsid w:val="00BE3416"/>
    <w:rsid w:val="00BE50FE"/>
    <w:rsid w:val="00BE70D8"/>
    <w:rsid w:val="00BE7774"/>
    <w:rsid w:val="00BE7B4E"/>
    <w:rsid w:val="00BF01A4"/>
    <w:rsid w:val="00BF30F3"/>
    <w:rsid w:val="00BF44EA"/>
    <w:rsid w:val="00BF4536"/>
    <w:rsid w:val="00BF529E"/>
    <w:rsid w:val="00BF64B8"/>
    <w:rsid w:val="00BF6641"/>
    <w:rsid w:val="00BF7C8B"/>
    <w:rsid w:val="00C05B35"/>
    <w:rsid w:val="00C12ABE"/>
    <w:rsid w:val="00C13886"/>
    <w:rsid w:val="00C1482B"/>
    <w:rsid w:val="00C15F7B"/>
    <w:rsid w:val="00C21766"/>
    <w:rsid w:val="00C24A13"/>
    <w:rsid w:val="00C3061B"/>
    <w:rsid w:val="00C3158E"/>
    <w:rsid w:val="00C33B05"/>
    <w:rsid w:val="00C36CFD"/>
    <w:rsid w:val="00C521E9"/>
    <w:rsid w:val="00C52B60"/>
    <w:rsid w:val="00C531E4"/>
    <w:rsid w:val="00C53CC3"/>
    <w:rsid w:val="00C54E78"/>
    <w:rsid w:val="00C5650F"/>
    <w:rsid w:val="00C64C91"/>
    <w:rsid w:val="00C660EC"/>
    <w:rsid w:val="00C6728F"/>
    <w:rsid w:val="00C735FD"/>
    <w:rsid w:val="00C74E76"/>
    <w:rsid w:val="00C77555"/>
    <w:rsid w:val="00C85FEE"/>
    <w:rsid w:val="00C86403"/>
    <w:rsid w:val="00C87A50"/>
    <w:rsid w:val="00C91891"/>
    <w:rsid w:val="00C92E61"/>
    <w:rsid w:val="00C9670B"/>
    <w:rsid w:val="00C97DA6"/>
    <w:rsid w:val="00CA14F2"/>
    <w:rsid w:val="00CA1E93"/>
    <w:rsid w:val="00CA48D8"/>
    <w:rsid w:val="00CA4BFD"/>
    <w:rsid w:val="00CB0071"/>
    <w:rsid w:val="00CB03E8"/>
    <w:rsid w:val="00CB6BB0"/>
    <w:rsid w:val="00CB6D96"/>
    <w:rsid w:val="00CC2AA2"/>
    <w:rsid w:val="00CC3A9F"/>
    <w:rsid w:val="00CC69C7"/>
    <w:rsid w:val="00CC7C7C"/>
    <w:rsid w:val="00CD33A3"/>
    <w:rsid w:val="00CD5247"/>
    <w:rsid w:val="00CD6F5A"/>
    <w:rsid w:val="00CE26F6"/>
    <w:rsid w:val="00CE5565"/>
    <w:rsid w:val="00CF225B"/>
    <w:rsid w:val="00D01A82"/>
    <w:rsid w:val="00D02435"/>
    <w:rsid w:val="00D02E59"/>
    <w:rsid w:val="00D04DF9"/>
    <w:rsid w:val="00D05A93"/>
    <w:rsid w:val="00D060AC"/>
    <w:rsid w:val="00D1381D"/>
    <w:rsid w:val="00D14C8A"/>
    <w:rsid w:val="00D22171"/>
    <w:rsid w:val="00D23787"/>
    <w:rsid w:val="00D24767"/>
    <w:rsid w:val="00D24B19"/>
    <w:rsid w:val="00D32CA7"/>
    <w:rsid w:val="00D36AFA"/>
    <w:rsid w:val="00D47CF0"/>
    <w:rsid w:val="00D51478"/>
    <w:rsid w:val="00D55AA8"/>
    <w:rsid w:val="00D6057C"/>
    <w:rsid w:val="00D62291"/>
    <w:rsid w:val="00D624B1"/>
    <w:rsid w:val="00D63BCA"/>
    <w:rsid w:val="00D657E4"/>
    <w:rsid w:val="00D67334"/>
    <w:rsid w:val="00D67EB0"/>
    <w:rsid w:val="00D71A9E"/>
    <w:rsid w:val="00D76450"/>
    <w:rsid w:val="00D769D1"/>
    <w:rsid w:val="00DA0872"/>
    <w:rsid w:val="00DA1A42"/>
    <w:rsid w:val="00DA4D34"/>
    <w:rsid w:val="00DB3A97"/>
    <w:rsid w:val="00DB4386"/>
    <w:rsid w:val="00DB76AE"/>
    <w:rsid w:val="00DC015F"/>
    <w:rsid w:val="00DC10B8"/>
    <w:rsid w:val="00DC1617"/>
    <w:rsid w:val="00DC42C7"/>
    <w:rsid w:val="00DC6086"/>
    <w:rsid w:val="00DC6A38"/>
    <w:rsid w:val="00DC713F"/>
    <w:rsid w:val="00DC7BE1"/>
    <w:rsid w:val="00DD31D0"/>
    <w:rsid w:val="00DD3D3F"/>
    <w:rsid w:val="00DD7AB8"/>
    <w:rsid w:val="00DD7BC4"/>
    <w:rsid w:val="00DE033C"/>
    <w:rsid w:val="00DF39A7"/>
    <w:rsid w:val="00DF4564"/>
    <w:rsid w:val="00DF5655"/>
    <w:rsid w:val="00E0061C"/>
    <w:rsid w:val="00E00C57"/>
    <w:rsid w:val="00E01E51"/>
    <w:rsid w:val="00E03300"/>
    <w:rsid w:val="00E05AF9"/>
    <w:rsid w:val="00E06CF7"/>
    <w:rsid w:val="00E074E1"/>
    <w:rsid w:val="00E101E2"/>
    <w:rsid w:val="00E12175"/>
    <w:rsid w:val="00E148A8"/>
    <w:rsid w:val="00E20E07"/>
    <w:rsid w:val="00E21E0D"/>
    <w:rsid w:val="00E2434F"/>
    <w:rsid w:val="00E25C2F"/>
    <w:rsid w:val="00E3121D"/>
    <w:rsid w:val="00E33E94"/>
    <w:rsid w:val="00E36D85"/>
    <w:rsid w:val="00E41C6A"/>
    <w:rsid w:val="00E41EB4"/>
    <w:rsid w:val="00E44974"/>
    <w:rsid w:val="00E574B3"/>
    <w:rsid w:val="00E65874"/>
    <w:rsid w:val="00E72538"/>
    <w:rsid w:val="00E76DC2"/>
    <w:rsid w:val="00E808EE"/>
    <w:rsid w:val="00E82714"/>
    <w:rsid w:val="00E91678"/>
    <w:rsid w:val="00E92BCB"/>
    <w:rsid w:val="00E92F55"/>
    <w:rsid w:val="00EA5B6D"/>
    <w:rsid w:val="00EA5CAE"/>
    <w:rsid w:val="00EB6173"/>
    <w:rsid w:val="00EB6DAB"/>
    <w:rsid w:val="00EB7D5B"/>
    <w:rsid w:val="00EC124D"/>
    <w:rsid w:val="00EC3D34"/>
    <w:rsid w:val="00EC75E2"/>
    <w:rsid w:val="00ED079D"/>
    <w:rsid w:val="00ED3CC3"/>
    <w:rsid w:val="00ED40AD"/>
    <w:rsid w:val="00ED49C4"/>
    <w:rsid w:val="00EE06D6"/>
    <w:rsid w:val="00EE0853"/>
    <w:rsid w:val="00EE342B"/>
    <w:rsid w:val="00EE48EF"/>
    <w:rsid w:val="00EE4DBA"/>
    <w:rsid w:val="00EE72FD"/>
    <w:rsid w:val="00EF050D"/>
    <w:rsid w:val="00EF10C0"/>
    <w:rsid w:val="00F06EA4"/>
    <w:rsid w:val="00F078B4"/>
    <w:rsid w:val="00F11664"/>
    <w:rsid w:val="00F1709B"/>
    <w:rsid w:val="00F17A7A"/>
    <w:rsid w:val="00F2629F"/>
    <w:rsid w:val="00F35918"/>
    <w:rsid w:val="00F36296"/>
    <w:rsid w:val="00F41DAB"/>
    <w:rsid w:val="00F42044"/>
    <w:rsid w:val="00F44BF1"/>
    <w:rsid w:val="00F45D3C"/>
    <w:rsid w:val="00F5024B"/>
    <w:rsid w:val="00F505CB"/>
    <w:rsid w:val="00F51E98"/>
    <w:rsid w:val="00F52C2E"/>
    <w:rsid w:val="00F53AD0"/>
    <w:rsid w:val="00F55689"/>
    <w:rsid w:val="00F57A51"/>
    <w:rsid w:val="00F6565B"/>
    <w:rsid w:val="00F72E3E"/>
    <w:rsid w:val="00F7524C"/>
    <w:rsid w:val="00F7596D"/>
    <w:rsid w:val="00F767E4"/>
    <w:rsid w:val="00F80BA7"/>
    <w:rsid w:val="00F8441A"/>
    <w:rsid w:val="00F84FBE"/>
    <w:rsid w:val="00F94B13"/>
    <w:rsid w:val="00FA26A5"/>
    <w:rsid w:val="00FA30E0"/>
    <w:rsid w:val="00FB02FF"/>
    <w:rsid w:val="00FB26DF"/>
    <w:rsid w:val="00FB7291"/>
    <w:rsid w:val="00FC2B7E"/>
    <w:rsid w:val="00FC2D59"/>
    <w:rsid w:val="00FC7F52"/>
    <w:rsid w:val="00FD21FF"/>
    <w:rsid w:val="00FD29B9"/>
    <w:rsid w:val="00FD792E"/>
    <w:rsid w:val="00FE4D6C"/>
    <w:rsid w:val="00FE4E3F"/>
    <w:rsid w:val="00FF23D8"/>
    <w:rsid w:val="01C74781"/>
    <w:rsid w:val="01D2205C"/>
    <w:rsid w:val="01F21292"/>
    <w:rsid w:val="02DC548F"/>
    <w:rsid w:val="03E42D32"/>
    <w:rsid w:val="03EF5EB9"/>
    <w:rsid w:val="043E79FF"/>
    <w:rsid w:val="04422ED8"/>
    <w:rsid w:val="04B912B5"/>
    <w:rsid w:val="04E62E18"/>
    <w:rsid w:val="05962A91"/>
    <w:rsid w:val="05D0217F"/>
    <w:rsid w:val="05E355AA"/>
    <w:rsid w:val="061522DB"/>
    <w:rsid w:val="062736E9"/>
    <w:rsid w:val="06615B03"/>
    <w:rsid w:val="06B34F7C"/>
    <w:rsid w:val="0717375D"/>
    <w:rsid w:val="078335D5"/>
    <w:rsid w:val="07935DE5"/>
    <w:rsid w:val="07EED4F2"/>
    <w:rsid w:val="08B54035"/>
    <w:rsid w:val="08D85692"/>
    <w:rsid w:val="094B5940"/>
    <w:rsid w:val="09B47989"/>
    <w:rsid w:val="09CF031F"/>
    <w:rsid w:val="0A170C9F"/>
    <w:rsid w:val="0B0C10FF"/>
    <w:rsid w:val="0E455054"/>
    <w:rsid w:val="0EBD5D4C"/>
    <w:rsid w:val="0ED62150"/>
    <w:rsid w:val="0F5D2ECD"/>
    <w:rsid w:val="0F925D3F"/>
    <w:rsid w:val="0FFC373E"/>
    <w:rsid w:val="1001144E"/>
    <w:rsid w:val="10583751"/>
    <w:rsid w:val="10661AAC"/>
    <w:rsid w:val="10B71B0D"/>
    <w:rsid w:val="10CA1840"/>
    <w:rsid w:val="11C95F9C"/>
    <w:rsid w:val="127A2EC5"/>
    <w:rsid w:val="12BE3627"/>
    <w:rsid w:val="140B2B16"/>
    <w:rsid w:val="14125749"/>
    <w:rsid w:val="143811B7"/>
    <w:rsid w:val="147F11DC"/>
    <w:rsid w:val="14CE48D5"/>
    <w:rsid w:val="151C63E2"/>
    <w:rsid w:val="15707C4A"/>
    <w:rsid w:val="158226E9"/>
    <w:rsid w:val="16111742"/>
    <w:rsid w:val="166059DC"/>
    <w:rsid w:val="16895D67"/>
    <w:rsid w:val="169D3553"/>
    <w:rsid w:val="16C46D32"/>
    <w:rsid w:val="16CF5E02"/>
    <w:rsid w:val="17602EFE"/>
    <w:rsid w:val="18532FFB"/>
    <w:rsid w:val="18974A79"/>
    <w:rsid w:val="18ED07C2"/>
    <w:rsid w:val="19102702"/>
    <w:rsid w:val="192859B8"/>
    <w:rsid w:val="194128BC"/>
    <w:rsid w:val="197832BB"/>
    <w:rsid w:val="19805192"/>
    <w:rsid w:val="1A4D2B7A"/>
    <w:rsid w:val="1A693E78"/>
    <w:rsid w:val="1B2E0C1E"/>
    <w:rsid w:val="1B6052B5"/>
    <w:rsid w:val="1B666609"/>
    <w:rsid w:val="1B6C77F9"/>
    <w:rsid w:val="1B974A15"/>
    <w:rsid w:val="1BAE584D"/>
    <w:rsid w:val="1C0F0A4F"/>
    <w:rsid w:val="1C0F3C96"/>
    <w:rsid w:val="1C450915"/>
    <w:rsid w:val="1C776FFB"/>
    <w:rsid w:val="1CDC6AC3"/>
    <w:rsid w:val="1CFE07D0"/>
    <w:rsid w:val="1D0F39CD"/>
    <w:rsid w:val="1DF32705"/>
    <w:rsid w:val="1E075E82"/>
    <w:rsid w:val="1F264A2D"/>
    <w:rsid w:val="1FD44489"/>
    <w:rsid w:val="20034B46"/>
    <w:rsid w:val="20AD0837"/>
    <w:rsid w:val="212A1E87"/>
    <w:rsid w:val="2183446C"/>
    <w:rsid w:val="220F51CB"/>
    <w:rsid w:val="223E3E3C"/>
    <w:rsid w:val="22892B49"/>
    <w:rsid w:val="22B343FA"/>
    <w:rsid w:val="22B73DF3"/>
    <w:rsid w:val="23270D74"/>
    <w:rsid w:val="23384A2A"/>
    <w:rsid w:val="24256250"/>
    <w:rsid w:val="24A4042D"/>
    <w:rsid w:val="25025B44"/>
    <w:rsid w:val="25B763DF"/>
    <w:rsid w:val="263A1C3A"/>
    <w:rsid w:val="266951A2"/>
    <w:rsid w:val="26793695"/>
    <w:rsid w:val="26C2328E"/>
    <w:rsid w:val="27191F7D"/>
    <w:rsid w:val="279D7857"/>
    <w:rsid w:val="27E0443B"/>
    <w:rsid w:val="28246CCB"/>
    <w:rsid w:val="287C1BAA"/>
    <w:rsid w:val="28EF40E2"/>
    <w:rsid w:val="294F2DD3"/>
    <w:rsid w:val="295959FF"/>
    <w:rsid w:val="29DF15BE"/>
    <w:rsid w:val="29DF375F"/>
    <w:rsid w:val="2ABE34FC"/>
    <w:rsid w:val="2ADD5C2E"/>
    <w:rsid w:val="2C4B2398"/>
    <w:rsid w:val="2C744156"/>
    <w:rsid w:val="2C9C1E8B"/>
    <w:rsid w:val="2D0C3CF4"/>
    <w:rsid w:val="2EB55486"/>
    <w:rsid w:val="2F0F41F7"/>
    <w:rsid w:val="2FA86D99"/>
    <w:rsid w:val="2FE57FED"/>
    <w:rsid w:val="305D7B83"/>
    <w:rsid w:val="30EC4F3C"/>
    <w:rsid w:val="30F9749C"/>
    <w:rsid w:val="31C854D0"/>
    <w:rsid w:val="325925CC"/>
    <w:rsid w:val="32C55B14"/>
    <w:rsid w:val="32F77862"/>
    <w:rsid w:val="332B5883"/>
    <w:rsid w:val="335D0251"/>
    <w:rsid w:val="36546526"/>
    <w:rsid w:val="36800556"/>
    <w:rsid w:val="369E2CA4"/>
    <w:rsid w:val="373830F8"/>
    <w:rsid w:val="377251FC"/>
    <w:rsid w:val="37BA4E4D"/>
    <w:rsid w:val="3870241E"/>
    <w:rsid w:val="38C67D33"/>
    <w:rsid w:val="39BA072A"/>
    <w:rsid w:val="3A173499"/>
    <w:rsid w:val="3AE83A19"/>
    <w:rsid w:val="3C073099"/>
    <w:rsid w:val="3C4542ED"/>
    <w:rsid w:val="3C5F407D"/>
    <w:rsid w:val="3D6E1622"/>
    <w:rsid w:val="3DBB3A7F"/>
    <w:rsid w:val="3DC6585A"/>
    <w:rsid w:val="3DE93370"/>
    <w:rsid w:val="3E5325C6"/>
    <w:rsid w:val="3E7940FA"/>
    <w:rsid w:val="4027616E"/>
    <w:rsid w:val="40713247"/>
    <w:rsid w:val="40950108"/>
    <w:rsid w:val="40DF3CEB"/>
    <w:rsid w:val="410D4CAE"/>
    <w:rsid w:val="42460F98"/>
    <w:rsid w:val="427174BE"/>
    <w:rsid w:val="43086074"/>
    <w:rsid w:val="432F6260"/>
    <w:rsid w:val="435B43F6"/>
    <w:rsid w:val="436A451A"/>
    <w:rsid w:val="442168CC"/>
    <w:rsid w:val="44451B29"/>
    <w:rsid w:val="44466E54"/>
    <w:rsid w:val="445E2702"/>
    <w:rsid w:val="44EE5BEA"/>
    <w:rsid w:val="451505D5"/>
    <w:rsid w:val="45511D76"/>
    <w:rsid w:val="45650DEA"/>
    <w:rsid w:val="45FA71F7"/>
    <w:rsid w:val="46124D4D"/>
    <w:rsid w:val="465A0995"/>
    <w:rsid w:val="4730365B"/>
    <w:rsid w:val="480C2163"/>
    <w:rsid w:val="48180B08"/>
    <w:rsid w:val="484D0086"/>
    <w:rsid w:val="486E697A"/>
    <w:rsid w:val="49746212"/>
    <w:rsid w:val="49FD6207"/>
    <w:rsid w:val="4A3B7B11"/>
    <w:rsid w:val="4A8A55C1"/>
    <w:rsid w:val="4AF32F79"/>
    <w:rsid w:val="4B406A1A"/>
    <w:rsid w:val="4B8D776B"/>
    <w:rsid w:val="4C9444D5"/>
    <w:rsid w:val="4CD369D6"/>
    <w:rsid w:val="4D283CA5"/>
    <w:rsid w:val="4D3B41AF"/>
    <w:rsid w:val="4D744913"/>
    <w:rsid w:val="4D8414B4"/>
    <w:rsid w:val="4DB210B7"/>
    <w:rsid w:val="4EC80569"/>
    <w:rsid w:val="4EF70AEB"/>
    <w:rsid w:val="4EFA4E68"/>
    <w:rsid w:val="4F6E03A1"/>
    <w:rsid w:val="4FC74BC1"/>
    <w:rsid w:val="50287636"/>
    <w:rsid w:val="504C618C"/>
    <w:rsid w:val="515D4035"/>
    <w:rsid w:val="5175226F"/>
    <w:rsid w:val="51E67581"/>
    <w:rsid w:val="52670512"/>
    <w:rsid w:val="526F3A1A"/>
    <w:rsid w:val="53334A48"/>
    <w:rsid w:val="533662E6"/>
    <w:rsid w:val="534F1156"/>
    <w:rsid w:val="538B4884"/>
    <w:rsid w:val="53F7312D"/>
    <w:rsid w:val="54104D89"/>
    <w:rsid w:val="543640C4"/>
    <w:rsid w:val="55320D2F"/>
    <w:rsid w:val="55AF412E"/>
    <w:rsid w:val="55E8347F"/>
    <w:rsid w:val="56256ACD"/>
    <w:rsid w:val="56ED7603"/>
    <w:rsid w:val="573A26CD"/>
    <w:rsid w:val="57A81A8E"/>
    <w:rsid w:val="58240E20"/>
    <w:rsid w:val="585E5201"/>
    <w:rsid w:val="58A5425A"/>
    <w:rsid w:val="58D75E75"/>
    <w:rsid w:val="59B04427"/>
    <w:rsid w:val="5A731BCE"/>
    <w:rsid w:val="5B631C42"/>
    <w:rsid w:val="5BF64864"/>
    <w:rsid w:val="5C0D5D7A"/>
    <w:rsid w:val="5C3830CF"/>
    <w:rsid w:val="5D1E0517"/>
    <w:rsid w:val="5D99194B"/>
    <w:rsid w:val="5DAD33AD"/>
    <w:rsid w:val="5E030D43"/>
    <w:rsid w:val="5E66572D"/>
    <w:rsid w:val="5FC706CB"/>
    <w:rsid w:val="60EC26DA"/>
    <w:rsid w:val="612B3202"/>
    <w:rsid w:val="613A51F3"/>
    <w:rsid w:val="614C10CC"/>
    <w:rsid w:val="61730705"/>
    <w:rsid w:val="623C2B43"/>
    <w:rsid w:val="626373FB"/>
    <w:rsid w:val="630E1F93"/>
    <w:rsid w:val="63820974"/>
    <w:rsid w:val="63B868A3"/>
    <w:rsid w:val="63F73BC9"/>
    <w:rsid w:val="644B7E9A"/>
    <w:rsid w:val="647544FC"/>
    <w:rsid w:val="64EA091A"/>
    <w:rsid w:val="6502545F"/>
    <w:rsid w:val="65E42227"/>
    <w:rsid w:val="66467786"/>
    <w:rsid w:val="664D3C1B"/>
    <w:rsid w:val="666E469A"/>
    <w:rsid w:val="66D734E4"/>
    <w:rsid w:val="671D6FA2"/>
    <w:rsid w:val="674E7C4A"/>
    <w:rsid w:val="675C46F7"/>
    <w:rsid w:val="67BF40B0"/>
    <w:rsid w:val="67D87514"/>
    <w:rsid w:val="67E759A9"/>
    <w:rsid w:val="68A815DC"/>
    <w:rsid w:val="68FD7E73"/>
    <w:rsid w:val="69710F03"/>
    <w:rsid w:val="699065A2"/>
    <w:rsid w:val="69EB58D6"/>
    <w:rsid w:val="6A0445F0"/>
    <w:rsid w:val="6A1D4CFD"/>
    <w:rsid w:val="6AF97ECD"/>
    <w:rsid w:val="6B6D3822"/>
    <w:rsid w:val="6B910106"/>
    <w:rsid w:val="6BD77BAE"/>
    <w:rsid w:val="6BF80185"/>
    <w:rsid w:val="6C9D673E"/>
    <w:rsid w:val="6D30394E"/>
    <w:rsid w:val="6D557CA5"/>
    <w:rsid w:val="6E557B10"/>
    <w:rsid w:val="6E8B1784"/>
    <w:rsid w:val="6F80296B"/>
    <w:rsid w:val="6F97449F"/>
    <w:rsid w:val="6FEA072C"/>
    <w:rsid w:val="70897236"/>
    <w:rsid w:val="710566D4"/>
    <w:rsid w:val="7245003D"/>
    <w:rsid w:val="725B321B"/>
    <w:rsid w:val="72A72905"/>
    <w:rsid w:val="72C2329A"/>
    <w:rsid w:val="72D9FB6B"/>
    <w:rsid w:val="730E028E"/>
    <w:rsid w:val="73972979"/>
    <w:rsid w:val="73A86E39"/>
    <w:rsid w:val="73E62FB9"/>
    <w:rsid w:val="75041948"/>
    <w:rsid w:val="751678CE"/>
    <w:rsid w:val="757C3BD5"/>
    <w:rsid w:val="7754754E"/>
    <w:rsid w:val="77991266"/>
    <w:rsid w:val="779B0E1C"/>
    <w:rsid w:val="780D77E0"/>
    <w:rsid w:val="785E0DC7"/>
    <w:rsid w:val="7A2713AD"/>
    <w:rsid w:val="7A41719B"/>
    <w:rsid w:val="7B09796A"/>
    <w:rsid w:val="7B0A3A31"/>
    <w:rsid w:val="7B4C5DF7"/>
    <w:rsid w:val="7BD04C7A"/>
    <w:rsid w:val="7C5375A5"/>
    <w:rsid w:val="7C597451"/>
    <w:rsid w:val="7C6B495D"/>
    <w:rsid w:val="7C931ECD"/>
    <w:rsid w:val="7D3B041C"/>
    <w:rsid w:val="7D9F2B56"/>
    <w:rsid w:val="7ED607F9"/>
    <w:rsid w:val="7F17671C"/>
    <w:rsid w:val="7F371E33"/>
    <w:rsid w:val="7F79184D"/>
    <w:rsid w:val="7FDF9A81"/>
    <w:rsid w:val="DF48FD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ind w:firstLine="200" w:firstLineChars="200"/>
      <w:jc w:val="both"/>
    </w:pPr>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styleId="4">
    <w:name w:val="heading 1"/>
    <w:basedOn w:val="1"/>
    <w:next w:val="1"/>
    <w:link w:val="39"/>
    <w:qFormat/>
    <w:uiPriority w:val="0"/>
    <w:pPr>
      <w:keepNext/>
      <w:keepLines/>
      <w:spacing w:before="100" w:beforeLines="100" w:after="100" w:afterLines="100"/>
      <w:ind w:firstLine="0" w:firstLineChars="0"/>
      <w:jc w:val="center"/>
      <w:outlineLvl w:val="0"/>
    </w:pPr>
    <w:rPr>
      <w:rFonts w:eastAsia="黑体"/>
      <w:kern w:val="44"/>
    </w:rPr>
  </w:style>
  <w:style w:type="paragraph" w:styleId="5">
    <w:name w:val="heading 2"/>
    <w:basedOn w:val="1"/>
    <w:next w:val="1"/>
    <w:link w:val="32"/>
    <w:unhideWhenUsed/>
    <w:qFormat/>
    <w:uiPriority w:val="0"/>
    <w:pPr>
      <w:keepNext/>
      <w:keepLines/>
      <w:spacing w:before="50" w:beforeLines="50" w:after="50" w:afterLines="50"/>
      <w:ind w:firstLine="0" w:firstLineChars="0"/>
      <w:jc w:val="center"/>
      <w:outlineLvl w:val="1"/>
    </w:pPr>
    <w:rPr>
      <w:rFonts w:eastAsia="楷体"/>
    </w:rPr>
  </w:style>
  <w:style w:type="paragraph" w:styleId="6">
    <w:name w:val="heading 3"/>
    <w:basedOn w:val="1"/>
    <w:next w:val="1"/>
    <w:unhideWhenUsed/>
    <w:qFormat/>
    <w:uiPriority w:val="0"/>
    <w:pPr>
      <w:keepNext/>
      <w:keepLines/>
      <w:outlineLvl w:val="2"/>
    </w:pPr>
    <w:rPr>
      <w:rFonts w:eastAsia="方正仿宋_GB2312"/>
      <w:b/>
    </w:rPr>
  </w:style>
  <w:style w:type="paragraph" w:styleId="7">
    <w:name w:val="heading 6"/>
    <w:basedOn w:val="1"/>
    <w:next w:val="1"/>
    <w:qFormat/>
    <w:uiPriority w:val="0"/>
    <w:pPr>
      <w:keepNext/>
      <w:keepLines/>
      <w:spacing w:before="240" w:after="64" w:line="320" w:lineRule="atLeast"/>
      <w:outlineLvl w:val="5"/>
    </w:pPr>
    <w:rPr>
      <w:rFonts w:ascii="Arial" w:hAnsi="Arial" w:eastAsia="黑体"/>
      <w:b/>
      <w:bCs/>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iPriority w:val="99"/>
    <w:pPr>
      <w:ind w:firstLine="210"/>
    </w:pPr>
    <w:rPr>
      <w:sz w:val="28"/>
    </w:rPr>
  </w:style>
  <w:style w:type="paragraph" w:styleId="3">
    <w:name w:val="Body Text Indent"/>
    <w:basedOn w:val="1"/>
    <w:next w:val="1"/>
    <w:qFormat/>
    <w:uiPriority w:val="99"/>
    <w:pPr>
      <w:widowControl/>
      <w:spacing w:afterLines="100"/>
      <w:ind w:left="420" w:leftChars="200"/>
      <w:jc w:val="left"/>
    </w:pPr>
    <w:rPr>
      <w:kern w:val="0"/>
      <w:sz w:val="24"/>
      <w:szCs w:val="20"/>
      <w:lang w:eastAsia="en-US"/>
    </w:rPr>
  </w:style>
  <w:style w:type="paragraph" w:styleId="8">
    <w:name w:val="toc 7"/>
    <w:basedOn w:val="1"/>
    <w:next w:val="1"/>
    <w:autoRedefine/>
    <w:unhideWhenUsed/>
    <w:qFormat/>
    <w:uiPriority w:val="39"/>
    <w:pPr>
      <w:spacing w:after="160" w:line="278" w:lineRule="auto"/>
      <w:ind w:left="2520" w:leftChars="1200" w:firstLine="0" w:firstLineChars="0"/>
      <w:jc w:val="left"/>
    </w:pPr>
    <w:rPr>
      <w:rFonts w:asciiTheme="minorHAnsi" w:hAnsiTheme="minorHAnsi" w:eastAsiaTheme="minorEastAsia"/>
      <w:color w:val="auto"/>
      <w:sz w:val="22"/>
      <w14:ligatures w14:val="standardContextual"/>
    </w:rPr>
  </w:style>
  <w:style w:type="paragraph" w:styleId="9">
    <w:name w:val="annotation text"/>
    <w:basedOn w:val="1"/>
    <w:link w:val="29"/>
    <w:qFormat/>
    <w:uiPriority w:val="99"/>
    <w:pPr>
      <w:jc w:val="left"/>
    </w:pPr>
  </w:style>
  <w:style w:type="paragraph" w:styleId="10">
    <w:name w:val="Body Text"/>
    <w:basedOn w:val="1"/>
    <w:next w:val="1"/>
    <w:unhideWhenUsed/>
    <w:qFormat/>
    <w:uiPriority w:val="99"/>
    <w:pPr>
      <w:spacing w:after="120"/>
    </w:pPr>
  </w:style>
  <w:style w:type="paragraph" w:styleId="11">
    <w:name w:val="toc 5"/>
    <w:basedOn w:val="1"/>
    <w:next w:val="1"/>
    <w:autoRedefine/>
    <w:unhideWhenUsed/>
    <w:qFormat/>
    <w:uiPriority w:val="39"/>
    <w:pPr>
      <w:spacing w:after="160" w:line="278" w:lineRule="auto"/>
      <w:ind w:left="1680" w:leftChars="800" w:firstLine="0" w:firstLineChars="0"/>
      <w:jc w:val="left"/>
    </w:pPr>
    <w:rPr>
      <w:rFonts w:asciiTheme="minorHAnsi" w:hAnsiTheme="minorHAnsi" w:eastAsiaTheme="minorEastAsia"/>
      <w:color w:val="auto"/>
      <w:sz w:val="22"/>
      <w14:ligatures w14:val="standardContextual"/>
    </w:rPr>
  </w:style>
  <w:style w:type="paragraph" w:styleId="12">
    <w:name w:val="toc 3"/>
    <w:basedOn w:val="1"/>
    <w:next w:val="1"/>
    <w:autoRedefine/>
    <w:unhideWhenUsed/>
    <w:qFormat/>
    <w:uiPriority w:val="39"/>
    <w:pPr>
      <w:spacing w:after="160" w:line="278" w:lineRule="auto"/>
      <w:ind w:left="840" w:leftChars="400" w:firstLine="0" w:firstLineChars="0"/>
      <w:jc w:val="left"/>
    </w:pPr>
    <w:rPr>
      <w:rFonts w:asciiTheme="minorHAnsi" w:hAnsiTheme="minorHAnsi" w:eastAsiaTheme="minorEastAsia"/>
      <w:color w:val="auto"/>
      <w:sz w:val="22"/>
      <w14:ligatures w14:val="standardContextual"/>
    </w:rPr>
  </w:style>
  <w:style w:type="paragraph" w:styleId="13">
    <w:name w:val="toc 8"/>
    <w:basedOn w:val="1"/>
    <w:next w:val="1"/>
    <w:autoRedefine/>
    <w:unhideWhenUsed/>
    <w:qFormat/>
    <w:uiPriority w:val="39"/>
    <w:pPr>
      <w:spacing w:after="160" w:line="278" w:lineRule="auto"/>
      <w:ind w:left="2940" w:leftChars="1400" w:firstLine="0" w:firstLineChars="0"/>
      <w:jc w:val="left"/>
    </w:pPr>
    <w:rPr>
      <w:rFonts w:asciiTheme="minorHAnsi" w:hAnsiTheme="minorHAnsi" w:eastAsiaTheme="minorEastAsia"/>
      <w:color w:val="auto"/>
      <w:sz w:val="22"/>
      <w14:ligatures w14:val="standardContextual"/>
    </w:rPr>
  </w:style>
  <w:style w:type="paragraph" w:styleId="14">
    <w:name w:val="footer"/>
    <w:basedOn w:val="1"/>
    <w:link w:val="36"/>
    <w:qFormat/>
    <w:uiPriority w:val="99"/>
    <w:pPr>
      <w:tabs>
        <w:tab w:val="center" w:pos="4153"/>
        <w:tab w:val="right" w:pos="8306"/>
      </w:tabs>
      <w:snapToGrid w:val="0"/>
      <w:spacing w:line="240" w:lineRule="atLeast"/>
      <w:jc w:val="left"/>
    </w:pPr>
    <w:rPr>
      <w:sz w:val="18"/>
      <w:szCs w:val="18"/>
    </w:rPr>
  </w:style>
  <w:style w:type="paragraph" w:styleId="15">
    <w:name w:val="header"/>
    <w:basedOn w:val="1"/>
    <w:link w:val="35"/>
    <w:qFormat/>
    <w:uiPriority w:val="0"/>
    <w:pPr>
      <w:tabs>
        <w:tab w:val="center" w:pos="4153"/>
        <w:tab w:val="right" w:pos="8306"/>
      </w:tabs>
      <w:snapToGrid w:val="0"/>
      <w:spacing w:line="240" w:lineRule="atLeast"/>
      <w:jc w:val="center"/>
    </w:pPr>
    <w:rPr>
      <w:sz w:val="18"/>
      <w:szCs w:val="18"/>
    </w:rPr>
  </w:style>
  <w:style w:type="paragraph" w:styleId="16">
    <w:name w:val="toc 1"/>
    <w:basedOn w:val="1"/>
    <w:next w:val="1"/>
    <w:qFormat/>
    <w:uiPriority w:val="39"/>
    <w:pPr>
      <w:tabs>
        <w:tab w:val="right" w:leader="dot" w:pos="8296"/>
      </w:tabs>
      <w:ind w:firstLine="0" w:firstLineChars="0"/>
    </w:pPr>
    <w:rPr>
      <w:rFonts w:eastAsia="黑体"/>
    </w:rPr>
  </w:style>
  <w:style w:type="paragraph" w:styleId="17">
    <w:name w:val="toc 4"/>
    <w:basedOn w:val="1"/>
    <w:next w:val="1"/>
    <w:autoRedefine/>
    <w:unhideWhenUsed/>
    <w:qFormat/>
    <w:uiPriority w:val="39"/>
    <w:pPr>
      <w:spacing w:after="160" w:line="278" w:lineRule="auto"/>
      <w:ind w:left="1260" w:leftChars="600" w:firstLine="0" w:firstLineChars="0"/>
      <w:jc w:val="left"/>
    </w:pPr>
    <w:rPr>
      <w:rFonts w:asciiTheme="minorHAnsi" w:hAnsiTheme="minorHAnsi" w:eastAsiaTheme="minorEastAsia"/>
      <w:color w:val="auto"/>
      <w:sz w:val="22"/>
      <w14:ligatures w14:val="standardContextual"/>
    </w:rPr>
  </w:style>
  <w:style w:type="paragraph" w:styleId="18">
    <w:name w:val="toc 6"/>
    <w:basedOn w:val="1"/>
    <w:next w:val="1"/>
    <w:autoRedefine/>
    <w:unhideWhenUsed/>
    <w:qFormat/>
    <w:uiPriority w:val="39"/>
    <w:pPr>
      <w:spacing w:after="160" w:line="278" w:lineRule="auto"/>
      <w:ind w:left="2100" w:leftChars="1000" w:firstLine="0" w:firstLineChars="0"/>
      <w:jc w:val="left"/>
    </w:pPr>
    <w:rPr>
      <w:rFonts w:asciiTheme="minorHAnsi" w:hAnsiTheme="minorHAnsi" w:eastAsiaTheme="minorEastAsia"/>
      <w:color w:val="auto"/>
      <w:sz w:val="22"/>
      <w14:ligatures w14:val="standardContextual"/>
    </w:rPr>
  </w:style>
  <w:style w:type="paragraph" w:styleId="19">
    <w:name w:val="toc 2"/>
    <w:basedOn w:val="1"/>
    <w:next w:val="1"/>
    <w:qFormat/>
    <w:uiPriority w:val="39"/>
    <w:pPr>
      <w:tabs>
        <w:tab w:val="right" w:leader="dot" w:pos="8296"/>
      </w:tabs>
    </w:pPr>
    <w:rPr>
      <w:rFonts w:eastAsia="楷体"/>
    </w:rPr>
  </w:style>
  <w:style w:type="paragraph" w:styleId="20">
    <w:name w:val="toc 9"/>
    <w:basedOn w:val="1"/>
    <w:next w:val="1"/>
    <w:autoRedefine/>
    <w:unhideWhenUsed/>
    <w:qFormat/>
    <w:uiPriority w:val="39"/>
    <w:pPr>
      <w:spacing w:after="160" w:line="278" w:lineRule="auto"/>
      <w:ind w:left="3360" w:leftChars="1600" w:firstLine="0" w:firstLineChars="0"/>
      <w:jc w:val="left"/>
    </w:pPr>
    <w:rPr>
      <w:rFonts w:asciiTheme="minorHAnsi" w:hAnsiTheme="minorHAnsi" w:eastAsiaTheme="minorEastAsia"/>
      <w:color w:val="auto"/>
      <w:sz w:val="22"/>
      <w14:ligatures w14:val="standardContextual"/>
    </w:rPr>
  </w:style>
  <w:style w:type="paragraph" w:styleId="21">
    <w:name w:val="Normal (Web)"/>
    <w:basedOn w:val="1"/>
    <w:qFormat/>
    <w:uiPriority w:val="0"/>
    <w:pPr>
      <w:spacing w:beforeAutospacing="1" w:afterAutospacing="1"/>
      <w:jc w:val="left"/>
    </w:pPr>
    <w:rPr>
      <w:rFonts w:cs="Times New Roman"/>
      <w:kern w:val="0"/>
      <w:sz w:val="24"/>
    </w:rPr>
  </w:style>
  <w:style w:type="paragraph" w:styleId="22">
    <w:name w:val="annotation subject"/>
    <w:basedOn w:val="9"/>
    <w:next w:val="9"/>
    <w:link w:val="30"/>
    <w:qFormat/>
    <w:uiPriority w:val="0"/>
    <w:rPr>
      <w:b/>
      <w:bCs/>
    </w:rPr>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Hyperlink"/>
    <w:basedOn w:val="25"/>
    <w:qFormat/>
    <w:uiPriority w:val="99"/>
    <w:rPr>
      <w:color w:val="0000FF"/>
      <w:u w:val="single"/>
    </w:rPr>
  </w:style>
  <w:style w:type="character" w:styleId="27">
    <w:name w:val="annotation reference"/>
    <w:basedOn w:val="25"/>
    <w:qFormat/>
    <w:uiPriority w:val="0"/>
    <w:rPr>
      <w:sz w:val="21"/>
      <w:szCs w:val="21"/>
    </w:rPr>
  </w:style>
  <w:style w:type="paragraph" w:customStyle="1" w:styleId="28">
    <w:name w:val="封面"/>
    <w:basedOn w:val="1"/>
    <w:qFormat/>
    <w:uiPriority w:val="0"/>
    <w:pPr>
      <w:spacing w:before="50" w:beforeLines="50" w:after="50" w:afterLines="50"/>
      <w:ind w:firstLine="0" w:firstLineChars="0"/>
      <w:jc w:val="center"/>
    </w:pPr>
    <w:rPr>
      <w:rFonts w:eastAsia="方正小标宋简体"/>
      <w:sz w:val="44"/>
    </w:rPr>
  </w:style>
  <w:style w:type="character" w:customStyle="1" w:styleId="29">
    <w:name w:val="批注文字 字符"/>
    <w:basedOn w:val="25"/>
    <w:link w:val="9"/>
    <w:qFormat/>
    <w:uiPriority w:val="99"/>
    <w:rPr>
      <w:rFonts w:eastAsia="仿宋_GB2312" w:cstheme="minorBidi"/>
      <w:kern w:val="2"/>
      <w:sz w:val="32"/>
      <w:szCs w:val="24"/>
    </w:rPr>
  </w:style>
  <w:style w:type="character" w:customStyle="1" w:styleId="30">
    <w:name w:val="批注主题 字符"/>
    <w:basedOn w:val="29"/>
    <w:link w:val="22"/>
    <w:qFormat/>
    <w:uiPriority w:val="0"/>
    <w:rPr>
      <w:rFonts w:eastAsia="仿宋_GB2312" w:cstheme="minorBidi"/>
      <w:b/>
      <w:bCs/>
      <w:kern w:val="2"/>
      <w:sz w:val="32"/>
      <w:szCs w:val="24"/>
    </w:rPr>
  </w:style>
  <w:style w:type="character" w:customStyle="1" w:styleId="31">
    <w:name w:val="未处理的提及1"/>
    <w:basedOn w:val="25"/>
    <w:semiHidden/>
    <w:unhideWhenUsed/>
    <w:qFormat/>
    <w:uiPriority w:val="99"/>
    <w:rPr>
      <w:color w:val="605E5C"/>
      <w:shd w:val="clear" w:color="auto" w:fill="E1DFDD"/>
    </w:rPr>
  </w:style>
  <w:style w:type="character" w:customStyle="1" w:styleId="32">
    <w:name w:val="标题 2 字符"/>
    <w:basedOn w:val="25"/>
    <w:link w:val="5"/>
    <w:qFormat/>
    <w:uiPriority w:val="0"/>
    <w:rPr>
      <w:rFonts w:eastAsia="楷体" w:cstheme="minorBidi"/>
      <w:color w:val="000000" w:themeColor="text1"/>
      <w:kern w:val="2"/>
      <w:sz w:val="32"/>
      <w:szCs w:val="24"/>
      <w14:textFill>
        <w14:solidFill>
          <w14:schemeClr w14:val="tx1"/>
        </w14:solidFill>
      </w14:textFill>
    </w:rPr>
  </w:style>
  <w:style w:type="paragraph" w:customStyle="1" w:styleId="33">
    <w:name w:val="2级标题"/>
    <w:basedOn w:val="1"/>
    <w:link w:val="34"/>
    <w:qFormat/>
    <w:uiPriority w:val="0"/>
    <w:pPr>
      <w:widowControl/>
      <w:spacing w:line="240" w:lineRule="auto"/>
      <w:outlineLvl w:val="1"/>
    </w:pPr>
    <w:rPr>
      <w:rFonts w:ascii="宋体" w:hAnsi="宋体" w:eastAsia="黑体" w:cs="宋体"/>
      <w:szCs w:val="32"/>
    </w:rPr>
  </w:style>
  <w:style w:type="character" w:customStyle="1" w:styleId="34">
    <w:name w:val="2级标题 字符"/>
    <w:basedOn w:val="25"/>
    <w:link w:val="33"/>
    <w:qFormat/>
    <w:uiPriority w:val="0"/>
    <w:rPr>
      <w:rFonts w:ascii="宋体" w:hAnsi="宋体" w:eastAsia="黑体" w:cs="宋体"/>
      <w:kern w:val="2"/>
      <w:sz w:val="32"/>
      <w:szCs w:val="32"/>
    </w:rPr>
  </w:style>
  <w:style w:type="character" w:customStyle="1" w:styleId="35">
    <w:name w:val="页眉 字符"/>
    <w:basedOn w:val="25"/>
    <w:link w:val="15"/>
    <w:qFormat/>
    <w:uiPriority w:val="0"/>
    <w:rPr>
      <w:rFonts w:eastAsia="仿宋_GB2312" w:cstheme="minorBidi"/>
      <w:kern w:val="2"/>
      <w:sz w:val="18"/>
      <w:szCs w:val="18"/>
    </w:rPr>
  </w:style>
  <w:style w:type="character" w:customStyle="1" w:styleId="36">
    <w:name w:val="页脚 字符"/>
    <w:basedOn w:val="25"/>
    <w:link w:val="14"/>
    <w:qFormat/>
    <w:uiPriority w:val="99"/>
    <w:rPr>
      <w:rFonts w:eastAsia="仿宋_GB2312" w:cstheme="minorBidi"/>
      <w:kern w:val="2"/>
      <w:sz w:val="18"/>
      <w:szCs w:val="18"/>
    </w:rPr>
  </w:style>
  <w:style w:type="paragraph" w:customStyle="1" w:styleId="37">
    <w:name w:val="专栏标题"/>
    <w:basedOn w:val="1"/>
    <w:qFormat/>
    <w:uiPriority w:val="0"/>
    <w:pPr>
      <w:numPr>
        <w:ilvl w:val="0"/>
        <w:numId w:val="1"/>
      </w:numPr>
      <w:spacing w:before="156" w:after="156"/>
      <w:ind w:left="0" w:firstLine="0" w:firstLineChars="0"/>
      <w:contextualSpacing/>
      <w:jc w:val="center"/>
    </w:pPr>
    <w:rPr>
      <w:rFonts w:cs="Times New Roman"/>
      <w:b/>
      <w:kern w:val="0"/>
      <w:sz w:val="28"/>
      <w:szCs w:val="32"/>
    </w:rPr>
  </w:style>
  <w:style w:type="paragraph" w:customStyle="1" w:styleId="38">
    <w:name w:val="专栏内容"/>
    <w:basedOn w:val="1"/>
    <w:qFormat/>
    <w:uiPriority w:val="0"/>
    <w:rPr>
      <w:rFonts w:cs="Times New Roman"/>
      <w:kern w:val="0"/>
      <w:sz w:val="28"/>
      <w:szCs w:val="28"/>
    </w:rPr>
  </w:style>
  <w:style w:type="character" w:customStyle="1" w:styleId="39">
    <w:name w:val="标题 1 字符"/>
    <w:link w:val="4"/>
    <w:qFormat/>
    <w:uiPriority w:val="0"/>
    <w:rPr>
      <w:rFonts w:eastAsia="黑体" w:cstheme="minorBidi"/>
      <w:color w:val="000000" w:themeColor="text1"/>
      <w:kern w:val="44"/>
      <w:sz w:val="32"/>
      <w:szCs w:val="24"/>
      <w14:textFill>
        <w14:solidFill>
          <w14:schemeClr w14:val="tx1"/>
        </w14:solidFill>
      </w14:textFill>
    </w:rPr>
  </w:style>
  <w:style w:type="paragraph" w:customStyle="1" w:styleId="40">
    <w:name w:val="表格"/>
    <w:basedOn w:val="1"/>
    <w:qFormat/>
    <w:uiPriority w:val="0"/>
    <w:pPr>
      <w:widowControl/>
      <w:spacing w:before="156" w:after="156" w:line="360" w:lineRule="auto"/>
      <w:ind w:firstLine="0" w:firstLineChars="0"/>
    </w:pPr>
    <w:rPr>
      <w:rFonts w:ascii="仿宋_GB2312" w:hAnsi="仿宋" w:cs="仿宋"/>
      <w:b/>
      <w:bCs/>
      <w:kern w:val="0"/>
      <w:sz w:val="21"/>
      <w:szCs w:val="21"/>
    </w:rPr>
  </w:style>
  <w:style w:type="paragraph" w:customStyle="1" w:styleId="41">
    <w:name w:val="修订1"/>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styleId="42">
    <w:name w:val="List Paragraph"/>
    <w:basedOn w:val="1"/>
    <w:unhideWhenUsed/>
    <w:qFormat/>
    <w:uiPriority w:val="99"/>
    <w:pPr>
      <w:ind w:firstLine="420"/>
    </w:pPr>
  </w:style>
  <w:style w:type="paragraph" w:customStyle="1" w:styleId="43">
    <w:name w:val="修订2"/>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customStyle="1" w:styleId="44">
    <w:name w:val="修订3"/>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customStyle="1" w:styleId="45">
    <w:name w:val="修订4"/>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customStyle="1" w:styleId="46">
    <w:name w:val="修订5"/>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customStyle="1" w:styleId="47">
    <w:name w:val="修订6"/>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character" w:customStyle="1" w:styleId="48">
    <w:name w:val="未处理的提及2"/>
    <w:basedOn w:val="25"/>
    <w:semiHidden/>
    <w:unhideWhenUsed/>
    <w:qFormat/>
    <w:uiPriority w:val="99"/>
    <w:rPr>
      <w:color w:val="605E5C"/>
      <w:shd w:val="clear" w:color="auto" w:fill="E1DFDD"/>
    </w:rPr>
  </w:style>
  <w:style w:type="paragraph" w:customStyle="1" w:styleId="49">
    <w:name w:val="修订7"/>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 w:type="paragraph" w:customStyle="1" w:styleId="50">
    <w:name w:val="修订8"/>
    <w:hidden/>
    <w:unhideWhenUsed/>
    <w:qFormat/>
    <w:uiPriority w:val="99"/>
    <w:rPr>
      <w:rFonts w:ascii="Times New Roman" w:hAnsi="Times New Roman" w:eastAsia="仿宋_GB2312" w:cstheme="minorBidi"/>
      <w:color w:val="000000" w:themeColor="text1"/>
      <w:kern w:val="2"/>
      <w:sz w:val="32"/>
      <w:szCs w:val="24"/>
      <w:lang w:val="en-US" w:eastAsia="zh-CN" w:bidi="ar-SA"/>
      <w14:textFill>
        <w14:solidFill>
          <w14:schemeClr w14:val="tx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3.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4d34c4fc-d64a-4b57-8f56-a03f5aabd4c7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38EDD778</paraID>
      <start>181</start>
      <end>182</end>
      <status>unmodified</status>
      <modifiedWord/>
      <trackRevisions>false</trackRevisions>
    </reviewItem>
    <reviewItem>
      <errorID>b6091049-d39f-408d-94af-8b6f12f9aab3</errorID>
      <errorWord>）</errorWord>
      <group>L1_Punc</group>
      <groupName>标点问题</groupName>
      <ability>L2_Punc</ability>
      <abilityName>标点符号检查</abilityName>
      <candidateList>
        <item>》）</item>
      </candidateList>
      <explain/>
      <paraID>38EDD778</paraID>
      <start>184</start>
      <end>186</end>
      <status>modified</status>
      <modifiedWord>》）</modifiedWord>
      <trackRevisions>false</trackRevisions>
    </reviewItem>
    <reviewItem>
      <errorID>176c1c18-7430-4b30-a321-670e917fcd53</errorID>
      <errorWord>提高</errorWord>
      <group>L1_Word</group>
      <groupName>字词问题</groupName>
      <ability>L2_Typo</ability>
      <abilityName>字词错误</abilityName>
      <candidateList>
        <item>增加</item>
      </candidateList>
      <explain/>
      <paraID>231264B5</paraID>
      <start>55</start>
      <end>57</end>
      <status>ignored</status>
      <modifiedWord/>
      <trackRevisions>false</trackRevisions>
    </reviewItem>
    <reviewItem>
      <errorID>70c544a1-70a5-4271-baf8-9ea278b89410</errorID>
      <errorWord>0</errorWord>
      <group>L1_Grammar</group>
      <groupName>语法问题</groupName>
      <ability>L2_Grammar</ability>
      <abilityName>语法错误</abilityName>
      <candidateList>
        <item>提高0</item>
      </candidateList>
      <explain/>
      <paraID>231264B5</paraID>
      <start>67</start>
      <end>68</end>
      <status>ignored</status>
      <modifiedWord/>
      <trackRevisions>false</trackRevisions>
    </reviewItem>
    <reviewItem>
      <errorID>5060f841-791b-41b2-926c-4d135935fcea</errorID>
      <errorWord>104</errorWord>
      <group>L1_Word</group>
      <groupName>字词问题</groupName>
      <ability>L2_Typo</ability>
      <abilityName>字词错误</abilityName>
      <candidateList>
        <item>100</item>
      </candidateList>
      <explain/>
      <paraID>1C34E7D2</paraID>
      <start>99</start>
      <end>102</end>
      <status>ignored</status>
      <modifiedWord/>
      <trackRevisions>false</trackRevisions>
    </reviewItem>
    <reviewItem>
      <errorID>f8d744db-1e14-4356-a637-f3fc1077c8c9</errorID>
      <errorWord>馆”称号</errorWord>
      <group>L1_Word</group>
      <groupName>字词问题</groupName>
      <ability>L2_Typo</ability>
      <abilityName>字词错误</abilityName>
      <candidateList>
        <item>图书馆”</item>
      </candidateList>
      <explain/>
      <paraID>1C34E7D2</paraID>
      <start>278</start>
      <end>282</end>
      <status>ignored</status>
      <modifiedWord/>
      <trackRevisions>false</trackRevisions>
    </reviewItem>
    <reviewItem>
      <errorID>3ddc0ca2-4f3d-48a8-9440-237a4af5bcc2</errorID>
      <errorWord>。</errorWord>
      <group>L1_Grammar</group>
      <groupName>语法问题</groupName>
      <ability>L2_Grammar</ability>
      <abilityName>语法错误</abilityName>
      <candidateList>
        <item>称号。</item>
      </candidateList>
      <explain/>
      <paraID>1C34E7D2</paraID>
      <start>342</start>
      <end>343</end>
      <status>ignored</status>
      <modifiedWord/>
      <trackRevisions>false</trackRevisions>
    </reviewItem>
    <reviewItem>
      <errorID>1943619a-6c36-4eb5-8832-0091b7be32d5</errorID>
      <errorWord>关键时期</errorWord>
      <group>L1_Word</group>
      <groupName>字词问题</groupName>
      <ability>L2_Typo</ability>
      <abilityName>字词错误</abilityName>
      <candidateList>
        <item>关键阶段</item>
      </candidateList>
      <explain/>
      <paraID>45DAFEEC</paraID>
      <start>31</start>
      <end>35</end>
      <status>ignored</status>
      <modifiedWord/>
      <trackRevisions>false</trackRevisions>
    </reviewItem>
    <reviewItem>
      <errorID>e141b3f9-6c02-457b-a711-45088bfc110b</errorID>
      <errorWord>“双碳”战略</errorWord>
      <group>L1_Word</group>
      <groupName>字词问题</groupName>
      <ability>L2_Typo</ability>
      <abilityName>字词错误</abilityName>
      <candidateList>
        <item>“双碳”目标</item>
      </candidateList>
      <explain/>
      <paraID>45DAFEEC</paraID>
      <start>281</start>
      <end>287</end>
      <status>ignored</status>
      <modifiedWord/>
      <trackRevisions>false</trackRevisions>
    </reviewItem>
    <reviewItem>
      <errorID>4f86e80f-6263-4bc8-8e49-819df4cec5eb</errorID>
      <errorWord>服务融入新发展格局</errorWord>
      <group>L1_Political</group>
      <groupName>政治性问题</groupName>
      <ability>L2_Keyword</ability>
      <abilityName>固定表述</abilityName>
      <candidateList>
        <item>服务和融入新发展格局</item>
      </candidateList>
      <explain>词汇“服务和融入新发展格局”在特定场景下为固定表述形式，请确认此处的“服务融入新发展格局”是否存在不当。</explain>
      <paraID>3ECC65A6</paraID>
      <start>104</start>
      <end>113</end>
      <status>ignored</status>
      <modifiedWord/>
      <trackRevisions>false</trackRevisions>
    </reviewItem>
    <reviewItem>
      <errorID>f0b51187-4bf1-47ed-a733-1af9980f0a5c</errorID>
      <errorWord>全方位</errorWord>
      <group>L1_Word</group>
      <groupName>字词问题</groupName>
      <ability>L2_Typo</ability>
      <abilityName>字词错误</abilityName>
      <candidateList>
        <item>全面</item>
      </candidateList>
      <explain/>
      <paraID> 7574DDB</paraID>
      <start>72</start>
      <end>75</end>
      <status>ignored</status>
      <modifiedWord/>
      <trackRevisions>false</trackRevisions>
    </reviewItem>
    <reviewItem>
      <errorID>f558fb94-f11d-4821-bbe8-ec97ca34545b</errorID>
      <errorWord>铸牢中华民族共同体意识主线</errorWord>
      <group>L1_Political</group>
      <groupName>政治性问题</groupName>
      <ability>L2_Keyword</ability>
      <abilityName>固定表述</abilityName>
      <candidateList>
        <item>以铸牢中华民族共同体意识为主线</item>
      </candidateList>
      <explain>此处内容疑似含有固定表述相关错误，建议核查。</explain>
      <paraID>41510876</paraID>
      <start>21</start>
      <end>34</end>
      <status>unmodified</status>
      <modifiedWord/>
      <trackRevisions>false</trackRevisions>
    </reviewItem>
    <reviewItem>
      <errorID>5fcebf64-071d-46eb-852d-df1113dbe65b</errorID>
      <errorWord>、</errorWord>
      <group>L1_Punc</group>
      <groupName>标点问题</groupName>
      <ability>L2_Punc</ability>
      <abilityName>标点符号检查</abilityName>
      <candidateList>
        <item>，</item>
      </candidateList>
      <explain/>
      <paraID>41510876</paraID>
      <start>115</start>
      <end>116</end>
      <status>ignored</status>
      <modifiedWord/>
      <trackRevisions>false</trackRevisions>
    </reviewItem>
    <reviewItem>
      <errorID>5a8a9782-0b61-42c8-b71e-3948b588193c</errorID>
      <errorWord>莫</errorWord>
      <group>L1_Word</group>
      <groupName>字词问题</groupName>
      <ability>L2_Typo</ability>
      <abilityName>字词错误</abilityName>
      <candidateList>
        <item> 莫</item>
      </candidateList>
      <explain/>
      <paraID>46AD9E0E</paraID>
      <start>0</start>
      <end>1</end>
      <status>ignored</status>
      <modifiedWord/>
      <trackRevisions>false</trackRevisions>
    </reviewItem>
    <reviewItem>
      <errorID>47cedb2c-8c26-44c4-832d-3e877233250f</errorID>
      <errorWord>，</errorWord>
      <group>L1_Punc</group>
      <groupName>标点问题</groupName>
      <ability>L2_Punc</ability>
      <abilityName>标点符号检查</abilityName>
      <candidateList>
        <item>；</item>
      </candidateList>
      <explain/>
      <paraID> DE481CB</paraID>
      <start>17</start>
      <end>18</end>
      <status>ignored</status>
      <modifiedWord/>
      <trackRevisions>false</trackRevisions>
    </reviewItem>
    <reviewItem>
      <errorID>1d6a50d2-6dea-454d-b2c2-0285857b9519</errorID>
      <errorWord> </errorWord>
      <group>L1_Punc</group>
      <groupName>标点问题</groupName>
      <ability>L2_Punc</ability>
      <abilityName>标点符号检查</abilityName>
      <candidateList>
        <item/>
      </candidateList>
      <explain>此处空格冗余，建议删除。</explain>
      <paraID>3E97BEFF</paraID>
      <start>0</start>
      <end>1</end>
      <status>ignored</status>
      <modifiedWord/>
      <trackRevisions>false</trackRevisions>
    </reviewItem>
    <reviewItem>
      <errorID>fdbc1f46-4b12-4a27-babd-d83b75e05258</errorID>
      <errorWord>各党委</errorWord>
      <group>L1_Political</group>
      <groupName>政治性问题</groupName>
      <ability>L2_Keyword</ability>
      <abilityName>固定表述</abilityName>
      <candidateList>
        <item>各级党委</item>
      </candidateList>
      <explain>此处内容疑似含有固定表述相关错误，建议核查。</explain>
      <paraID>69E7F3E8</paraID>
      <start>2</start>
      <end>5</end>
      <status>unmodified</status>
      <modifiedWord/>
      <trackRevisions>false</trackRevisions>
    </reviewItem>
    <reviewItem>
      <errorID>496d8cc2-0f10-4a78-ac26-eb11b7d56071</errorID>
      <errorWord>感党恩、听党话、跟党走</errorWord>
      <group>L1_Political</group>
      <groupName>政治性问题</groupName>
      <ability>L2_Keyword</ability>
      <abilityName>固定表述</abilityName>
      <candidateList>
        <item>听党话、感党恩、跟党走</item>
      </candidateList>
      <explain>词汇“听党话、感党恩、跟党走”在特定场景下为固定表述形式，请确认此处的“感党恩、听党话、跟党走”是否存在不当。</explain>
      <paraID>4508065E</paraID>
      <start>175</start>
      <end>186</end>
      <status>unmodified</status>
      <modifiedWord/>
      <trackRevisions>false</trackRevisions>
    </reviewItem>
    <reviewItem>
      <errorID>5a9c88ff-4e46-425a-bcc5-c204682c2a7d</errorID>
      <errorWord>引领</errorWord>
      <group>L1_Word</group>
      <groupName>字词问题</groupName>
      <ability>L2_Typo</ability>
      <abilityName>字词错误</abilityName>
      <candidateList>
        <item>等引领</item>
      </candidateList>
      <explain/>
      <paraID> 5B054B5</paraID>
      <start>42</start>
      <end>44</end>
      <status>unmodified</status>
      <modifiedWord/>
      <trackRevisions>false</trackRevisions>
    </reviewItem>
    <reviewItem>
      <errorID>eabe2d8f-c8fd-4099-a58f-e67f670702af</errorID>
      <errorWord>湿生态保护修复</errorWord>
      <group>L1_Political</group>
      <groupName>政治性问题</groupName>
      <ability>L2_Keyword</ability>
      <abilityName>固定表述</abilityName>
      <candidateList>
        <item>湿地保护修复</item>
      </candidateList>
      <explain>词汇“湿地保护修复”在特定场景下为固定表述形式，请确认此处的“湿生态保护修复”是否存在不当。</explain>
      <paraID> 5D20145</paraID>
      <start>4</start>
      <end>11</end>
      <status>unmodified</status>
      <modifiedWord/>
      <trackRevisions>false</trackRevisions>
    </reviewItem>
    <reviewItem>
      <errorID>6ad957fe-aaf7-4bf0-9b97-f902a7cd39d8</errorID>
      <errorWord>行为</errorWord>
      <group>L1_Grammar</group>
      <groupName>语法问题</groupName>
      <ability>L2_Grammar</ability>
      <abilityName>语法错误</abilityName>
      <candidateList>
        <item>行为的能力</item>
      </candidateList>
      <explain/>
      <paraID>6487570E</paraID>
      <start>287</start>
      <end>289</end>
      <status>unmodified</status>
      <modifiedWord/>
      <trackRevisions>false</trackRevisions>
    </reviewItem>
    <reviewItem>
      <errorID>404a5c3a-ba3f-4874-9f0e-56146784b9d5</errorID>
      <errorWord>为主线</errorWord>
      <group>L1_Word</group>
      <groupName>字词问题</groupName>
      <ability>L2_Typo</ability>
      <abilityName>字词错误</abilityName>
      <candidateList>
        <item>为目标</item>
      </candidateList>
      <explain/>
      <paraID>1BB2ECB5</paraID>
      <start>30</start>
      <end>33</end>
      <status>unmodified</status>
      <modifiedWord/>
      <trackRevisions>false</trackRevisions>
    </reviewItem>
    <reviewItem>
      <errorID>f449abf9-d0ee-4040-b5c2-1772ea5297f5</errorID>
      <errorWord>地下水</errorWord>
      <group>L1_Grammar</group>
      <groupName>语法问题</groupName>
      <ability>L2_Grammar</ability>
      <abilityName>语法错误</abilityName>
      <candidateList>
        <item>开展地下水</item>
      </candidateList>
      <explain/>
      <paraID>52596545</paraID>
      <start>195</start>
      <end>198</end>
      <status>unmodified</status>
      <modifiedWord/>
      <trackRevisions>false</trackRevisions>
    </reviewItem>
    <reviewItem>
      <errorID>6acb458d-2a3f-4d4c-9313-c8f8d88b02fe</errorID>
      <errorWord>节能</errorWord>
      <group>L1_Word</group>
      <groupName>字词问题</groupName>
      <ability>L2_Typo</ability>
      <abilityName>字词错误</abilityName>
      <candidateList>
        <item>的节能</item>
      </candidateList>
      <explain/>
      <paraID>4B0DAF52</paraID>
      <start>173</start>
      <end>175</end>
      <status>unmodified</status>
      <modifiedWord/>
      <trackRevisions>false</trackRevisions>
    </reviewItem>
    <reviewItem>
      <errorID>05cb486d-f097-44db-a606-76b4357d746a</errorID>
      <errorWord>信息化</errorWord>
      <group>L1_Political</group>
      <groupName>政治性问题</groupName>
      <ability>L2_Keyword</ability>
      <abilityName>固定表述</abilityName>
      <candidateList>
        <item>、信息化</item>
      </candidateList>
      <explain>此处内容疑似含有固定表述相关错误，建议核查。</explain>
      <paraID>4B0DAF52</paraID>
      <start>185</start>
      <end>188</end>
      <status>unmodified</status>
      <modifiedWord/>
      <trackRevisions>false</trackRevisions>
    </reviewItem>
    <reviewItem>
      <errorID>31a7d008-7676-4294-84a4-3deb3cb9970a</errorID>
      <errorWord>可</errorWord>
      <group>L1_Grammar</group>
      <groupName>语法问题</groupName>
      <ability>L2_Grammar</ability>
      <abilityName>语法错误</abilityName>
      <candidateList>
        <item>实施可</item>
      </candidateList>
      <explain/>
      <paraID>4B0DAF52</paraID>
      <start>282</start>
      <end>283</end>
      <status>unmodified</status>
      <modifiedWord/>
      <trackRevisions>false</trackRevisions>
    </reviewItem>
    <reviewItem>
      <errorID>22a67133-de50-4142-b704-4fbea51b76e7</errorID>
      <errorWord>开展</errorWord>
      <group>L1_Grammar</group>
      <groupName>语法问题</groupName>
      <ability>L2_Grammar</ability>
      <abilityName>语法错误</abilityName>
      <candidateList>
        <item>推行</item>
      </candidateList>
      <explain>“开展～机制”搭配不当，建议修改为“推行～机制”。</explain>
      <paraID>670BB2F4</paraID>
      <start>122</start>
      <end>124</end>
      <status>unmodified</status>
      <modifiedWord/>
      <trackRevisions>false</trackRevisions>
    </reviewItem>
    <reviewItem>
      <errorID>a1aa6e67-a467-4e50-8086-8bc1a507334c</errorID>
      <errorWord>。</errorWord>
      <group>L1_Punc</group>
      <groupName>标点问题</groupName>
      <ability>L2_Punc</ability>
      <abilityName>标点符号检查</abilityName>
      <candidateList>
        <item>，</item>
      </candidateList>
      <explain/>
      <paraID>46DD367F</paraID>
      <start>10</start>
      <end>11</end>
      <status>unmodified</status>
      <modifiedWord/>
      <trackRevisions>false</trackRevisions>
    </reviewItem>
    <reviewItem>
      <errorID>fa438168-bd4c-4306-8a61-6f2a7fc96aaa</errorID>
      <errorWord>建设</errorWord>
      <group>L1_Grammar</group>
      <groupName>语法问题</groupName>
      <ability>L2_Grammar</ability>
      <abilityName>语法错误</abilityName>
      <candidateList>
        <item>基础设施建设</item>
      </candidateList>
      <explain/>
      <paraID>46DD367F</paraID>
      <start>104</start>
      <end>106</end>
      <status>unmodified</status>
      <modifiedWord/>
      <trackRevisions>false</trackRevisions>
    </reviewItem>
    <reviewItem>
      <errorID>809b90bc-b831-4d04-bcb5-f1b8a86f8269</errorID>
      <errorWord>创建</errorWord>
      <group>L1_Grammar</group>
      <groupName>语法问题</groupName>
      <ability>L2_Grammar</ability>
      <abilityName>语法错误</abilityName>
      <candidateList>
        <item>等创建活动</item>
      </candidateList>
      <explain/>
      <paraID>46DD367F</paraID>
      <start>179</start>
      <end>181</end>
      <status>unmodified</status>
      <modifiedWord/>
      <trackRevisions>false</trackRevisions>
    </reviewItem>
    <reviewItem>
      <errorID>24d29034-e450-4630-a383-025860e39542</errorID>
      <errorWord>量水用地</errorWord>
      <group>L1_Punc</group>
      <groupName>标点问题</groupName>
      <ability>L2_Punc</ability>
      <abilityName>标点符号检查</abilityName>
      <candidateList>
        <item>“量水而用”</item>
      </candidateList>
      <explain/>
      <paraID>712D3ACE</paraID>
      <start>88</start>
      <end>92</end>
      <status>unmodified</status>
      <modifiedWord/>
      <trackRevisions>false</trackRevisions>
    </reviewItem>
    <reviewItem>
      <errorID>f70d8403-7d38-4d9a-b60f-9499c4272c9b</errorID>
      <errorWord>城乡建设用地增减挂钩指标</errorWord>
      <group>L1_Word</group>
      <groupName>字词问题</groupName>
      <ability>L2_Typo</ability>
      <abilityName>字词错误</abilityName>
      <candidateList>
        <item>城乡建设用地增减挂钩节余指标</item>
      </candidateList>
      <explain/>
      <paraID>6F35F60E</paraID>
      <start>151</start>
      <end>163</end>
      <status>unmodified</status>
      <modifiedWord/>
      <trackRevisions>false</trackRevisions>
    </reviewItem>
    <reviewItem>
      <errorID>677ae441-5890-48af-a959-e1d1b59d0179</errorID>
      <errorWord>城乡建设用地增减挂钩指标</errorWord>
      <group>L1_Word</group>
      <groupName>字词问题</groupName>
      <ability>L2_Typo</ability>
      <abilityName>字词错误</abilityName>
      <candidateList>
        <item>城乡建设用地增减挂钩节余指标</item>
      </candidateList>
      <explain/>
      <paraID>6F35F60E</paraID>
      <start>189</start>
      <end>201</end>
      <status>unmodified</status>
      <modifiedWord/>
      <trackRevisions>false</trackRevisions>
    </reviewItem>
    <reviewItem>
      <errorID>3188ee46-b3ef-4655-97ec-3f3f4737cd31</errorID>
      <errorWord>城乡建设增减挂钩</errorWord>
      <group>L1_Word</group>
      <groupName>字词问题</groupName>
      <ability>L2_Typo</ability>
      <abilityName>字词错误</abilityName>
      <candidateList>
        <item>城乡建设用地增减挂钩</item>
      </candidateList>
      <explain/>
      <paraID>6F35F60E</paraID>
      <start>254</start>
      <end>262</end>
      <status>unmodified</status>
      <modifiedWord/>
      <trackRevisions>false</trackRevisions>
    </reviewItem>
    <reviewItem>
      <errorID>3ea273e7-2241-4e76-9990-cc66d225337f</errorID>
      <errorWord>体系建设</errorWord>
      <group>L1_Word</group>
      <groupName>字词问题</groupName>
      <ability>L2_Typo</ability>
      <abilityName>字词错误</abilityName>
      <candidateList>
        <item>利用体系</item>
      </candidateList>
      <explain/>
      <paraID> 42D75CB</paraID>
      <start>23</start>
      <end>27</end>
      <status>unmodified</status>
      <modifiedWord/>
      <trackRevisions>false</trackRevisions>
    </reviewItem>
    <reviewItem>
      <errorID>eb432872-5b77-4cc7-9892-da2411c28a6c</errorID>
      <errorWord>-</errorWord>
      <group>L1_Punc</group>
      <groupName>标点问题</groupName>
      <ability>L2_Punc</ability>
      <abilityName>标点符号检查</abilityName>
      <candidateList>
        <item>—</item>
      </candidateList>
      <explain/>
      <paraID> 42D75CB</paraID>
      <start>197</start>
      <end>198</end>
      <status>unmodified</status>
      <modifiedWord/>
      <trackRevisions>false</trackRevisions>
    </reviewItem>
    <reviewItem>
      <errorID>679acfe2-12df-4548-858f-b175b7ed7549</errorID>
      <errorWord>-</errorWord>
      <group>L1_Punc</group>
      <groupName>标点问题</groupName>
      <ability>L2_Punc</ability>
      <abilityName>标点符号检查</abilityName>
      <candidateList>
        <item>—</item>
      </candidateList>
      <explain/>
      <paraID> 42D75CB</paraID>
      <start>201</start>
      <end>202</end>
      <status>unmodified</status>
      <modifiedWord/>
      <trackRevisions>false</trackRevisions>
    </reviewItem>
    <reviewItem>
      <errorID>9c7cc7e5-22ee-425a-bb9e-5abc739d3b31</errorID>
      <errorWord>-</errorWord>
      <group>L1_Punc</group>
      <groupName>标点问题</groupName>
      <ability>L2_Punc</ability>
      <abilityName>标点符号检查</abilityName>
      <candidateList>
        <item>—</item>
      </candidateList>
      <explain/>
      <paraID> 42D75CB</paraID>
      <start>205</start>
      <end>206</end>
      <status>unmodified</status>
      <modifiedWord/>
      <trackRevisions>false</trackRevisions>
    </reviewItem>
    <reviewItem>
      <errorID>7dfd0261-4544-4323-a95b-d5230736fdfb</errorID>
      <errorWord>-</errorWord>
      <group>L1_Format</group>
      <groupName>格式问题</groupName>
      <ability>L2_HalfPunc</ability>
      <abilityName>全半角检查</abilityName>
      <candidateList>
        <item>－</item>
      </candidateList>
      <explain>文本全半角错误。</explain>
      <paraID> 42D75CB</paraID>
      <start>266</start>
      <end>267</end>
      <status>unmodified</status>
      <modifiedWord/>
      <trackRevisions>false</trackRevisions>
    </reviewItem>
    <reviewItem>
      <errorID>24c0a5fc-41ca-4292-a2dd-45738684ba2d</errorID>
      <errorWord>种养殖</errorWord>
      <group>L1_Word</group>
      <groupName>字词问题</groupName>
      <ability>L2_Typo</ability>
      <abilityName>字词错误</abilityName>
      <candidateList>
        <item>种植养殖</item>
      </candidateList>
      <explain/>
      <paraID>669085E1</paraID>
      <start>33</start>
      <end>36</end>
      <status>unmodified</status>
      <modifiedWord/>
      <trackRevisions>false</trackRevisions>
    </reviewItem>
    <reviewItem>
      <errorID>72e9b352-386c-4b33-bf69-ebe2132309ac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669085E1</paraID>
      <start>94</start>
      <end>97</end>
      <status>unmodified</status>
      <modifiedWord/>
      <trackRevisions>false</trackRevisions>
    </reviewItem>
    <reviewItem>
      <errorID>dbc0cccd-c273-4923-90af-2f210c936a00</errorID>
      <errorWord>一岗双责”</errorWord>
      <group>L1_Word</group>
      <groupName>字词问题</groupName>
      <ability>L2_Typo</ability>
      <abilityName>字词错误</abilityName>
      <candidateList>
        <item>“一岗双责”</item>
      </candidateList>
      <explain/>
      <paraID>24DB8697</paraID>
      <start>23</start>
      <end>28</end>
      <status>unmodified</status>
      <modifiedWord/>
      <trackRevisions>false</trackRevisions>
    </reviewItem>
    <reviewItem>
      <errorID>17d9cf56-7e62-4606-b6bd-4024d95004fb</errorID>
      <errorWord>领导</errorWord>
      <group>L1_Word</group>
      <groupName>字词问题</groupName>
      <ability>L2_Typo</ability>
      <abilityName>字词错误</abilityName>
      <candidateList>
        <item>将领导</item>
      </candidateList>
      <explain/>
      <paraID>24DB8697</paraID>
      <start>61</start>
      <end>63</end>
      <status>unmodified</status>
      <modifiedWord/>
      <trackRevisions>false</trackRevisions>
    </reviewItem>
    <reviewItem>
      <errorID>a6ab72cb-724a-4d59-8db9-29090fafcb69</errorID>
      <errorWord>）</errorWord>
      <group>L1_Punc</group>
      <groupName>标点问题</groupName>
      <ability>L2_Punc</ability>
      <abilityName>标点符号检查</abilityName>
      <candidateList>
        <item>）。</item>
      </candidateList>
      <explain/>
      <paraID>70671E5B</paraID>
      <start>28</start>
      <end>29</end>
      <status>unmodified</status>
      <modifiedWord/>
      <trackRevisions>false</trackRevisions>
    </reviewItem>
    <reviewItem>
      <errorID>1dc7a81c-6206-4bbe-a7b6-25655838ca92</errorID>
      <errorWord>，</errorWord>
      <group>L1_Punc</group>
      <groupName>标点问题</groupName>
      <ability>L2_Punc</ability>
      <abilityName>标点符号检查</abilityName>
      <candidateList>
        <item>。</item>
      </candidateList>
      <explain/>
      <paraID>67DA0FCA</paraID>
      <start>27</start>
      <end>28</end>
      <status>unmodified</status>
      <modifiedWord/>
      <trackRevisions>false</trackRevisions>
    </reviewItem>
    <reviewItem>
      <errorID>8a356318-d462-465f-864a-e321c5119501</errorID>
      <errorWord>军地军民团结</errorWord>
      <group>L1_Political</group>
      <groupName>政治性问题</groupName>
      <ability>L2_Keyword</ability>
      <abilityName>固定表述</abilityName>
      <candidateList>
        <item>军政军民团结</item>
      </candidateList>
      <explain>词汇“军政军民团结”在特定场景下为固定表述形式，请确认此处的“军地军民团结”是否存在不当。</explain>
      <paraID>67DA0FCA</paraID>
      <start>432</start>
      <end>438</end>
      <status>unmodified</status>
      <modifiedWord/>
      <trackRevisions>false</trackRevisions>
    </reviewItem>
    <reviewItem>
      <errorID>fa6f1b84-e2ea-4c8f-93bb-97631b61fa40</errorID>
      <errorWord>安全生产治本攻坚行动</errorWord>
      <group>L1_Political</group>
      <groupName>政治性问题</groupName>
      <ability>L2_Keyword</ability>
      <abilityName>固定表述</abilityName>
      <candidateList>
        <item>安全生产治本攻坚三年行动</item>
      </candidateList>
      <explain>词汇“安全生产治本攻坚三年行动”在特定场景下为固定表述形式，请确认此处的“安全生产治本攻坚行动”是否存在不当。</explain>
      <paraID>34801430</paraID>
      <start>21</start>
      <end>31</end>
      <status>unmodified</status>
      <modifiedWord/>
      <trackRevisions>false</trackRevisions>
    </reviewItem>
    <reviewItem>
      <errorID>cc5ab8fd-badc-4919-b307-73d5490bf1e6</errorID>
      <errorWord>一岗双责</errorWord>
      <group>L1_Political</group>
      <groupName>政治性问题</groupName>
      <ability>L2_Keyword</ability>
      <abilityName>固定表述</abilityName>
      <candidateList>
        <item>‘一岗双责’</item>
      </candidateList>
      <explain>注意检查当前固定表述标点是否使用规范。</explain>
      <paraID>34801430</paraID>
      <start>93</start>
      <end>97</end>
      <status>unmodified</status>
      <modifiedWord/>
      <trackRevisions>false</trackRevisions>
    </reviewItem>
    <reviewItem>
      <errorID>9a9ccd75-54c7-415d-82ed-e717a42bc454</errorID>
      <errorWord>违规违法行为</errorWord>
      <group>L1_Word</group>
      <groupName>字词问题</groupName>
      <ability>L2_Typo</ability>
      <abilityName>字词错误</abilityName>
      <candidateList>
        <item>违法违规行为</item>
      </candidateList>
      <explain/>
      <paraID>34801430</paraID>
      <start>182</start>
      <end>188</end>
      <status>unmodified</status>
      <modifiedWord/>
      <trackRevisions>false</trackRevisions>
    </reviewItem>
    <reviewItem>
      <errorID>86d4ae90-86b6-4f27-930f-751ed1a8427f</errorID>
      <errorWord>、</errorWord>
      <group>L1_Punc</group>
      <groupName>标点问题</groupName>
      <ability>L2_Punc</ability>
      <abilityName>标点符号检查</abilityName>
      <candidateList>
        <item/>
      </candidateList>
      <explain/>
      <paraID>1F383E40</paraID>
      <start>54</start>
      <end>55</end>
      <status>unmodified</status>
      <modifiedWord/>
      <trackRevisions>false</trackRevisions>
    </reviewItem>
    <reviewItem>
      <errorID>4dbcdec3-8bfe-427e-ac51-407692ff7736</errorID>
      <errorWord>推动</errorWord>
      <group>L1_Word</group>
      <groupName>字词问题</groupName>
      <ability>L2_Typo</ability>
      <abilityName>字词错误</abilityName>
      <candidateList>
        <item>提升</item>
      </candidateList>
      <explain/>
      <paraID>4BB8E3FB</paraID>
      <start>462</start>
      <end>464</end>
      <status>unmodified</status>
      <modifiedWord/>
      <trackRevisions>false</trackRevisions>
    </reviewItem>
    <reviewItem>
      <errorID>8529c564-bd4f-494d-9c70-93dd48f5ad08</errorID>
      <errorWord>常态化推进扫黑除恶</errorWord>
      <group>L1_Political</group>
      <groupName>政治性问题</groupName>
      <ability>L2_Keyword</ability>
      <abilityName>固定表述</abilityName>
      <candidateList>
        <item>常态化开展扫黑除恶</item>
      </candidateList>
      <explain>词汇“常态化开展扫黑除恶”在特定场景下为固定表述形式，请确认此处的“常态化推进扫黑除恶”是否存在不当。</explain>
      <paraID>4D800ED0</paraID>
      <start>163</start>
      <end>172</end>
      <status>unmodified</status>
      <modifiedWord/>
      <trackRevisions>false</trackRevisions>
    </reviewItem>
    <reviewItem>
      <errorID>06898a39-9bef-491e-afe0-c0e7b461e071</errorID>
      <errorWord>，</errorWord>
      <group>L1_Grammar</group>
      <groupName>语法问题</groupName>
      <ability>L2_Grammar</ability>
      <abilityName>语法错误</abilityName>
      <candidateList>
        <item>斗争，</item>
      </candidateList>
      <explain/>
      <paraID>4D800ED0</paraID>
      <start>172</start>
      <end>173</end>
      <status>unmodified</status>
      <modifiedWord/>
      <trackRevisions>false</trackRevisions>
    </reviewItem>
    <reviewItem>
      <errorID>543e01c6-06d4-440d-ac96-470df01c4a1f</errorID>
      <errorWord>建设项目</errorWord>
      <group>L1_Punc</group>
      <groupName>标点问题</groupName>
      <ability>L2_Punc</ability>
      <abilityName>标点符号检查</abilityName>
      <candidateList>
        <item>建设项目。</item>
      </candidateList>
      <explain/>
      <paraID>1A3F4C0E</paraID>
      <start>64</start>
      <end>68</end>
      <status>unmodified</status>
      <modifiedWord/>
      <trackRevisions>false</trackRevisions>
    </reviewItem>
    <reviewItem>
      <errorID>974e85ce-a4ad-40b4-baa8-751dc6f95763</errorID>
      <errorWord>建设项目</errorWord>
      <group>L1_Punc</group>
      <groupName>标点问题</groupName>
      <ability>L2_Punc</ability>
      <abilityName>标点符号检查</abilityName>
      <candidateList>
        <item>建设项目。</item>
      </candidateList>
      <explain/>
      <paraID> 9556B43</paraID>
      <start>30</start>
      <end>34</end>
      <status>unmodified</status>
      <modifiedWord/>
      <trackRevisions>false</trackRevisions>
    </reviewItem>
    <reviewItem>
      <errorID>e441d4dc-46b9-4907-810e-9993d3483695</errorID>
      <errorWord>，</errorWord>
      <group>L1_Punc</group>
      <groupName>标点问题</groupName>
      <ability>L2_Punc</ability>
      <abilityName>标点符号检查</abilityName>
      <candidateList>
        <item>；</item>
      </candidateList>
      <explain/>
      <paraID>3BFD426E</paraID>
      <start>77</start>
      <end>78</end>
      <status>unmodified</status>
      <modifiedWord/>
      <trackRevisions>false</trackRevisions>
    </reviewItem>
    <reviewItem>
      <errorID>a01f8411-0b55-4840-b4ac-ee3b6061213b</errorID>
      <errorWord>储运加</errorWord>
      <group>L1_Word</group>
      <groupName>字词问题</groupName>
      <ability>L2_Typo</ability>
      <abilityName>字词错误</abilityName>
      <candidateList>
        <item>储运</item>
      </candidateList>
      <explain/>
      <paraID>4F11431F</paraID>
      <start>332</start>
      <end>335</end>
      <status>unmodified</status>
      <modifiedWord/>
      <trackRevisions>false</trackRevisions>
    </reviewItem>
    <reviewItem>
      <errorID>10b1510c-06f6-4cc4-8809-59476ddd5405</errorID>
      <errorWord>场景</errorWord>
      <group>L1_Punc</group>
      <groupName>标点问题</groupName>
      <ability>L2_Punc</ability>
      <abilityName>标点符号检查</abilityName>
      <candidateList>
        <item>：场景</item>
      </candidateList>
      <explain/>
      <paraID>6448CC5C</paraID>
      <start>0</start>
      <end>2</end>
      <status>unmodified</status>
      <modifiedWord/>
      <trackRevisions>false</trackRevisions>
    </reviewItem>
    <reviewItem>
      <errorID>08c6dab7-e224-460f-992f-7836a541f02f</errorID>
      <errorWord>电力</errorWord>
      <group>L1_Punc</group>
      <groupName>标点问题</groupName>
      <ability>L2_Punc</ability>
      <abilityName>标点符号检查</abilityName>
      <candidateList>
        <item>：电力</item>
      </candidateList>
      <explain/>
      <paraID>2A5CA90F</paraID>
      <start>0</start>
      <end>2</end>
      <status>unmodified</status>
      <modifiedWord/>
      <trackRevisions>false</trackRevisions>
    </reviewItem>
    <reviewItem>
      <errorID>f490fb92-7d86-4bad-8ee3-4b6a427b0f34</errorID>
      <errorWord>500kv</errorWord>
      <group>L1_Word</group>
      <groupName>字词问题</groupName>
      <ability>L2_Typo</ability>
      <abilityName>字词错误</abilityName>
      <candidateList>
        <item>500kV</item>
      </candidateList>
      <explain/>
      <paraID>6F1A96B3</paraID>
      <start>116</start>
      <end>121</end>
      <status>unmodified</status>
      <modifiedWord/>
      <trackRevisions>false</trackRevisions>
    </reviewItem>
    <reviewItem>
      <errorID>bf026bca-b907-47c7-91f8-5e3ce95b2223</errorID>
      <errorWord>II</errorWord>
      <group>L1_Knowledge</group>
      <groupName>知识性问题</groupName>
      <ability>L2_Knowledge</ability>
      <abilityName>其他知识</abilityName>
      <candidateList>
        <item>Ⅱ</item>
      </candidateList>
      <explain/>
      <paraID>2715C66C</paraID>
      <start>97</start>
      <end>99</end>
      <status>unmodified</status>
      <modifiedWord/>
      <trackRevisions>false</trackRevisions>
    </reviewItem>
    <reviewItem>
      <errorID>e3edd3a9-8631-4f1c-93df-96a54abdbc22</errorID>
      <errorWord>全面谱写乡村振兴</errorWord>
      <group>L1_Political</group>
      <groupName>政治性问题</groupName>
      <ability>L2_Keyword</ability>
      <abilityName>固定表述</abilityName>
      <candidateList>
        <item>全面推进乡村振兴</item>
      </candidateList>
      <explain>词汇“全面推进乡村振兴”在特定场景下为固定表述形式，请确认此处的“全面谱写乡村振兴”是否存在不当。</explain>
      <paraID>32B0FD0A</paraID>
      <start>13</start>
      <end>21</end>
      <status>unmodified</status>
      <modifiedWord/>
      <trackRevisions>false</trackRevisions>
    </reviewItem>
    <reviewItem>
      <errorID>a61c1442-a3ed-483d-82c5-bba43c02eb78</errorID>
      <errorWord>深化</errorWord>
      <group>L1_Punc</group>
      <groupName>标点问题</groupName>
      <ability>L2_Punc</ability>
      <abilityName>标点符号检查</abilityName>
      <candidateList>
        <item>。深化</item>
      </candidateList>
      <explain/>
      <paraID>3A619797</paraID>
      <start>228</start>
      <end>230</end>
      <status>unmodified</status>
      <modifiedWord/>
      <trackRevisions>false</trackRevisions>
    </reviewItem>
    <reviewItem>
      <errorID>53ce9323-1dfd-4d34-9cb6-f5d327732c2b</errorID>
      <errorWord>建设</errorWord>
      <group>L1_Word</group>
      <groupName>字词问题</groupName>
      <ability>L2_Typo</ability>
      <abilityName>字词错误</abilityName>
      <candidateList>
        <item>构建</item>
      </candidateList>
      <explain/>
      <paraID>4D014223</paraID>
      <start>19</start>
      <end>21</end>
      <status>unmodified</status>
      <modifiedWord/>
      <trackRevisions>false</trackRevisions>
    </reviewItem>
    <reviewItem>
      <errorID>e105a08d-0981-4900-b931-403798abc286</errorID>
      <errorWord>-</errorWord>
      <group>L1_Punc</group>
      <groupName>标点问题</groupName>
      <ability>L2_Punc</ability>
      <abilityName>标点符号检查</abilityName>
      <candidateList>
        <item>－</item>
      </candidateList>
      <explain/>
      <paraID>6EB5A494</paraID>
      <start>81</start>
      <end>82</end>
      <status>unmodified</status>
      <modifiedWord/>
      <trackRevisions>false</trackRevisions>
    </reviewItem>
    <reviewItem>
      <errorID>25e1c377-a0d0-464a-8440-8cf04fd7d646</errorID>
      <errorWord>-</errorWord>
      <group>L1_Punc</group>
      <groupName>标点问题</groupName>
      <ability>L2_Punc</ability>
      <abilityName>标点符号检查</abilityName>
      <candidateList>
        <item>－</item>
      </candidateList>
      <explain/>
      <paraID>6EB5A494</paraID>
      <start>86</start>
      <end>87</end>
      <status>unmodified</status>
      <modifiedWord/>
      <trackRevisions>false</trackRevisions>
    </reviewItem>
    <reviewItem>
      <errorID>983a1f9a-74b9-45b9-9829-4e22e24ac604</errorID>
      <errorWord>-</errorWord>
      <group>L1_Punc</group>
      <groupName>标点问题</groupName>
      <ability>L2_Punc</ability>
      <abilityName>标点符号检查</abilityName>
      <candidateList>
        <item>－</item>
      </candidateList>
      <explain/>
      <paraID>6EB5A494</paraID>
      <start>94</start>
      <end>95</end>
      <status>unmodified</status>
      <modifiedWord/>
      <trackRevisions>false</trackRevisions>
    </reviewItem>
    <reviewItem>
      <errorID>b29a9e42-468a-487d-99a5-bff4d9fea1ca</errorID>
      <errorWord>-</errorWord>
      <group>L1_Punc</group>
      <groupName>标点问题</groupName>
      <ability>L2_Punc</ability>
      <abilityName>标点符号检查</abilityName>
      <candidateList>
        <item>－</item>
      </candidateList>
      <explain/>
      <paraID>6EB5A494</paraID>
      <start>216</start>
      <end>217</end>
      <status>unmodified</status>
      <modifiedWord/>
      <trackRevisions>false</trackRevisions>
    </reviewItem>
    <reviewItem>
      <errorID>c47e92ca-e231-4da2-a973-d8b645a2c1bf</errorID>
      <errorWord>-</errorWord>
      <group>L1_Punc</group>
      <groupName>标点问题</groupName>
      <ability>L2_Punc</ability>
      <abilityName>标点符号检查</abilityName>
      <candidateList>
        <item>－</item>
      </candidateList>
      <explain/>
      <paraID>6EB5A494</paraID>
      <start>220</start>
      <end>221</end>
      <status>unmodified</status>
      <modifiedWord/>
      <trackRevisions>false</trackRevisions>
    </reviewItem>
    <reviewItem>
      <errorID>003860a3-e539-4840-8b6d-b8a0a18ca1b1</errorID>
      <errorWord>-</errorWord>
      <group>L1_Punc</group>
      <groupName>标点问题</groupName>
      <ability>L2_Punc</ability>
      <abilityName>标点符号检查</abilityName>
      <candidateList>
        <item>－</item>
      </candidateList>
      <explain/>
      <paraID>6EB5A494</paraID>
      <start>378</start>
      <end>379</end>
      <status>unmodified</status>
      <modifiedWord/>
      <trackRevisions>false</trackRevisions>
    </reviewItem>
    <reviewItem>
      <errorID>6c1b6565-af8b-4dd2-b719-432c7b8faece</errorID>
      <errorWord>牌</errorWord>
      <group>L1_Word</group>
      <groupName>字词问题</groupName>
      <ability>L2_Typo</ability>
      <abilityName>字词错误</abilityName>
      <candidateList>
        <item>牌为</item>
      </candidateList>
      <explain/>
      <paraID>4977A558</paraID>
      <start>24</start>
      <end>25</end>
      <status>unmodified</status>
      <modifiedWord/>
      <trackRevisions>false</trackRevisions>
    </reviewItem>
    <reviewItem>
      <errorID>f3a3b55d-371c-4775-83de-a077712c20a6</errorID>
      <errorWord>农畜</errorWord>
      <group>L1_Word</group>
      <groupName>字词问题</groupName>
      <ability>L2_Typo</ability>
      <abilityName>字词错误</abilityName>
      <candidateList>
        <item> 农畜</item>
      </candidateList>
      <explain/>
      <paraID> E0F0A3F</paraID>
      <start>0</start>
      <end>2</end>
      <status>unmodified</status>
      <modifiedWord/>
      <trackRevisions>false</trackRevisions>
    </reviewItem>
    <reviewItem>
      <errorID>8b9c53d2-c06f-4b83-bd46-5a08d4a12bfd</errorID>
      <errorWord>推进</errorWord>
      <group>L1_Punc</group>
      <groupName>标点问题</groupName>
      <ability>L2_Punc</ability>
      <abilityName>标点符号检查</abilityName>
      <candidateList>
        <item>：推进</item>
      </candidateList>
      <explain/>
      <paraID>41B3080E</paraID>
      <start>0</start>
      <end>2</end>
      <status>unmodified</status>
      <modifiedWord/>
      <trackRevisions>false</trackRevisions>
    </reviewItem>
    <reviewItem>
      <errorID>7475a736-ccd8-4a19-8b5e-cb83d917dd8b</errorID>
      <errorWord>农牧业社会化服务</errorWord>
      <group>L1_Political</group>
      <groupName>政治性问题</groupName>
      <ability>L2_Keyword</ability>
      <abilityName>固定表述</abilityName>
      <candidateList>
        <item>农业社会化服务</item>
      </candidateList>
      <explain>词汇“农业社会化服务”在特定场景下为固定表述形式，请确认此处的“农牧业社会化服务”是否存在不当。</explain>
      <paraID>65C58320</paraID>
      <start>221</start>
      <end>229</end>
      <status>unmodified</status>
      <modifiedWord/>
      <trackRevisions>false</trackRevisions>
    </reviewItem>
    <reviewItem>
      <errorID>736baa9c-3155-4a2f-81d6-002b846665ed</errorID>
      <errorWord>呼伦贝尔</errorWord>
      <group>L1_Grammar</group>
      <groupName>语法问题</groupName>
      <ability>L2_Grammar</ability>
      <abilityName>语法错误</abilityName>
      <candidateList>
        <item>推进呼伦贝尔</item>
      </candidateList>
      <explain/>
      <paraID> 809994D</paraID>
      <start>222</start>
      <end>226</end>
      <status>unmodified</status>
      <modifiedWord/>
      <trackRevisions>false</trackRevisions>
    </reviewItem>
    <reviewItem>
      <errorID>62c8e811-e90f-4f32-9e23-5b35c4da6b03</errorID>
      <errorWord>协作</errorWord>
      <group>L1_Word</group>
      <groupName>字词问题</groupName>
      <ability>L2_Typo</ability>
      <abilityName>字词错误</abilityName>
      <candidateList>
        <item>发展</item>
      </candidateList>
      <explain/>
      <paraID>5424200F</paraID>
      <start>10</start>
      <end>12</end>
      <status>unmodified</status>
      <modifiedWord/>
      <trackRevisions>false</trackRevisions>
    </reviewItem>
    <reviewItem>
      <errorID>0dcf6888-cad1-4085-bdfb-32db9ce926a3</errorID>
      <errorWord>。</errorWord>
      <group>L1_Punc</group>
      <groupName>标点问题</groupName>
      <ability>L2_Punc</ability>
      <abilityName>标点符号检查</abilityName>
      <candidateList>
        <item>，</item>
      </candidateList>
      <explain/>
      <paraID>4D0A123B</paraID>
      <start>9</start>
      <end>10</end>
      <status>unmodified</status>
      <modifiedWord/>
      <trackRevisions>false</trackRevisions>
    </reviewItem>
    <reviewItem>
      <errorID>6d265284-1b42-4445-a090-cec81a6d846d</errorID>
      <errorWord>。</errorWord>
      <group>L1_Punc</group>
      <groupName>标点问题</groupName>
      <ability>L2_Punc</ability>
      <abilityName>标点符号检查</abilityName>
      <candidateList>
        <item>，</item>
      </candidateList>
      <explain/>
      <paraID>166A3B5A</paraID>
      <start>13</start>
      <end>14</end>
      <status>unmodified</status>
      <modifiedWord/>
      <trackRevisions>false</trackRevisions>
    </reviewItem>
    <reviewItem>
      <errorID>05b47d16-b3f8-415b-b5fa-776e1f1b04f4</errorID>
      <errorWord>优质</errorWord>
      <group>L1_Grammar</group>
      <groupName>语法问题</groupName>
      <ability>L2_Grammar</ability>
      <abilityName>语法错误</abilityName>
      <candidateList>
        <item>参加优质</item>
      </candidateList>
      <explain/>
      <paraID>166A3B5A</paraID>
      <start>106</start>
      <end>108</end>
      <status>unmodified</status>
      <modifiedWord/>
      <trackRevisions>false</trackRevisions>
    </reviewItem>
    <reviewItem>
      <errorID>4a87d82e-be0a-462a-8a72-3f1892a1a3fa</errorID>
      <errorWord>参与</errorWord>
      <group>L1_Word</group>
      <groupName>字词问题</groupName>
      <ability>L2_Typo</ability>
      <abilityName>字词错误</abilityName>
      <candidateList>
        <item>的</item>
      </candidateList>
      <explain/>
      <paraID>166A3B5A</paraID>
      <start>131</start>
      <end>133</end>
      <status>unmodified</status>
      <modifiedWord/>
      <trackRevisions>false</trackRevisions>
    </reviewItem>
    <reviewItem>
      <errorID>39f440b8-f0db-4e48-a066-559ed04c21ec</errorID>
      <errorWord>。</errorWord>
      <group>L1_Punc</group>
      <groupName>标点问题</groupName>
      <ability>L2_Punc</ability>
      <abilityName>标点符号检查</abilityName>
      <candidateList>
        <item>，</item>
      </candidateList>
      <explain/>
      <paraID>62802EB9</paraID>
      <start>10</start>
      <end>11</end>
      <status>unmodified</status>
      <modifiedWord/>
      <trackRevisions>false</trackRevisions>
    </reviewItem>
    <reviewItem>
      <errorID>4cd89b30-cf0f-4606-8ac9-a1bf2509adb0</errorID>
      <errorWord>。</errorWord>
      <group>L1_Punc</group>
      <groupName>标点问题</groupName>
      <ability>L2_Punc</ability>
      <abilityName>标点符号检查</abilityName>
      <candidateList>
        <item>，</item>
      </candidateList>
      <explain/>
      <paraID>6A8D642B</paraID>
      <start>10</start>
      <end>11</end>
      <status>unmodified</status>
      <modifiedWord/>
      <trackRevisions>false</trackRevisions>
    </reviewItem>
    <reviewItem>
      <errorID>7b835da4-188d-4e8f-8fa0-7b4d23380b3f</errorID>
      <errorWord>主要畜种为主</errorWord>
      <group>L1_Grammar</group>
      <groupName>语法问题</groupName>
      <ability>L2_Grammar</ability>
      <abilityName>语法错误</abilityName>
      <candidateList>
        <item>畜种为主</item>
      </candidateList>
      <explain/>
      <paraID>3D0CA91E</paraID>
      <start>77</start>
      <end>83</end>
      <status>unmodified</status>
      <modifiedWord/>
      <trackRevisions>false</trackRevisions>
    </reviewItem>
    <reviewItem>
      <errorID>6ec08a24-f7f4-420c-8166-dc760a6420a7</errorID>
      <errorWord>加大对</errorWord>
      <group>L1_Word</group>
      <groupName>字词问题</groupName>
      <ability>L2_Typo</ability>
      <abilityName>字词错误</abilityName>
      <candidateList>
        <item>加大</item>
      </candidateList>
      <explain/>
      <paraID>3D0CA91E</paraID>
      <start>631</start>
      <end>634</end>
      <status>unmodified</status>
      <modifiedWord/>
      <trackRevisions>false</trackRevisions>
    </reviewItem>
    <reviewItem>
      <errorID>b531c4a7-327a-4032-868f-79471e33432a</errorID>
      <errorWord>推广应用</errorWord>
      <group>L1_Word</group>
      <groupName>字词问题</groupName>
      <ability>L2_Typo</ability>
      <abilityName>字词错误</abilityName>
      <candidateList>
        <item>的推广应用</item>
      </candidateList>
      <explain/>
      <paraID>3D0CA91E</paraID>
      <start>640</start>
      <end>644</end>
      <status>unmodified</status>
      <modifiedWord/>
      <trackRevisions>false</trackRevisions>
    </reviewItem>
    <reviewItem>
      <errorID>0921af15-ded5-47a2-831e-ccf41aa1ea08</errorID>
      <errorWord>普惠性养老服务</errorWord>
      <group>L1_Political</group>
      <groupName>政治性问题</groupName>
      <ability>L2_Keyword</ability>
      <abilityName>固定表述</abilityName>
      <candidateList>
        <item>普惠养老服务</item>
      </candidateList>
      <explain>词汇“普惠养老服务”在特定场景下为固定表述形式，请确认此处的“普惠性养老服务”是否存在不当。</explain>
      <paraID>6255AC2B</paraID>
      <start>51</start>
      <end>58</end>
      <status>unmodified</status>
      <modifiedWord/>
      <trackRevisions>false</trackRevisions>
    </reviewItem>
    <reviewItem>
      <errorID>418274cc-e0a0-4785-bab4-b5d713477b44</errorID>
      <errorWord>农牧业</errorWord>
      <group>L1_Word</group>
      <groupName>字词问题</groupName>
      <ability>L2_Typo</ability>
      <abilityName>字词错误</abilityName>
      <candidateList>
        <item>畜牧业</item>
      </candidateList>
      <explain/>
      <paraID>17A26A1F</paraID>
      <start>220</start>
      <end>223</end>
      <status>unmodified</status>
      <modifiedWord/>
      <trackRevisions>false</trackRevisions>
    </reviewItem>
    <reviewItem>
      <errorID>92410ca8-9663-41f7-8d34-c6698953b949</errorID>
      <errorWord>生态系统增汇</errorWord>
      <group>L1_Political</group>
      <groupName>政治性问题</groupName>
      <ability>L2_Keyword</ability>
      <abilityName>固定表述</abilityName>
      <candidateList>
        <item>生态系统碳汇</item>
      </candidateList>
      <explain>词汇“生态系统碳汇”在特定场景下为固定表述形式，请确认此处的“生态系统增汇”是否存在不当。</explain>
      <paraID>6C0635C3</paraID>
      <start>197</start>
      <end>203</end>
      <status>unmodified</status>
      <modifiedWord/>
      <trackRevisions>false</trackRevisions>
    </reviewItem>
    <reviewItem>
      <errorID>5d771677-4865-4360-a239-2c096fcd1d7c</errorID>
      <errorWord>科技型领军企业</errorWord>
      <group>L1_Political</group>
      <groupName>政治性问题</groupName>
      <ability>L2_Keyword</ability>
      <abilityName>固定表述</abilityName>
      <candidateList>
        <item>科技领军企业</item>
      </candidateList>
      <explain>词汇“科技领军企业”在特定场景下为固定表述形式，请确认此处的“科技型领军企业”是否存在不当。</explain>
      <paraID>2E4EF028</paraID>
      <start>81</start>
      <end>88</end>
      <status>unmodified</status>
      <modifiedWord/>
      <trackRevisions>false</trackRevisions>
    </reviewItem>
    <reviewItem>
      <errorID>4fa7d57b-da29-4f40-a352-ed7f1e3dd8bd</errorID>
      <errorWord>科技型领军企业</errorWord>
      <group>L1_Political</group>
      <groupName>政治性问题</groupName>
      <ability>L2_Keyword</ability>
      <abilityName>固定表述</abilityName>
      <candidateList>
        <item>科技领军企业</item>
      </candidateList>
      <explain>词汇“科技领军企业”在特定场景下为固定表述形式，请确认此处的“科技型领军企业”是否存在不当。</explain>
      <paraID>2E4EF028</paraID>
      <start>210</start>
      <end>217</end>
      <status>unmodified</status>
      <modifiedWord/>
      <trackRevisions>false</trackRevisions>
    </reviewItem>
    <reviewItem>
      <errorID>bf76d9dd-b046-4bae-b8b8-ac28848a46ee</errorID>
      <errorWord>办好人民满意教育</errorWord>
      <group>L1_Political</group>
      <groupName>政治性问题</groupName>
      <ability>L2_Keyword</ability>
      <abilityName>固定表述</abilityName>
      <candidateList>
        <item>办好人民满意的教育</item>
      </candidateList>
      <explain>词汇“办好人民满意的教育”在特定场景下为固定表述形式，请确认此处的“办好人民满意教育”是否存在不当。</explain>
      <paraID>50B3A190</paraID>
      <start>4</start>
      <end>12</end>
      <status>unmodified</status>
      <modifiedWord/>
      <trackRevisions>false</trackRevisions>
    </reviewItem>
    <reviewItem>
      <errorID>18a53830-97a9-4ded-801c-5ef5b03891d2</errorID>
      <errorWord>汽车消费由购买管理向使用管理转变</errorWord>
      <group>L1_Political</group>
      <groupName>政治性问题</groupName>
      <ability>L2_Keyword</ability>
      <abilityName>固定表述</abilityName>
      <candidateList>
        <item>汽车消费从购买管理向使用管理转变</item>
      </candidateList>
      <explain>词汇“汽车消费从购买管理向使用管理转变”在特定场景下为固定表述形式，请确认此处的“汽车消费由购买管理向使用管理转变”是否存在不当。</explain>
      <paraID> 9FDEA75</paraID>
      <start>204</start>
      <end>220</end>
      <status>unmodified</status>
      <modifiedWord/>
      <trackRevisions>false</trackRevisions>
    </reviewItem>
    <reviewItem>
      <errorID>280c0af6-3280-4051-9a9f-b2adad761393</errorID>
      <errorWord>养老育幼服务</errorWord>
      <group>L1_Political</group>
      <groupName>政治性问题</groupName>
      <ability>L2_Keyword</ability>
      <abilityName>固定表述</abilityName>
      <candidateList>
        <item>养老托幼服务</item>
      </candidateList>
      <explain>词汇“养老托幼服务”在特定场景下为固定表述形式，请确认此处的“养老育幼服务”是否存在不当。</explain>
      <paraID>54202E19</paraID>
      <start>99</start>
      <end>105</end>
      <status>unmodified</status>
      <modifiedWord/>
      <trackRevisions>false</trackRevisions>
    </reviewItem>
    <reviewItem>
      <errorID>4e7cbdfa-3a00-4215-8f4a-835689de4623</errorID>
      <errorWord>中小学春秋假</errorWord>
      <group>L1_Political</group>
      <groupName>政治性问题</groupName>
      <ability>L2_Keyword</ability>
      <abilityName>固定表述</abilityName>
      <candidateList>
        <item>中小学“春秋假”</item>
      </candidateList>
      <explain>注意检查当前固定表述标点是否使用规范。</explain>
      <paraID>719560E7</paraID>
      <start>196</start>
      <end>202</end>
      <status>unmodified</status>
      <modifiedWord/>
      <trackRevisions>false</trackRevisions>
    </reviewItem>
    <reviewItem>
      <errorID>1f34b62f-3e7a-44e1-bb07-b94e4f85a957</errorID>
      <errorWord>A级景区</errorWord>
      <group>L1_Word</group>
      <groupName>字词问题</groupName>
      <ability>L2_Typo</ability>
      <abilityName>字词错误</abilityName>
      <candidateList>
        <item>A级旅游景区</item>
      </candidateList>
      <explain/>
      <paraID>216AAF71</paraID>
      <start>302</start>
      <end>306</end>
      <status>unmodified</status>
      <modifiedWord/>
      <trackRevisions>false</trackRevisions>
    </reviewItem>
    <reviewItem>
      <errorID>a08396f0-3f46-4762-a9c5-176ab8990379</errorID>
      <errorWord>民营经济促进法</errorWord>
      <group>L1_Knowledge</group>
      <groupName>知识性问题</groupName>
      <ability>L2_Knowledge</ability>
      <abilityName>其他知识</abilityName>
      <candidateList>
        <item>中华人民共和国民营经济促进法</item>
      </candidateList>
      <explain>当前法律法规名称使用简称，请注意是否应当使用全称。</explain>
      <paraID>1B294486</paraID>
      <start>16</start>
      <end>23</end>
      <status>unmodified</status>
      <modifiedWord/>
      <trackRevisions>false</trackRevisions>
    </reviewItem>
    <reviewItem>
      <errorID>baf9150a-f966-4d3e-9fe3-1b0f92163d8d</errorID>
      <errorWord>清理拖欠账款长效机制</errorWord>
      <group>L1_Political</group>
      <groupName>政治性问题</groupName>
      <ability>L2_Keyword</ability>
      <abilityName>固定表述</abilityName>
      <candidateList>
        <item>清理拖欠企业账款长效机制</item>
      </candidateList>
      <explain>词汇“清理拖欠企业账款长效机制”在特定场景下为固定表述形式，请确认此处的“清理拖欠账款长效机制”是否存在不当。</explain>
      <paraID>1B294486</paraID>
      <start>143</start>
      <end>153</end>
      <status>unmodified</status>
      <modifiedWord/>
      <trackRevisions>false</trackRevisions>
    </reviewItem>
    <reviewItem>
      <errorID>fa12cabf-65a1-4df7-9ea4-4aef5d11ad24</errorID>
      <errorWord>市场经济基础性制度</errorWord>
      <group>L1_Political</group>
      <groupName>政治性问题</groupName>
      <ability>L2_Keyword</ability>
      <abilityName>固定表述</abilityName>
      <candidateList>
        <item>市场经济基础制度</item>
      </candidateList>
      <explain>词汇“市场经济基础制度”在特定场景下为固定表述形式，请确认此处的“市场经济基础性制度”是否存在不当。</explain>
      <paraID>34C5C0DE</paraID>
      <start>2</start>
      <end>11</end>
      <status>unmodified</status>
      <modifiedWord/>
      <trackRevisions>false</trackRevisions>
    </reviewItem>
    <reviewItem>
      <errorID>71637f6b-20ee-46c7-a957-bde61a8e2cca</errorID>
      <errorWord>-</errorWord>
      <group>L1_Format</group>
      <groupName>格式问题</groupName>
      <ability>L2_HalfPunc</ability>
      <abilityName>全半角检查</abilityName>
      <candidateList>
        <item>－</item>
      </candidateList>
      <explain>文本全半角错误。</explain>
      <paraID>53EEFCFA</paraID>
      <start>263</start>
      <end>264</end>
      <status>unmodified</status>
      <modifiedWord/>
      <trackRevisions>false</trackRevisions>
    </reviewItem>
    <reviewItem>
      <errorID>a4d0a26a-3816-488a-990a-df5067d3cf77</errorID>
      <errorWord>-</errorWord>
      <group>L1_Format</group>
      <groupName>格式问题</groupName>
      <ability>L2_HalfPunc</ability>
      <abilityName>全半角检查</abilityName>
      <candidateList>
        <item>－</item>
      </candidateList>
      <explain>文本全半角错误。</explain>
      <paraID>53EEFCFA</paraID>
      <start>267</start>
      <end>268</end>
      <status>unmodified</status>
      <modifiedWord/>
      <trackRevisions>false</trackRevisions>
    </reviewItem>
    <reviewItem>
      <errorID>86facaed-4b6f-448e-b525-cca248f7cd28</errorID>
      <errorWord>-</errorWord>
      <group>L1_Format</group>
      <groupName>格式问题</groupName>
      <ability>L2_HalfPunc</ability>
      <abilityName>全半角检查</abilityName>
      <candidateList>
        <item>－</item>
      </candidateList>
      <explain>文本全半角错误。</explain>
      <paraID>53EEFCFA</paraID>
      <start>271</start>
      <end>272</end>
      <status>unmodified</status>
      <modifiedWord/>
      <trackRevisions>false</trackRevisions>
    </reviewItem>
    <reviewItem>
      <errorID>4addc0b8-7550-4d05-b45a-a7756d2879ac</errorID>
      <errorWord>平急两用</errorWord>
      <group>L1_Political</group>
      <groupName>政治性问题</groupName>
      <ability>L2_Keyword</ability>
      <abilityName>固定表述</abilityName>
      <candidateList>
        <item>“平急两用”</item>
      </candidateList>
      <explain>注意检查当前固定表述标点是否使用规范。</explain>
      <paraID>714E355E</paraID>
      <start>210</start>
      <end>214</end>
      <status>unmodified</status>
      <modifiedWord/>
      <trackRevisions>false</trackRevisions>
    </reviewItem>
    <reviewItem>
      <errorID>6d1aa8ac-d33a-4a01-85bf-9d0189f3edf7</errorID>
      <errorWord>公共安全和管理</errorWord>
      <group>L1_Political</group>
      <groupName>政治性问题</groupName>
      <ability>L2_Keyword</ability>
      <abilityName>固定表述</abilityName>
      <candidateList>
        <item>公共安全治理</item>
      </candidateList>
      <explain>词汇“公共安全治理”在特定场景下为固定表述形式，请确认此处的“公共安全和管理”是否存在不当。</explain>
      <paraID>26051CE8</paraID>
      <start>147</start>
      <end>154</end>
      <status>unmodified</status>
      <modifiedWord/>
      <trackRevisions>false</trackRevisions>
    </reviewItem>
    <reviewItem>
      <errorID>8f21989c-bb09-4ff6-b015-263b584234f3</errorID>
      <errorWord>农牧业转移人口</errorWord>
      <group>L1_Political</group>
      <groupName>政治性问题</groupName>
      <ability>L2_Keyword</ability>
      <abilityName>固定表述</abilityName>
      <candidateList>
        <item>农业转移人口</item>
      </candidateList>
      <explain>词汇“农业转移人口”在特定场景下为固定表述形式，请确认此处的“农牧业转移人口”是否存在不当。</explain>
      <paraID>5FA76CB5</paraID>
      <start>102</start>
      <end>109</end>
      <status>unmodified</status>
      <modifiedWord/>
      <trackRevisions>false</trackRevisions>
    </reviewItem>
    <reviewItem>
      <errorID>77c3c320-9803-47ea-80f2-f91a0050dcad</errorID>
      <errorWord>农牧业转移人口</errorWord>
      <group>L1_Political</group>
      <groupName>政治性问题</groupName>
      <ability>L2_Keyword</ability>
      <abilityName>固定表述</abilityName>
      <candidateList>
        <item>农业转移人口</item>
      </candidateList>
      <explain>词汇“农业转移人口”在特定场景下为固定表述形式，请确认此处的“农牧业转移人口”是否存在不当。</explain>
      <paraID>5FA76CB5</paraID>
      <start>182</start>
      <end>189</end>
      <status>unmodified</status>
      <modifiedWord/>
      <trackRevisions>false</trackRevisions>
    </reviewItem>
    <reviewItem>
      <errorID>523d490e-5af1-4f20-af1a-27036cc6447a</errorID>
      <errorWord>更好服务</errorWord>
      <group>L1_Word</group>
      <groupName>字词问题</groupName>
      <ability>L2_Typo</ability>
      <abilityName>字词错误</abilityName>
      <candidateList>
        <item>更好地服务</item>
      </candidateList>
      <explain/>
      <paraID>5DFDEEDF</paraID>
      <start>303</start>
      <end>307</end>
      <status>unmodified</status>
      <modifiedWord/>
      <trackRevisions>false</trackRevisions>
    </reviewItem>
    <reviewItem>
      <errorID>67b6d1af-831d-4533-8c4e-ce97da94f7b9</errorID>
      <errorWord>-</errorWord>
      <group>L1_Format</group>
      <groupName>格式问题</groupName>
      <ability>L2_HalfPunc</ability>
      <abilityName>全半角检查</abilityName>
      <candidateList>
        <item>－</item>
      </candidateList>
      <explain>文本全半角错误。</explain>
      <paraID>3A9C119F</paraID>
      <start>256</start>
      <end>257</end>
      <status>unmodified</status>
      <modifiedWord/>
      <trackRevisions>false</trackRevisions>
    </reviewItem>
    <reviewItem>
      <errorID>5cc0bb18-0a35-44e9-b6c4-dbcf01b6f910</errorID>
      <errorWord>-</errorWord>
      <group>L1_Format</group>
      <groupName>格式问题</groupName>
      <ability>L2_HalfPunc</ability>
      <abilityName>全半角检查</abilityName>
      <candidateList>
        <item>－</item>
      </candidateList>
      <explain>文本全半角错误。</explain>
      <paraID>3A9C119F</paraID>
      <start>259</start>
      <end>260</end>
      <status>unmodified</status>
      <modifiedWord/>
      <trackRevisions>false</trackRevisions>
    </reviewItem>
    <reviewItem>
      <errorID>66965c7a-dc04-4362-a449-490d9160b1b8</errorID>
      <errorWord>-</errorWord>
      <group>L1_Format</group>
      <groupName>格式问题</groupName>
      <ability>L2_HalfPunc</ability>
      <abilityName>全半角检查</abilityName>
      <candidateList>
        <item>－</item>
      </candidateList>
      <explain>文本全半角错误。</explain>
      <paraID>4F72979C</paraID>
      <start>97</start>
      <end>98</end>
      <status>unmodified</status>
      <modifiedWord/>
      <trackRevisions>false</trackRevisions>
    </reviewItem>
    <reviewItem>
      <errorID>46a362d3-1a51-4814-9ae2-e5316df2d89b</errorID>
      <errorWord>-</errorWord>
      <group>L1_Format</group>
      <groupName>格式问题</groupName>
      <ability>L2_HalfPunc</ability>
      <abilityName>全半角检查</abilityName>
      <candidateList>
        <item>－</item>
      </candidateList>
      <explain>文本全半角错误。</explain>
      <paraID>4F72979C</paraID>
      <start>100</start>
      <end>101</end>
      <status>unmodified</status>
      <modifiedWord/>
      <trackRevisions>false</trackRevisions>
    </reviewItem>
    <reviewItem>
      <errorID>60c60ac4-34a3-4c7d-af77-a9205e884fb1</errorID>
      <errorWord>、就</errorWord>
      <group>L1_Punc</group>
      <groupName>标点问题</groupName>
      <ability>L2_Punc</ability>
      <abilityName>标点符号检查</abilityName>
      <candidateList>
        <item>，就</item>
      </candidateList>
      <explain>连接词前后不宜使用顿号，建议使用逗号。</explain>
      <paraID>212D90AB</paraID>
      <start>110</start>
      <end>112</end>
      <status>unmodified</status>
      <modifiedWord/>
      <trackRevisions>false</trackRevisions>
    </reviewItem>
    <reviewItem>
      <errorID>880f5e41-d157-4002-aec5-253e7734ff92</errorID>
      <errorWord>达</errorWord>
      <group>L1_Word</group>
      <groupName>字词问题</groupName>
      <ability>L2_Typo</ability>
      <abilityName>字词错误</abilityName>
      <candidateList>
        <item>达到</item>
      </candidateList>
      <explain>〈动〉到（多指抽象事物或程度）：达得到｜达不到｜目的没有～｜～国际水平。</explain>
      <paraID>121B13BD</paraID>
      <start>366</start>
      <end>367</end>
      <status>unmodified</status>
      <modifiedWord/>
      <trackRevisions>false</trackRevisions>
    </reviewItem>
    <reviewItem>
      <errorID>9d18def2-cb4b-4b46-a334-11b3546b4da6</errorID>
      <errorWord>先心病</errorWord>
      <group>L1_Word</group>
      <groupName>字词问题</groupName>
      <ability>L2_Typo</ability>
      <abilityName>字词错误</abilityName>
      <candidateList>
        <item>先天性心血管病</item>
      </candidateList>
      <explain/>
      <paraID>3764BADC</paraID>
      <start>36</start>
      <end>39</end>
      <status>unmodified</status>
      <modifiedWord/>
      <trackRevisions>false</trackRevisions>
    </reviewItem>
    <reviewItem>
      <errorID>baa7291d-612a-4ff9-8f00-4f7170611f9d</errorID>
      <errorWord>大讲</errorWord>
      <group>L1_Word</group>
      <groupName>字词问题</groupName>
      <ability>L2_Typo</ability>
      <abilityName>字词错误</abilityName>
      <candidateList>
        <item>大</item>
      </candidateList>
      <explain>义同“大”（dà），用于“大夬、大王”。</explain>
      <paraID>6D7FE7A2</paraID>
      <start>178</start>
      <end>180</end>
      <status>unmodified</status>
      <modifiedWord/>
      <trackRevisions>false</trackRevisions>
    </reviewItem>
  </reviewItems>
  <config/>
</contractReview>
</file>

<file path=customXml/item3.xml><?xml version="1.0" encoding="utf-8"?>
<b:Sources xmlns:b="http://schemas.openxmlformats.org/officeDocument/2006/bibliography" StyleName="APA" Version="6"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71cc5c-4db1-49ec-add6-09e227f3506b}">
  <ds:schemaRefs/>
</ds:datastoreItem>
</file>

<file path=customXml/itemProps3.xml><?xml version="1.0" encoding="utf-8"?>
<ds:datastoreItem xmlns:ds="http://schemas.openxmlformats.org/officeDocument/2006/customXml" ds:itemID="{DB8C0B22-D0D5-4746-BC46-CB7C1AFC6BD4}">
  <ds:schemaRefs/>
</ds:datastoreItem>
</file>

<file path=docProps/app.xml><?xml version="1.0" encoding="utf-8"?>
<Properties xmlns="http://schemas.openxmlformats.org/officeDocument/2006/extended-properties" xmlns:vt="http://schemas.openxmlformats.org/officeDocument/2006/docPropsVTypes">
  <Template>Normal</Template>
  <Pages>126</Pages>
  <Words>8376</Words>
  <Characters>8756</Characters>
  <Lines>476</Lines>
  <Paragraphs>134</Paragraphs>
  <TotalTime>1</TotalTime>
  <ScaleCrop>false</ScaleCrop>
  <LinksUpToDate>false</LinksUpToDate>
  <CharactersWithSpaces>8932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2025-10-29T09:48:00Z</dcterms:created>
  <dc:creator>那年</dc:creator>
  <cp:lastModifiedBy>绿贱</cp:lastModifiedBy>
  <cp:lastPrinted>2026-01-15T10:23:00Z</cp:lastPrinted>
  <dcterms:modified xsi:type="dcterms:W3CDTF">2026-05-11T03:00:02Z</dcterms:modified>
  <cp:revision>936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57B2D92347A64005BF5F7025EF425D99_13</vt:lpwstr>
  </property>
  <property fmtid="{D5CDD505-2E9C-101B-9397-08002B2CF9AE}" pid="4" name="KSOTemplateDocerSaveRecord">
    <vt:lpwstr>eyJoZGlkIjoiMGU1ZDcyZDZjZmY0N2FiODdlYzU3Nzc5ODc5NWM4M2YiLCJ1c2VySWQiOiI1MDM0NzY3NTUifQ==</vt:lpwstr>
  </property>
</Properties>
</file>