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D33E4">
      <w:pPr>
        <w:spacing w:line="600" w:lineRule="exact"/>
        <w:jc w:val="center"/>
        <w:rPr>
          <w:rFonts w:ascii="华文中宋" w:hAnsi="华文中宋" w:eastAsia="华文中宋" w:cs="CESI仿宋-GB2312"/>
          <w:sz w:val="44"/>
          <w:szCs w:val="44"/>
        </w:rPr>
      </w:pPr>
      <w:r>
        <w:rPr>
          <w:rFonts w:hint="eastAsia" w:ascii="华文中宋" w:hAnsi="华文中宋" w:eastAsia="华文中宋" w:cs="CESI仿宋-GB2312"/>
          <w:sz w:val="44"/>
          <w:szCs w:val="44"/>
        </w:rPr>
        <w:t>莫力达瓦达斡尔族自治旗市场监督管理局</w:t>
      </w:r>
    </w:p>
    <w:p w14:paraId="6808D8DC">
      <w:pPr>
        <w:widowControl/>
        <w:pBdr>
          <w:bottom w:val="single" w:color="343434" w:sz="12" w:space="7"/>
        </w:pBdr>
        <w:shd w:val="clear" w:color="auto" w:fill="FFFFFF"/>
        <w:spacing w:line="600" w:lineRule="atLeast"/>
        <w:jc w:val="center"/>
        <w:rPr>
          <w:rFonts w:ascii="华文中宋" w:hAnsi="华文中宋" w:eastAsia="华文中宋" w:cs="黑体"/>
          <w:kern w:val="0"/>
          <w:sz w:val="44"/>
          <w:szCs w:val="44"/>
          <w:shd w:val="clear" w:color="auto" w:fill="FFFFFF"/>
        </w:rPr>
      </w:pPr>
      <w:r>
        <w:rPr>
          <w:rFonts w:hint="eastAsia" w:ascii="华文中宋" w:hAnsi="华文中宋" w:eastAsia="华文中宋" w:cs="黑体"/>
          <w:kern w:val="0"/>
          <w:sz w:val="44"/>
          <w:szCs w:val="44"/>
          <w:shd w:val="clear" w:color="auto" w:fill="FFFFFF"/>
        </w:rPr>
        <w:t>行政处罚信息信用修复告知书</w:t>
      </w:r>
    </w:p>
    <w:p w14:paraId="2F8191E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highlight w:val="none"/>
        </w:rPr>
      </w:pPr>
      <w:r>
        <w:rPr>
          <w:rFonts w:hint="eastAsia"/>
          <w:highlight w:val="none"/>
        </w:rPr>
        <w:t>莫力达瓦达斡尔族自治旗盛帮园林绿化有限责任公司等103家企业：</w:t>
      </w:r>
    </w:p>
    <w:p w14:paraId="4439CD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highlight w:val="none"/>
        </w:rPr>
        <w:t>我局于2026年5月25日针对你单位连续2年及以上未按规定报送年度报告被列入经营异常名录未改正，未开展过正常经营活动，且通过登记的住所或者经营场所无法取得联系违</w:t>
      </w:r>
      <w:r>
        <w:rPr>
          <w:rFonts w:hint="eastAsia"/>
        </w:rPr>
        <w:t>法行为下达了《行政处罚决定书》(莫市监信监处罚〔2026〕1号),根据《中华人民共和国行政处罚法》《中华人民共和国政府信息公开条例》《内蒙古自治区公共信用信息管理条例》和《市场监督管理行政处罚信息公示规定》等法律法规，本单位将在作出处罚决定7个工作日内将行政处罚信息报送至国家企业信用信息公示系统(内蒙古)进行公示。</w:t>
      </w:r>
    </w:p>
    <w:p w14:paraId="44205F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行政处罚信息公示期间，将受到以下惩戒措施：1.在行政许可、行政确认等行政管理和公共服务过程中，列为重点审查对象，不予适用告知承诺等简化程序；限制享受相关便利措施，取消已经享受的便利化措施；2.不予享受财政资金补助或项目支持以及融资服务、招商引资配套优惠等各类优惠政策；3.在政府采购、招标投标等公共资源交易活动中，依法给予信用减分、降低信用等次；4.在日常监督管理中，列为重点监督管理对象，增加检查频次，加强现场检查；5.不予列入各类免检、免审范围等。</w:t>
      </w:r>
    </w:p>
    <w:p w14:paraId="784CD0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根据《失信行为纠正后的信用信息修复管理办法(试行)》(国家发展改革委令第58号)、《市场监督管理信用修复管理办法》(国家市场监督管理总局令第107号)《市场监督管理行政处罚信息公示规定》(国家市场监督管理总局令第108号)相关规定：</w:t>
      </w:r>
    </w:p>
    <w:p w14:paraId="6AC085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□行政处罚信息属于轻微违法失信信息的</w:t>
      </w:r>
    </w:p>
    <w:p w14:paraId="70651B2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仅受到警告的行政处罚信息不予公示。其他轻微违法失信信息(包括仅受到通报批评的行政处罚信息、仅受到较低数额罚款的行政处罚信息)公示期满三个月的，由市场监督管理部门停止公示。其中“较低数额罚款”,是指按照从轻或者减轻处罚的裁量阶次，对经营主体处以五万元以下的罚款、对相关责任人员处以五千元以下的罚款。</w:t>
      </w:r>
    </w:p>
    <w:p w14:paraId="56E36D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☑行政处罚信息属于严重违法失信信息的</w:t>
      </w:r>
    </w:p>
    <w:p w14:paraId="3015FE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严重违法失信信息的最短公示期为一年，最长公示期为三年。按照法律、行政法规规定作出的行政处罚限制期限超过三年的，公示期以实际限制期限为准。</w:t>
      </w:r>
    </w:p>
    <w:p w14:paraId="79DF94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其中，食品、药品、医疗器械、化妆品、特种设备、重点工业产品(包括实施工业产品生产许可、强制性产品认证管理的工业产品，以及涉及人身健康和生命财产安全且有强制性国家标准要求的工业产品等)领域除《市场监督管理信用修复管理办法》第七条规定的轻微违法失信信息外的行政处罚信息，公示期满一年的，符合条件的当事人可以向作出行政处罚决定的市场监督管理部门申请信用修复。公示期满三年的，由市场监督管理部门停止公示。</w:t>
      </w:r>
    </w:p>
    <w:p w14:paraId="5A8DD9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限制开展生产经营活动、责令停产停业、限制从业的行政处罚信息，公示期满一年且行政处罚限制期限届满的，符合规定条件的当事人可以向作出行政处罚决定的市场监督管理部门申请信用修复。公示期满三年的，由市场监督管理部门停止公示。</w:t>
      </w:r>
    </w:p>
    <w:p w14:paraId="72B3673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降低资质等级、吊销许可证件、吊销营业执照、责令关闭的行政处罚信息，公示期满三年的，由市场监督管理部门停止公示。</w:t>
      </w:r>
    </w:p>
    <w:p w14:paraId="6090F5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□行政处罚信息属于一般违法失信信息的</w:t>
      </w:r>
    </w:p>
    <w:p w14:paraId="0B38F8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一般违法失信信息是指轻微违法失信信息、严重违法失信信息情形外的其他行政处罚信息。最短公示期为三个月，最长公示期为一年。公示期满三个月的，符合规定条件的当事人可以向作出行政处罚决定的市场监督管理部门申请信用修复；公示期满一年的，由市场监督管理部门停止公示。</w:t>
      </w:r>
    </w:p>
    <w:p w14:paraId="2488EB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当事人受到市场监督管理部门行政处罚，其内容属于一般违法失信信息和严重违法失信信息(轻微违法失信信息无须修复，公示期限届满之后由市场监督管理部门自动停止公示。降低资质等级、吊销许可证件、吊销营业执照、责令关闭的行政处罚信息不能提前停止公示),最短公示期届满后，满足以下条件的，可以按照《市场监督管理信用修复管理办法》相关规定向作出行政处罚决定的市场监督管理部门申请信用修复：</w:t>
      </w:r>
    </w:p>
    <w:p w14:paraId="06FB77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(一)已经自觉履行行政处罚决定中规定的义务；</w:t>
      </w:r>
    </w:p>
    <w:p w14:paraId="1345F7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(二)已经主动采取相关整改措施，消除危害后果和不良影响；</w:t>
      </w:r>
    </w:p>
    <w:p w14:paraId="3C7B07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(三)未因同一类违法行为再次受到市场监督管理部门行政处罚。</w:t>
      </w:r>
    </w:p>
    <w:p w14:paraId="17717C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在完全履行行政处罚决定规定的义务并达到最短公示期限后，由市场监督管理部门停止公示。</w:t>
      </w:r>
    </w:p>
    <w:p w14:paraId="33F7DB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你单位也可于2029年5月25日起可通过国家企业信用信息公示系统(内蒙古http://nm.gsxt.gov.cn)申请，或者于2029年5月25日起到作出行政处罚的市场监督管理部门，现场提交信用修复申请材料。行政处罚信息信用修复全流程在线办理，全程无需支付任何费用。</w:t>
      </w:r>
    </w:p>
    <w:p w14:paraId="77F5A7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法律、法规、部门规章和党中央、国务院文件对行政处罚公示信息和相关信用修复另有规定的，从其规定。根据《市场监督管理行政处罚信息公示规定》第十四条第三款：“当事人受到降低资质等级、吊销许可证件、吊销营业执照、责令关闭的行政处罚信息以及国家市场监督管理总局规定的其他较为严重行政处罚信息公示期满三年的，由市场监督管理部门停止公示。”的规定，上述当事人行政处罚信息公示期按照实际限制期限执行。</w:t>
      </w:r>
    </w:p>
    <w:p w14:paraId="6A295E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p>
    <w:p w14:paraId="35A020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r>
        <w:rPr>
          <w:rFonts w:hint="eastAsia"/>
        </w:rPr>
        <w:t xml:space="preserve">  </w:t>
      </w:r>
    </w:p>
    <w:p w14:paraId="1C9045CE">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right"/>
        <w:textAlignment w:val="auto"/>
        <w:rPr>
          <w:rFonts w:hint="default" w:eastAsia="仿宋"/>
          <w:lang w:val="en-US" w:eastAsia="zh-CN"/>
        </w:rPr>
      </w:pPr>
      <w:r>
        <w:rPr>
          <w:rFonts w:hint="eastAsia"/>
        </w:rPr>
        <w:t>莫旗市场监督管理局</w:t>
      </w:r>
      <w:r>
        <w:rPr>
          <w:rFonts w:hint="eastAsia"/>
          <w:lang w:val="en-US" w:eastAsia="zh-CN"/>
        </w:rPr>
        <w:t xml:space="preserve">    </w:t>
      </w:r>
    </w:p>
    <w:p w14:paraId="77F337A8">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right"/>
        <w:textAlignment w:val="auto"/>
        <w:rPr>
          <w:rFonts w:hint="eastAsia"/>
        </w:rPr>
      </w:pPr>
      <w:r>
        <w:rPr>
          <w:rFonts w:hint="eastAsia"/>
        </w:rPr>
        <w:t>2026年5月25日</w:t>
      </w:r>
      <w:r>
        <w:rPr>
          <w:rFonts w:hint="eastAsia"/>
          <w:lang w:val="en-US" w:eastAsia="zh-CN"/>
        </w:rPr>
        <w:t xml:space="preserve">     </w:t>
      </w:r>
      <w:bookmarkStart w:id="0" w:name="_GoBack"/>
      <w:bookmarkEnd w:id="0"/>
    </w:p>
    <w:p w14:paraId="1752BE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rPr>
      </w:pPr>
    </w:p>
    <w:p w14:paraId="35AE3B30">
      <w:pPr>
        <w:keepNext w:val="0"/>
        <w:keepLines w:val="0"/>
        <w:pageBreakBefore w:val="0"/>
        <w:widowControl w:val="0"/>
        <w:kinsoku/>
        <w:wordWrap/>
        <w:overflowPunct/>
        <w:topLinePunct w:val="0"/>
        <w:autoSpaceDE/>
        <w:autoSpaceDN/>
        <w:bidi w:val="0"/>
        <w:adjustRightInd/>
        <w:snapToGrid/>
        <w:spacing w:line="560" w:lineRule="exact"/>
        <w:textAlignment w:val="auto"/>
      </w:pPr>
      <w:r>
        <w:rPr>
          <w:sz w:val="32"/>
        </w:rPr>
        <mc:AlternateContent>
          <mc:Choice Requires="wps">
            <w:drawing>
              <wp:anchor distT="0" distB="0" distL="114300" distR="114300" simplePos="0" relativeHeight="251659264" behindDoc="0" locked="0" layoutInCell="1" allowOverlap="1">
                <wp:simplePos x="0" y="0"/>
                <wp:positionH relativeFrom="column">
                  <wp:posOffset>-134620</wp:posOffset>
                </wp:positionH>
                <wp:positionV relativeFrom="paragraph">
                  <wp:posOffset>12700</wp:posOffset>
                </wp:positionV>
                <wp:extent cx="6142990" cy="5080"/>
                <wp:effectExtent l="0" t="6350" r="3810" b="7620"/>
                <wp:wrapNone/>
                <wp:docPr id="1" name="直接连接符 1"/>
                <wp:cNvGraphicFramePr/>
                <a:graphic xmlns:a="http://schemas.openxmlformats.org/drawingml/2006/main">
                  <a:graphicData uri="http://schemas.microsoft.com/office/word/2010/wordprocessingShape">
                    <wps:wsp>
                      <wps:cNvCnPr/>
                      <wps:spPr>
                        <a:xfrm flipV="1">
                          <a:off x="873125" y="8812530"/>
                          <a:ext cx="6142990" cy="508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10.6pt;margin-top:1pt;height:0.4pt;width:483.7pt;z-index:251659264;mso-width-relative:page;mso-height-relative:page;" filled="f" stroked="t" coordsize="21600,21600" o:gfxdata="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P0I8FLUAAAABwEAAA8AAAAAAAAAAQAgAAAAIgAAAGRycy9kb3ducmV2LnhtbFBLAQIU&#10;ABQAAAAIAIdO4kARPSuN9wEAAMoDAAAOAAAAAAAAAAEAIAAAACMBAABkcnMvZTJvRG9jLnhtbFBL&#10;BQYAAAAABgAGAFkBAACMBQAAAAA=&#10;">
                <v:fill on="f" focussize="0,0"/>
                <v:stroke weight="1pt" color="#000000 [3213]" miterlimit="8" joinstyle="miter"/>
                <v:imagedata o:title=""/>
                <o:lock v:ext="edit" aspectratio="f"/>
              </v:line>
            </w:pict>
          </mc:Fallback>
        </mc:AlternateContent>
      </w:r>
      <w:r>
        <w:rPr>
          <w:rFonts w:hint="eastAsia"/>
        </w:rPr>
        <w:t>本告知书一式二份，二份交当事人，二份留存执法案卷。</w:t>
      </w:r>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467BFAB-726A-43AC-8312-8966A27892A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E06FECAC-7210-43F7-A5B0-61929D89DD4B}"/>
  </w:font>
  <w:font w:name="仿宋">
    <w:panose1 w:val="02010609060101010101"/>
    <w:charset w:val="86"/>
    <w:family w:val="auto"/>
    <w:pitch w:val="default"/>
    <w:sig w:usb0="800002BF" w:usb1="38CF7CFA" w:usb2="00000016" w:usb3="00000000" w:csb0="00040001" w:csb1="00000000"/>
    <w:embedRegular r:id="rId3" w:fontKey="{9065B32F-AAFD-4FCC-BA95-E8316DBAEE04}"/>
  </w:font>
  <w:font w:name="华文中宋">
    <w:panose1 w:val="02010600040101010101"/>
    <w:charset w:val="86"/>
    <w:family w:val="auto"/>
    <w:pitch w:val="default"/>
    <w:sig w:usb0="00000287" w:usb1="080F0000" w:usb2="00000000" w:usb3="00000000" w:csb0="0004009F" w:csb1="DFD70000"/>
    <w:embedRegular r:id="rId4" w:fontKey="{21C515AE-33BE-417E-BF91-94440F9FC64F}"/>
  </w:font>
  <w:font w:name="CESI仿宋-GB2312">
    <w:altName w:val="仿宋"/>
    <w:panose1 w:val="00000000000000000000"/>
    <w:charset w:val="86"/>
    <w:family w:val="auto"/>
    <w:pitch w:val="default"/>
    <w:sig w:usb0="00000000" w:usb1="00000000" w:usb2="00000010" w:usb3="00000000" w:csb0="0004000F" w:csb1="00000000"/>
    <w:embedRegular r:id="rId5" w:fontKey="{CD70B3E3-5779-4A00-B1E3-2135CA769603}"/>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2"/>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CB3FBE"/>
    <w:rsid w:val="00413FB8"/>
    <w:rsid w:val="04FD6E8C"/>
    <w:rsid w:val="1F770DE5"/>
    <w:rsid w:val="2ECB3FBE"/>
    <w:rsid w:val="397E2C77"/>
    <w:rsid w:val="54DC7A93"/>
    <w:rsid w:val="612B4301"/>
    <w:rsid w:val="65865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 w:hAnsi="仿宋" w:eastAsia="仿宋" w:cs="仿宋"/>
      <w:kern w:val="2"/>
      <w:sz w:val="32"/>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样式1"/>
    <w:basedOn w:val="1"/>
    <w:qFormat/>
    <w:uiPriority w:val="0"/>
    <w:rPr>
      <w:rFonts w:hint="eastAsia" w:ascii="Arial" w:hAnsi="Arial" w:eastAsia="仿宋" w:cs="Arial"/>
      <w:b/>
      <w:snapToGrid w:val="0"/>
      <w:color w:val="000000"/>
      <w:kern w:val="0"/>
      <w:sz w:val="32"/>
      <w:szCs w:val="21"/>
      <w:lang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1965</Words>
  <Characters>2017</Characters>
  <Lines>0</Lines>
  <Paragraphs>0</Paragraphs>
  <TotalTime>1</TotalTime>
  <ScaleCrop>false</ScaleCrop>
  <LinksUpToDate>false</LinksUpToDate>
  <CharactersWithSpaces>2028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2026-05-25T23:41:00Z</dcterms:created>
  <dc:creator>想不到什么好名字</dc:creator>
  <cp:lastModifiedBy>想不到什么好名字</cp:lastModifiedBy>
  <dcterms:modified xsi:type="dcterms:W3CDTF">2026-05-26T07:37:12Z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B87F90203EAA44D7BF5A0E09EA77C61B_11</vt:lpwstr>
  </property>
  <property fmtid="{D5CDD505-2E9C-101B-9397-08002B2CF9AE}" pid="4" name="KSOTemplateDocerSaveRecord">
    <vt:lpwstr>eyJoZGlkIjoiMWM4YmM2MzQ4ZGY3ZTJjMDkzMjZjMzU3OTI5MWI5NWUiLCJ1c2VySWQiOiIzMDQ5MTQ1MTYifQ==</vt:lpwstr>
  </property>
</Properties>
</file>