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9F4607">
      <w:pPr>
        <w:spacing w:line="600" w:lineRule="exact"/>
        <w:jc w:val="left"/>
        <w:rPr>
          <w:rFonts w:ascii="Arial" w:hAnsi="Arial" w:eastAsia="Symbol"/>
          <w:b/>
          <w:bCs/>
          <w:sz w:val="32"/>
          <w:szCs w:val="32"/>
        </w:rPr>
      </w:pPr>
    </w:p>
    <w:p w14:paraId="2D4230B8">
      <w:pPr>
        <w:pStyle w:val="2"/>
        <w:ind w:left="0" w:leftChars="0" w:firstLine="0"/>
        <w:rPr>
          <w:rFonts w:hint="default"/>
        </w:rPr>
      </w:pPr>
    </w:p>
    <w:p w14:paraId="55656AD6">
      <w:pPr>
        <w:spacing w:line="600" w:lineRule="exact"/>
        <w:rPr>
          <w:rFonts w:ascii="Arial" w:hAnsi="Arial" w:eastAsia="宋体"/>
          <w:b/>
          <w:bCs/>
          <w:sz w:val="32"/>
          <w:szCs w:val="32"/>
        </w:rPr>
      </w:pPr>
    </w:p>
    <w:p w14:paraId="4A1BF9B9">
      <w:pPr>
        <w:spacing w:line="600" w:lineRule="exact"/>
        <w:jc w:val="center"/>
        <w:rPr>
          <w:rFonts w:ascii="Arial" w:hAnsi="Arial" w:eastAsia="宋体"/>
          <w:b/>
          <w:bCs/>
          <w:sz w:val="32"/>
          <w:szCs w:val="32"/>
        </w:rPr>
      </w:pPr>
    </w:p>
    <w:p w14:paraId="05AE71E3">
      <w:pPr>
        <w:spacing w:line="600" w:lineRule="exact"/>
        <w:jc w:val="center"/>
        <w:rPr>
          <w:rFonts w:ascii="Arial" w:hAnsi="Arial" w:eastAsia="宋体"/>
          <w:b/>
          <w:bCs/>
          <w:sz w:val="32"/>
          <w:szCs w:val="32"/>
        </w:rPr>
      </w:pPr>
    </w:p>
    <w:p w14:paraId="08C6D9D6">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2026</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lang w:val="en-US" w:eastAsia="zh-CN"/>
        </w:rPr>
        <w:t>莫力达瓦达斡尔族</w:t>
      </w:r>
      <w:r>
        <w:rPr>
          <w:rFonts w:hint="eastAsia" w:cs="方正小标宋简体" w:asciiTheme="majorEastAsia" w:hAnsiTheme="majorEastAsia" w:eastAsiaTheme="majorEastAsia"/>
          <w:b/>
          <w:sz w:val="48"/>
          <w:szCs w:val="48"/>
          <w:u w:val="none"/>
          <w:lang w:val="en-US" w:eastAsia="zh-CN"/>
        </w:rPr>
        <w:t>交通运输局部门</w:t>
      </w:r>
      <w:r>
        <w:rPr>
          <w:rFonts w:cs="方正小标宋简体" w:asciiTheme="majorEastAsia" w:hAnsiTheme="majorEastAsia" w:eastAsiaTheme="majorEastAsia"/>
          <w:b/>
          <w:sz w:val="48"/>
          <w:szCs w:val="48"/>
        </w:rPr>
        <w:t>预算公开</w:t>
      </w:r>
    </w:p>
    <w:p w14:paraId="3DF49403">
      <w:pPr>
        <w:adjustRightInd w:val="0"/>
        <w:snapToGrid w:val="0"/>
        <w:spacing w:line="600" w:lineRule="exact"/>
        <w:ind w:firstLine="640"/>
        <w:rPr>
          <w:rFonts w:eastAsia="仿宋_GB2312"/>
          <w:sz w:val="32"/>
          <w:szCs w:val="32"/>
        </w:rPr>
      </w:pPr>
    </w:p>
    <w:p w14:paraId="30DEB0E1">
      <w:pPr>
        <w:adjustRightInd w:val="0"/>
        <w:snapToGrid w:val="0"/>
        <w:spacing w:line="600" w:lineRule="exact"/>
        <w:ind w:firstLine="640"/>
        <w:rPr>
          <w:rFonts w:eastAsia="仿宋_GB2312"/>
          <w:sz w:val="32"/>
          <w:szCs w:val="32"/>
        </w:rPr>
      </w:pPr>
    </w:p>
    <w:p w14:paraId="6804DDE6">
      <w:pPr>
        <w:adjustRightInd w:val="0"/>
        <w:snapToGrid w:val="0"/>
        <w:spacing w:line="600" w:lineRule="exact"/>
        <w:ind w:firstLine="640"/>
        <w:rPr>
          <w:rFonts w:eastAsia="仿宋_GB2312"/>
          <w:sz w:val="32"/>
          <w:szCs w:val="32"/>
        </w:rPr>
      </w:pPr>
    </w:p>
    <w:p w14:paraId="283A5F99">
      <w:pPr>
        <w:adjustRightInd w:val="0"/>
        <w:snapToGrid w:val="0"/>
        <w:spacing w:line="600" w:lineRule="exact"/>
        <w:ind w:firstLine="640"/>
        <w:rPr>
          <w:rFonts w:eastAsia="仿宋_GB2312"/>
          <w:sz w:val="32"/>
          <w:szCs w:val="32"/>
        </w:rPr>
      </w:pPr>
    </w:p>
    <w:p w14:paraId="66F682FA">
      <w:pPr>
        <w:adjustRightInd w:val="0"/>
        <w:snapToGrid w:val="0"/>
        <w:spacing w:line="600" w:lineRule="exact"/>
        <w:ind w:firstLine="640"/>
        <w:rPr>
          <w:rFonts w:eastAsia="仿宋_GB2312"/>
          <w:sz w:val="32"/>
          <w:szCs w:val="32"/>
        </w:rPr>
      </w:pPr>
    </w:p>
    <w:p w14:paraId="19D24C2C">
      <w:pPr>
        <w:adjustRightInd w:val="0"/>
        <w:snapToGrid w:val="0"/>
        <w:spacing w:line="600" w:lineRule="exact"/>
        <w:ind w:firstLine="640"/>
        <w:rPr>
          <w:rFonts w:eastAsia="仿宋_GB2312"/>
          <w:sz w:val="32"/>
          <w:szCs w:val="32"/>
        </w:rPr>
      </w:pPr>
    </w:p>
    <w:p w14:paraId="75E2E013">
      <w:pPr>
        <w:adjustRightInd w:val="0"/>
        <w:snapToGrid w:val="0"/>
        <w:spacing w:line="600" w:lineRule="exact"/>
        <w:ind w:firstLine="640"/>
        <w:rPr>
          <w:rFonts w:eastAsia="仿宋_GB2312"/>
          <w:sz w:val="32"/>
          <w:szCs w:val="32"/>
        </w:rPr>
      </w:pPr>
    </w:p>
    <w:p w14:paraId="6B47307B">
      <w:pPr>
        <w:adjustRightInd w:val="0"/>
        <w:snapToGrid w:val="0"/>
        <w:spacing w:line="600" w:lineRule="exact"/>
        <w:ind w:firstLine="640"/>
        <w:rPr>
          <w:rFonts w:eastAsia="仿宋_GB2312"/>
          <w:sz w:val="32"/>
          <w:szCs w:val="32"/>
        </w:rPr>
      </w:pPr>
    </w:p>
    <w:p w14:paraId="589AF7B2">
      <w:pPr>
        <w:adjustRightInd w:val="0"/>
        <w:snapToGrid w:val="0"/>
        <w:spacing w:line="600" w:lineRule="exact"/>
        <w:ind w:firstLine="640"/>
        <w:rPr>
          <w:rFonts w:eastAsia="仿宋_GB2312"/>
          <w:sz w:val="32"/>
          <w:szCs w:val="32"/>
        </w:rPr>
      </w:pPr>
    </w:p>
    <w:p w14:paraId="149A8629">
      <w:pPr>
        <w:pStyle w:val="2"/>
        <w:spacing w:after="0" w:line="600" w:lineRule="exact"/>
        <w:ind w:left="0" w:leftChars="0" w:firstLine="0"/>
        <w:jc w:val="center"/>
        <w:rPr>
          <w:rFonts w:ascii="黑体" w:hAnsi="黑体" w:eastAsia="黑体" w:cs="黑体"/>
          <w:sz w:val="32"/>
          <w:szCs w:val="32"/>
        </w:rPr>
      </w:pPr>
    </w:p>
    <w:p w14:paraId="085F8438">
      <w:pPr>
        <w:pStyle w:val="2"/>
        <w:spacing w:after="0" w:line="600" w:lineRule="exact"/>
        <w:ind w:firstLine="1280" w:firstLineChars="400"/>
        <w:jc w:val="both"/>
        <w:rPr>
          <w:rFonts w:hint="default" w:ascii="黑体" w:hAnsi="黑体" w:eastAsia="黑体" w:cs="黑体"/>
        </w:rPr>
      </w:pPr>
      <w:r>
        <w:rPr>
          <w:rFonts w:ascii="黑体" w:hAnsi="黑体" w:eastAsia="黑体" w:cs="黑体"/>
          <w:sz w:val="32"/>
          <w:szCs w:val="32"/>
        </w:rPr>
        <w:t>批复时间：</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年 </w:t>
      </w:r>
      <w:r>
        <w:rPr>
          <w:rFonts w:hint="eastAsia" w:ascii="黑体" w:hAnsi="黑体" w:eastAsia="黑体" w:cs="黑体"/>
          <w:sz w:val="32"/>
          <w:szCs w:val="32"/>
          <w:u w:val="single"/>
          <w:lang w:val="en-US" w:eastAsia="zh-CN"/>
        </w:rPr>
        <w:t>1</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 xml:space="preserve"> </w:t>
      </w:r>
      <w:r>
        <w:rPr>
          <w:rFonts w:ascii="黑体" w:hAnsi="黑体" w:eastAsia="黑体" w:cs="黑体"/>
          <w:sz w:val="32"/>
          <w:szCs w:val="32"/>
          <w:u w:val="single"/>
        </w:rPr>
        <w:t xml:space="preserve">月  </w:t>
      </w:r>
      <w:r>
        <w:rPr>
          <w:rFonts w:hint="eastAsia" w:ascii="黑体" w:hAnsi="黑体" w:eastAsia="黑体" w:cs="黑体"/>
          <w:sz w:val="32"/>
          <w:szCs w:val="32"/>
          <w:u w:val="single"/>
          <w:lang w:val="en-US" w:eastAsia="zh-CN"/>
        </w:rPr>
        <w:t>27</w:t>
      </w:r>
      <w:r>
        <w:rPr>
          <w:rFonts w:ascii="黑体" w:hAnsi="黑体" w:eastAsia="黑体" w:cs="黑体"/>
          <w:sz w:val="32"/>
          <w:szCs w:val="32"/>
          <w:u w:val="single"/>
        </w:rPr>
        <w:t>日</w:t>
      </w:r>
    </w:p>
    <w:p w14:paraId="63C961AB">
      <w:pPr>
        <w:pStyle w:val="2"/>
        <w:spacing w:after="0" w:line="600" w:lineRule="exact"/>
        <w:ind w:firstLine="1280" w:firstLineChars="400"/>
        <w:jc w:val="both"/>
        <w:rPr>
          <w:rFonts w:hint="default" w:ascii="黑体" w:hAnsi="黑体" w:eastAsia="黑体" w:cs="黑体"/>
          <w:sz w:val="32"/>
          <w:szCs w:val="32"/>
          <w:u w:val="single"/>
        </w:rPr>
      </w:pPr>
      <w:r>
        <w:rPr>
          <w:rFonts w:ascii="黑体" w:hAnsi="黑体" w:eastAsia="黑体" w:cs="黑体"/>
          <w:sz w:val="32"/>
          <w:szCs w:val="32"/>
        </w:rPr>
        <w:t>公开时间：</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 xml:space="preserve"> </w:t>
      </w:r>
      <w:r>
        <w:rPr>
          <w:rFonts w:ascii="黑体" w:hAnsi="黑体" w:eastAsia="黑体" w:cs="黑体"/>
          <w:sz w:val="32"/>
          <w:szCs w:val="32"/>
          <w:u w:val="single"/>
        </w:rPr>
        <w:t>月</w:t>
      </w:r>
      <w:r>
        <w:rPr>
          <w:rFonts w:hint="eastAsia" w:ascii="黑体" w:hAnsi="黑体" w:eastAsia="黑体" w:cs="黑体"/>
          <w:sz w:val="32"/>
          <w:szCs w:val="32"/>
          <w:u w:val="single"/>
          <w:lang w:val="en-US" w:eastAsia="zh-CN"/>
        </w:rPr>
        <w:t xml:space="preserve">  6 </w:t>
      </w:r>
      <w:r>
        <w:rPr>
          <w:rFonts w:ascii="黑体" w:hAnsi="黑体" w:eastAsia="黑体" w:cs="黑体"/>
          <w:sz w:val="32"/>
          <w:szCs w:val="32"/>
          <w:u w:val="single"/>
        </w:rPr>
        <w:t>日</w:t>
      </w:r>
    </w:p>
    <w:p w14:paraId="017775B3">
      <w:pPr>
        <w:adjustRightInd w:val="0"/>
        <w:snapToGrid w:val="0"/>
        <w:spacing w:line="600" w:lineRule="exact"/>
        <w:jc w:val="left"/>
        <w:rPr>
          <w:color w:val="FF0000"/>
        </w:rPr>
      </w:pPr>
    </w:p>
    <w:p w14:paraId="57B581E2">
      <w:pPr>
        <w:pStyle w:val="2"/>
        <w:spacing w:after="0" w:line="600" w:lineRule="exact"/>
        <w:ind w:left="0" w:leftChars="0" w:firstLine="0"/>
        <w:jc w:val="center"/>
        <w:rPr>
          <w:rFonts w:eastAsia="仿宋_GB2312"/>
          <w:sz w:val="32"/>
          <w:szCs w:val="32"/>
        </w:rPr>
      </w:pPr>
    </w:p>
    <w:p w14:paraId="04FC4002">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6AC21A3B"/>
    <w:p w14:paraId="0078566C">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单位概况</w:t>
      </w:r>
    </w:p>
    <w:p w14:paraId="67F9108A">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一、主要职能、职责</w:t>
      </w:r>
    </w:p>
    <w:p w14:paraId="7218A74C">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二、部门机构设置及预算单位构成情况</w:t>
      </w:r>
    </w:p>
    <w:p w14:paraId="549E89FE">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三、</w:t>
      </w:r>
      <w:r>
        <w:rPr>
          <w:rFonts w:hint="eastAsia" w:ascii="仿宋" w:hAnsi="仿宋" w:eastAsia="仿宋" w:cs="仿宋"/>
          <w:b w:val="0"/>
          <w:bCs w:val="0"/>
          <w:color w:val="auto"/>
          <w:sz w:val="32"/>
          <w:szCs w:val="32"/>
          <w:lang w:val="en-US" w:eastAsia="zh-CN"/>
        </w:rPr>
        <w:t>2026</w:t>
      </w:r>
      <w:r>
        <w:rPr>
          <w:rFonts w:hint="eastAsia" w:ascii="仿宋" w:hAnsi="仿宋" w:eastAsia="仿宋" w:cs="仿宋"/>
          <w:sz w:val="32"/>
          <w:szCs w:val="32"/>
        </w:rPr>
        <w:t>年度部门主要工作任务及目标</w:t>
      </w:r>
    </w:p>
    <w:p w14:paraId="1FF10F27">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2026</w:t>
      </w:r>
      <w:r>
        <w:rPr>
          <w:rFonts w:hint="eastAsia" w:ascii="黑体" w:hAnsi="黑体" w:eastAsia="黑体" w:cs="黑体"/>
          <w:sz w:val="32"/>
          <w:szCs w:val="32"/>
        </w:rPr>
        <w:t>年度部门预算情况说明</w:t>
      </w:r>
    </w:p>
    <w:p w14:paraId="11611E38">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一、收支预算总体情况说明</w:t>
      </w:r>
    </w:p>
    <w:p w14:paraId="649B8C48">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二、收入预算情况说明</w:t>
      </w:r>
    </w:p>
    <w:p w14:paraId="1564DA0D">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三、支出预算情况说明</w:t>
      </w:r>
    </w:p>
    <w:p w14:paraId="7C9E3EDE">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四、财政拨款收支预算总体情况说明</w:t>
      </w:r>
    </w:p>
    <w:p w14:paraId="033D3F77">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五、一般公共预算支出预算情况说明</w:t>
      </w:r>
    </w:p>
    <w:p w14:paraId="1EF6D07F">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六、一般公共预算基本支出预算情况说明</w:t>
      </w:r>
    </w:p>
    <w:p w14:paraId="029C5C57">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七、一般公共预算“三公”经费支出预算情况说明</w:t>
      </w:r>
    </w:p>
    <w:p w14:paraId="5E7701A2">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八、政府性基金预算支出预算情况说明</w:t>
      </w:r>
    </w:p>
    <w:p w14:paraId="48B0CAAC">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九、国有资本经营预算支出预算情况说明</w:t>
      </w:r>
    </w:p>
    <w:p w14:paraId="6AD93227">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十、项目支出预算情况说明</w:t>
      </w:r>
    </w:p>
    <w:p w14:paraId="7759E432">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十一、机构运行经费支出预算情况说明</w:t>
      </w:r>
    </w:p>
    <w:p w14:paraId="593F7C27">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十二、政府采购支出预算情况说明</w:t>
      </w:r>
    </w:p>
    <w:p w14:paraId="21484EA5">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十三、国有资产占用情况说明</w:t>
      </w:r>
    </w:p>
    <w:p w14:paraId="2C722EB9">
      <w:pPr>
        <w:widowControl/>
        <w:spacing w:line="600" w:lineRule="exact"/>
        <w:jc w:val="left"/>
        <w:rPr>
          <w:rFonts w:hint="eastAsia" w:ascii="仿宋" w:hAnsi="仿宋" w:eastAsia="仿宋" w:cs="仿宋"/>
          <w:sz w:val="32"/>
          <w:szCs w:val="32"/>
        </w:rPr>
      </w:pPr>
      <w:r>
        <w:rPr>
          <w:rFonts w:hint="eastAsia" w:ascii="仿宋" w:hAnsi="仿宋" w:eastAsia="仿宋" w:cs="仿宋"/>
          <w:sz w:val="32"/>
          <w:szCs w:val="32"/>
        </w:rPr>
        <w:t xml:space="preserve">十四、项目绩效目标情况说明 </w:t>
      </w:r>
    </w:p>
    <w:p w14:paraId="15F12F4B">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64F9C903">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3BC894FD">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sz w:val="32"/>
          <w:szCs w:val="32"/>
        </w:rPr>
        <w:t>年度部门预算表</w:t>
      </w:r>
    </w:p>
    <w:p w14:paraId="46BEA832">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一、收支总表</w:t>
      </w:r>
    </w:p>
    <w:p w14:paraId="5BB4BB98">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二、收入总表</w:t>
      </w:r>
    </w:p>
    <w:p w14:paraId="73B06116">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三、支出总表</w:t>
      </w:r>
    </w:p>
    <w:p w14:paraId="63CF1116">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四、财政拨款收支总表</w:t>
      </w:r>
    </w:p>
    <w:p w14:paraId="4D7B354E">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五、一般公共预算支出表</w:t>
      </w:r>
    </w:p>
    <w:p w14:paraId="619A443B">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六、一般公共预算基本支出表</w:t>
      </w:r>
    </w:p>
    <w:p w14:paraId="16A10074">
      <w:pPr>
        <w:pStyle w:val="5"/>
        <w:spacing w:after="0" w:line="600" w:lineRule="exact"/>
        <w:rPr>
          <w:rFonts w:hint="eastAsia" w:ascii="仿宋" w:hAnsi="仿宋" w:eastAsia="仿宋" w:cs="仿宋"/>
          <w:spacing w:val="-16"/>
          <w:w w:val="95"/>
          <w:sz w:val="32"/>
          <w:szCs w:val="32"/>
        </w:rPr>
      </w:pPr>
      <w:r>
        <w:rPr>
          <w:rFonts w:hint="eastAsia" w:ascii="仿宋" w:hAnsi="仿宋" w:eastAsia="仿宋" w:cs="仿宋"/>
          <w:spacing w:val="-17"/>
          <w:w w:val="95"/>
          <w:sz w:val="32"/>
          <w:szCs w:val="32"/>
        </w:rPr>
        <w:t>七、一般公共预算</w:t>
      </w:r>
      <w:r>
        <w:rPr>
          <w:rFonts w:hint="eastAsia" w:ascii="仿宋" w:hAnsi="仿宋" w:eastAsia="仿宋" w:cs="仿宋"/>
          <w:spacing w:val="-8"/>
          <w:w w:val="95"/>
          <w:sz w:val="32"/>
          <w:szCs w:val="32"/>
        </w:rPr>
        <w:t>“</w:t>
      </w:r>
      <w:r>
        <w:rPr>
          <w:rFonts w:hint="eastAsia" w:ascii="仿宋" w:hAnsi="仿宋" w:eastAsia="仿宋" w:cs="仿宋"/>
          <w:spacing w:val="-15"/>
          <w:w w:val="95"/>
          <w:sz w:val="32"/>
          <w:szCs w:val="32"/>
        </w:rPr>
        <w:t>三公</w:t>
      </w:r>
      <w:r>
        <w:rPr>
          <w:rFonts w:hint="eastAsia" w:ascii="仿宋" w:hAnsi="仿宋" w:eastAsia="仿宋" w:cs="仿宋"/>
          <w:spacing w:val="-10"/>
          <w:w w:val="95"/>
          <w:sz w:val="32"/>
          <w:szCs w:val="32"/>
        </w:rPr>
        <w:t>”</w:t>
      </w:r>
      <w:r>
        <w:rPr>
          <w:rFonts w:hint="eastAsia" w:ascii="仿宋" w:hAnsi="仿宋" w:eastAsia="仿宋" w:cs="仿宋"/>
          <w:spacing w:val="-16"/>
          <w:w w:val="95"/>
          <w:sz w:val="32"/>
          <w:szCs w:val="32"/>
        </w:rPr>
        <w:t>经费支出表</w:t>
      </w:r>
    </w:p>
    <w:p w14:paraId="545E6CCD">
      <w:pPr>
        <w:pStyle w:val="5"/>
        <w:spacing w:after="0" w:line="600" w:lineRule="exact"/>
        <w:rPr>
          <w:rFonts w:hint="eastAsia" w:ascii="仿宋" w:hAnsi="仿宋" w:eastAsia="仿宋" w:cs="仿宋"/>
          <w:sz w:val="32"/>
          <w:szCs w:val="32"/>
        </w:rPr>
      </w:pPr>
      <w:r>
        <w:rPr>
          <w:rFonts w:hint="eastAsia" w:ascii="仿宋" w:hAnsi="仿宋" w:eastAsia="仿宋" w:cs="仿宋"/>
          <w:spacing w:val="-16"/>
          <w:w w:val="95"/>
          <w:sz w:val="32"/>
          <w:szCs w:val="32"/>
        </w:rPr>
        <w:t>八、政府性基金预算支出表</w:t>
      </w:r>
    </w:p>
    <w:p w14:paraId="7D4D6E9F">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九、国有资本经营预算支出表</w:t>
      </w:r>
    </w:p>
    <w:p w14:paraId="655A917B">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十、项目支出表</w:t>
      </w:r>
    </w:p>
    <w:p w14:paraId="3B96EEE8">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十一、项目绩效目标表</w:t>
      </w:r>
    </w:p>
    <w:p w14:paraId="292B5912">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十二、政府采购预算表</w:t>
      </w:r>
    </w:p>
    <w:p w14:paraId="06D300B4">
      <w:pPr>
        <w:pStyle w:val="2"/>
        <w:rPr>
          <w:rFonts w:hint="default"/>
        </w:rPr>
      </w:pPr>
    </w:p>
    <w:p w14:paraId="57C11885">
      <w:pPr>
        <w:pStyle w:val="2"/>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14:paraId="0AB7021E">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部门概况</w:t>
      </w:r>
      <w:bookmarkEnd w:id="0"/>
    </w:p>
    <w:p w14:paraId="6C775268">
      <w:pPr>
        <w:spacing w:line="600" w:lineRule="exact"/>
        <w:rPr>
          <w:rFonts w:ascii="方正小标宋简体" w:hAnsi="方正小标宋简体" w:eastAsia="方正小标宋简体" w:cs="方正小标宋简体"/>
          <w:sz w:val="36"/>
          <w:szCs w:val="36"/>
        </w:rPr>
      </w:pPr>
    </w:p>
    <w:p w14:paraId="6CB7F8F4">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outlineLvl w:val="2"/>
        <w:rPr>
          <w:rFonts w:eastAsia="黑体" w:cs="黑体"/>
          <w:sz w:val="32"/>
          <w:szCs w:val="36"/>
        </w:rPr>
      </w:pPr>
      <w:r>
        <w:rPr>
          <w:rFonts w:hint="eastAsia" w:eastAsia="黑体" w:cs="黑体"/>
          <w:sz w:val="32"/>
          <w:szCs w:val="36"/>
        </w:rPr>
        <w:t>主要职能职责</w:t>
      </w:r>
    </w:p>
    <w:p w14:paraId="3F64AD98">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贯彻执行国家、自治区、呼伦贝尔市关于交通运输的法律法规和有关政策、标准、规划；组织拟定全旗交通发展规划并监督实施；参与拟定物流业发展战略和规划，拟定有关政策和标准并监督实施；指导交通行业体制改革工作。</w:t>
      </w:r>
    </w:p>
    <w:p w14:paraId="6488CF30">
      <w:pPr>
        <w:pStyle w:val="19"/>
        <w:keepNext w:val="0"/>
        <w:keepLines w:val="0"/>
        <w:pageBreakBefore w:val="0"/>
        <w:widowControl w:val="0"/>
        <w:shd w:val="clear" w:color="auto" w:fill="FFFFFF"/>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（二）承担涉及全旗综合运输体系的规划协调工作，会同有关部门组织编制综合运输体系规划和交通运输枢纽规划及管理；负责拟定公路建设、固定资产投资的中长期计划和年度计划，并组织实施。</w:t>
      </w:r>
    </w:p>
    <w:p w14:paraId="5A82E6B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承担全旗交通运输市场监督管理责任，组织执行道路、水路运输有关政策、准入制度、技术标准和运输规范的措施办法；指导城乡客运及有关设施规划和管理工作；承担交通运输行业管理工作；承担全旗公路路政、道路运政、交通运输工程建设和质量监督等执法门类的行政处罚权以及与行政处罚权相关的行政检查，根据法律规定行使行政强制等行政执法职能。</w:t>
      </w:r>
    </w:p>
    <w:p w14:paraId="2D1B0A81">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四）承担全旗公路、本级市场监督管理责任，贯彻执行交通建设、养护、路政相关政策、制度和技术标准的措施办法；组织协调全旗交通重点工程建设的实施、工程质量监督和安全生产监督管理工作；指导交通运输基础设施管理和维护。负责执法信息管理系统的建设和推广应用；负责全旗交通运输综合行政执法信息的收集、统计、分析工作。</w:t>
      </w:r>
    </w:p>
    <w:p w14:paraId="1B69C4EC">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（五）制定交通科技发展规划，组织、指导全旗交通科研和科技开发工作；负责全旗汽车驾驶培训的行业管理和指导。</w:t>
      </w:r>
    </w:p>
    <w:p w14:paraId="7577D797">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六）研究提出用于交通事业的财政性资金和专项资金收支预算建议，汇编全旗交通行业财务预决算；负责局属单位国有资产的管理和保值增值的监督；负责对全旗交通专项资金征收和使用进行审计及交通建设项目的内部审计；执行有关交通规费政策并监督实施；提出有关财政、土地、价格等方面的政策建议。</w:t>
      </w:r>
    </w:p>
    <w:p w14:paraId="3E331ADA">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（七）组织协调全旗交通行业安全生产和应急管理工作，依法组织或参与事故调查处理工作；负责对全旗重点物资运输和紧急客货运输进行调控；组织公路、抢险、战备工作的应急运输。</w:t>
      </w:r>
    </w:p>
    <w:p w14:paraId="4F56536F">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（八）指导交通运输信息化建设，监测分析运行情况，开展相关统计工作，指导交通行业环境保护和节能减排工作。</w:t>
      </w:r>
    </w:p>
    <w:p w14:paraId="7B403541">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（九）承担旗人民政府交办的其他工作。</w:t>
      </w:r>
    </w:p>
    <w:p w14:paraId="029823CB">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outlineLvl w:val="2"/>
        <w:rPr>
          <w:rFonts w:hint="eastAsia" w:eastAsia="黑体" w:cs="黑体"/>
          <w:sz w:val="32"/>
          <w:szCs w:val="36"/>
        </w:rPr>
      </w:pPr>
      <w:r>
        <w:rPr>
          <w:rFonts w:hint="eastAsia" w:eastAsia="黑体" w:cs="黑体"/>
          <w:sz w:val="32"/>
          <w:szCs w:val="36"/>
        </w:rPr>
        <w:t>部门机构设置及预算单位构成情况</w:t>
      </w:r>
    </w:p>
    <w:p w14:paraId="3018F32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highlight w:val="none"/>
          <w:lang w:val="en-US"/>
        </w:rPr>
      </w:pPr>
      <w:r>
        <w:rPr>
          <w:rFonts w:hint="eastAsia" w:ascii="仿宋" w:hAnsi="仿宋" w:eastAsia="仿宋" w:cs="仿宋"/>
          <w:sz w:val="32"/>
          <w:szCs w:val="32"/>
        </w:rPr>
        <w:t>1．</w:t>
      </w:r>
      <w:r>
        <w:rPr>
          <w:rFonts w:hint="eastAsia" w:ascii="仿宋" w:hAnsi="仿宋" w:eastAsia="仿宋" w:cs="仿宋"/>
          <w:sz w:val="32"/>
          <w:szCs w:val="32"/>
          <w:highlight w:val="none"/>
          <w:lang w:val="en-US" w:eastAsia="zh-CN"/>
        </w:rPr>
        <w:t>根据莫旗交通运输局</w:t>
      </w:r>
      <w:r>
        <w:rPr>
          <w:rFonts w:hint="eastAsia" w:ascii="仿宋" w:hAnsi="仿宋" w:eastAsia="仿宋" w:cs="仿宋"/>
          <w:sz w:val="32"/>
          <w:szCs w:val="32"/>
          <w:highlight w:val="none"/>
        </w:rPr>
        <w:t>部门</w:t>
      </w:r>
      <w:r>
        <w:rPr>
          <w:rFonts w:hint="eastAsia" w:ascii="仿宋" w:hAnsi="仿宋" w:eastAsia="仿宋" w:cs="仿宋"/>
          <w:sz w:val="32"/>
          <w:szCs w:val="32"/>
          <w:highlight w:val="none"/>
          <w:lang w:val="en-US" w:eastAsia="zh-CN"/>
        </w:rPr>
        <w:t>职责分工，莫旗交通运输局</w:t>
      </w:r>
      <w:r>
        <w:rPr>
          <w:rFonts w:hint="eastAsia" w:ascii="仿宋" w:hAnsi="仿宋" w:eastAsia="仿宋" w:cs="仿宋"/>
          <w:sz w:val="32"/>
          <w:szCs w:val="32"/>
          <w:highlight w:val="none"/>
        </w:rPr>
        <w:t>部门</w:t>
      </w:r>
      <w:r>
        <w:rPr>
          <w:rFonts w:hint="eastAsia" w:ascii="仿宋" w:hAnsi="仿宋" w:eastAsia="仿宋" w:cs="仿宋"/>
          <w:sz w:val="32"/>
          <w:szCs w:val="32"/>
          <w:highlight w:val="none"/>
          <w:lang w:val="en-US" w:eastAsia="zh-CN"/>
        </w:rPr>
        <w:t>内设机构包括交通运输局综合保障中心，为局本级。</w:t>
      </w:r>
    </w:p>
    <w:p w14:paraId="652573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2．从预算单位构成看，纳入本部门</w:t>
      </w:r>
      <w:r>
        <w:rPr>
          <w:rFonts w:hint="eastAsia" w:ascii="仿宋" w:hAnsi="仿宋" w:eastAsia="仿宋" w:cs="仿宋"/>
          <w:sz w:val="32"/>
          <w:szCs w:val="32"/>
          <w:lang w:val="en-US" w:eastAsia="zh-CN"/>
        </w:rPr>
        <w:t>2026</w:t>
      </w:r>
      <w:r>
        <w:rPr>
          <w:rFonts w:hint="eastAsia" w:ascii="仿宋" w:hAnsi="仿宋" w:eastAsia="仿宋" w:cs="仿宋"/>
          <w:sz w:val="32"/>
          <w:szCs w:val="32"/>
        </w:rPr>
        <w:t>年部门汇总预算编制范围的预算单位共计</w:t>
      </w:r>
      <w:r>
        <w:rPr>
          <w:rFonts w:hint="eastAsia" w:ascii="仿宋" w:hAnsi="仿宋" w:eastAsia="仿宋" w:cs="仿宋"/>
          <w:sz w:val="32"/>
          <w:szCs w:val="32"/>
          <w:lang w:val="en-US" w:eastAsia="zh-CN"/>
        </w:rPr>
        <w:t>3</w:t>
      </w:r>
      <w:r>
        <w:rPr>
          <w:rFonts w:hint="eastAsia" w:ascii="仿宋" w:hAnsi="仿宋" w:eastAsia="仿宋" w:cs="仿宋"/>
          <w:sz w:val="32"/>
          <w:szCs w:val="32"/>
        </w:rPr>
        <w:t>家，具体包括：</w:t>
      </w:r>
      <w:r>
        <w:rPr>
          <w:rFonts w:hint="eastAsia" w:ascii="仿宋" w:hAnsi="仿宋" w:eastAsia="仿宋" w:cs="仿宋"/>
          <w:sz w:val="32"/>
          <w:szCs w:val="32"/>
          <w:lang w:val="en-US" w:eastAsia="zh-CN"/>
        </w:rPr>
        <w:t>交通运输局</w:t>
      </w:r>
      <w:r>
        <w:rPr>
          <w:rFonts w:hint="eastAsia" w:ascii="仿宋" w:hAnsi="仿宋" w:eastAsia="仿宋" w:cs="仿宋"/>
          <w:sz w:val="32"/>
          <w:szCs w:val="32"/>
        </w:rPr>
        <w:t>本级、</w:t>
      </w:r>
      <w:r>
        <w:rPr>
          <w:rFonts w:hint="eastAsia" w:ascii="仿宋" w:hAnsi="仿宋" w:eastAsia="仿宋" w:cs="仿宋"/>
          <w:sz w:val="32"/>
          <w:szCs w:val="32"/>
          <w:lang w:val="en-US" w:eastAsia="zh-CN"/>
        </w:rPr>
        <w:t>公路养护服务中心</w:t>
      </w:r>
      <w:r>
        <w:rPr>
          <w:rFonts w:hint="eastAsia" w:ascii="仿宋" w:hAnsi="仿宋" w:eastAsia="仿宋" w:cs="仿宋"/>
          <w:sz w:val="32"/>
          <w:szCs w:val="32"/>
        </w:rPr>
        <w:t>、</w:t>
      </w:r>
      <w:r>
        <w:rPr>
          <w:rFonts w:hint="eastAsia" w:ascii="仿宋" w:hAnsi="仿宋" w:eastAsia="仿宋" w:cs="仿宋"/>
          <w:sz w:val="32"/>
          <w:szCs w:val="32"/>
          <w:lang w:val="en-US" w:eastAsia="zh-CN"/>
        </w:rPr>
        <w:t>交通运输综合行政执法大队</w:t>
      </w:r>
      <w:r>
        <w:rPr>
          <w:rFonts w:hint="eastAsia" w:ascii="仿宋" w:hAnsi="仿宋" w:eastAsia="仿宋" w:cs="仿宋"/>
          <w:sz w:val="32"/>
          <w:szCs w:val="32"/>
        </w:rPr>
        <w:t>。详细情况见表：</w:t>
      </w:r>
    </w:p>
    <w:p w14:paraId="2B5971F1">
      <w:pPr>
        <w:pStyle w:val="2"/>
        <w:rPr>
          <w:rFonts w:hint="eastAsia"/>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4331"/>
        <w:gridCol w:w="3529"/>
      </w:tblGrid>
      <w:tr w14:paraId="52F5C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14:paraId="78023230">
            <w:pPr>
              <w:widowControl/>
              <w:jc w:val="center"/>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序号</w:t>
            </w:r>
          </w:p>
        </w:tc>
        <w:tc>
          <w:tcPr>
            <w:tcW w:w="4331" w:type="dxa"/>
            <w:vAlign w:val="center"/>
          </w:tcPr>
          <w:p w14:paraId="7D4B2B98">
            <w:pPr>
              <w:widowControl/>
              <w:jc w:val="center"/>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单位名称</w:t>
            </w:r>
          </w:p>
        </w:tc>
        <w:tc>
          <w:tcPr>
            <w:tcW w:w="3529" w:type="dxa"/>
            <w:vAlign w:val="center"/>
          </w:tcPr>
          <w:p w14:paraId="488940A7">
            <w:pPr>
              <w:widowControl/>
              <w:jc w:val="center"/>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单位性质</w:t>
            </w:r>
          </w:p>
        </w:tc>
      </w:tr>
      <w:tr w14:paraId="1953B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3C7142F8">
            <w:pPr>
              <w:widowControl/>
              <w:jc w:val="center"/>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1</w:t>
            </w:r>
          </w:p>
        </w:tc>
        <w:tc>
          <w:tcPr>
            <w:tcW w:w="4331" w:type="dxa"/>
          </w:tcPr>
          <w:p w14:paraId="12BD54C7">
            <w:pPr>
              <w:widowControl/>
              <w:jc w:val="left"/>
              <w:rPr>
                <w:rFonts w:hint="eastAsia" w:ascii="仿宋" w:hAnsi="仿宋" w:eastAsia="仿宋" w:cs="仿宋"/>
                <w:color w:val="000000"/>
                <w:kern w:val="0"/>
                <w:sz w:val="32"/>
                <w:szCs w:val="32"/>
                <w:lang w:bidi="ar"/>
              </w:rPr>
            </w:pPr>
            <w:r>
              <w:rPr>
                <w:rFonts w:hint="eastAsia" w:ascii="仿宋" w:hAnsi="仿宋" w:eastAsia="仿宋" w:cs="仿宋"/>
                <w:sz w:val="32"/>
                <w:szCs w:val="32"/>
                <w:lang w:val="en-US" w:eastAsia="zh-CN"/>
              </w:rPr>
              <w:t>交通运输局</w:t>
            </w:r>
          </w:p>
        </w:tc>
        <w:tc>
          <w:tcPr>
            <w:tcW w:w="3529" w:type="dxa"/>
          </w:tcPr>
          <w:p w14:paraId="179E3908">
            <w:pPr>
              <w:widowControl/>
              <w:jc w:val="left"/>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财政拨款的行政单位</w:t>
            </w:r>
          </w:p>
        </w:tc>
      </w:tr>
      <w:tr w14:paraId="47BED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1B2462B3">
            <w:pPr>
              <w:widowControl/>
              <w:jc w:val="center"/>
              <w:rPr>
                <w:rFonts w:hint="eastAsia" w:ascii="仿宋" w:hAnsi="仿宋" w:eastAsia="仿宋" w:cs="仿宋"/>
                <w:color w:val="000000"/>
                <w:kern w:val="0"/>
                <w:sz w:val="32"/>
                <w:szCs w:val="32"/>
                <w:lang w:eastAsia="zh-CN" w:bidi="ar"/>
              </w:rPr>
            </w:pPr>
            <w:r>
              <w:rPr>
                <w:rFonts w:hint="eastAsia" w:ascii="仿宋" w:hAnsi="仿宋" w:eastAsia="仿宋" w:cs="仿宋"/>
                <w:color w:val="000000"/>
                <w:kern w:val="0"/>
                <w:sz w:val="32"/>
                <w:szCs w:val="32"/>
                <w:lang w:val="en-US" w:eastAsia="zh-CN" w:bidi="ar"/>
              </w:rPr>
              <w:t>2</w:t>
            </w:r>
          </w:p>
        </w:tc>
        <w:tc>
          <w:tcPr>
            <w:tcW w:w="4331" w:type="dxa"/>
          </w:tcPr>
          <w:p w14:paraId="365D144C">
            <w:pPr>
              <w:widowControl/>
              <w:jc w:val="left"/>
              <w:rPr>
                <w:rFonts w:hint="eastAsia" w:ascii="仿宋" w:hAnsi="仿宋" w:eastAsia="仿宋" w:cs="仿宋"/>
                <w:color w:val="000000"/>
                <w:kern w:val="0"/>
                <w:sz w:val="32"/>
                <w:szCs w:val="32"/>
                <w:lang w:bidi="ar"/>
              </w:rPr>
            </w:pPr>
            <w:r>
              <w:rPr>
                <w:rFonts w:hint="eastAsia" w:ascii="仿宋" w:hAnsi="仿宋" w:eastAsia="仿宋" w:cs="仿宋"/>
                <w:sz w:val="32"/>
                <w:szCs w:val="32"/>
                <w:lang w:val="en-US" w:eastAsia="zh-CN"/>
              </w:rPr>
              <w:t>公路养护服务中心</w:t>
            </w:r>
          </w:p>
        </w:tc>
        <w:tc>
          <w:tcPr>
            <w:tcW w:w="3529" w:type="dxa"/>
          </w:tcPr>
          <w:p w14:paraId="5EB74393">
            <w:pPr>
              <w:widowControl/>
              <w:jc w:val="left"/>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公益一类事业单位</w:t>
            </w:r>
          </w:p>
        </w:tc>
      </w:tr>
      <w:tr w14:paraId="5E234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46449391">
            <w:pPr>
              <w:widowControl/>
              <w:jc w:val="center"/>
              <w:rPr>
                <w:rFonts w:hint="eastAsia" w:ascii="仿宋" w:hAnsi="仿宋" w:eastAsia="仿宋" w:cs="仿宋"/>
                <w:color w:val="000000"/>
                <w:kern w:val="0"/>
                <w:sz w:val="32"/>
                <w:szCs w:val="32"/>
                <w:lang w:eastAsia="zh-CN" w:bidi="ar"/>
              </w:rPr>
            </w:pPr>
            <w:r>
              <w:rPr>
                <w:rFonts w:hint="eastAsia" w:ascii="仿宋" w:hAnsi="仿宋" w:eastAsia="仿宋" w:cs="仿宋"/>
                <w:color w:val="000000"/>
                <w:kern w:val="0"/>
                <w:sz w:val="32"/>
                <w:szCs w:val="32"/>
                <w:lang w:val="en-US" w:eastAsia="zh-CN" w:bidi="ar"/>
              </w:rPr>
              <w:t>3</w:t>
            </w:r>
          </w:p>
        </w:tc>
        <w:tc>
          <w:tcPr>
            <w:tcW w:w="4331" w:type="dxa"/>
          </w:tcPr>
          <w:p w14:paraId="07498C30">
            <w:pPr>
              <w:widowControl/>
              <w:jc w:val="left"/>
              <w:rPr>
                <w:rFonts w:hint="eastAsia" w:ascii="仿宋" w:hAnsi="仿宋" w:eastAsia="仿宋" w:cs="仿宋"/>
                <w:color w:val="000000"/>
                <w:kern w:val="0"/>
                <w:sz w:val="32"/>
                <w:szCs w:val="32"/>
                <w:lang w:bidi="ar"/>
              </w:rPr>
            </w:pPr>
            <w:r>
              <w:rPr>
                <w:rFonts w:hint="eastAsia" w:ascii="仿宋" w:hAnsi="仿宋" w:eastAsia="仿宋" w:cs="仿宋"/>
                <w:sz w:val="32"/>
                <w:szCs w:val="32"/>
                <w:lang w:val="en-US" w:eastAsia="zh-CN"/>
              </w:rPr>
              <w:t>交通运输综合行政执法大队</w:t>
            </w:r>
          </w:p>
        </w:tc>
        <w:tc>
          <w:tcPr>
            <w:tcW w:w="3529" w:type="dxa"/>
          </w:tcPr>
          <w:p w14:paraId="05AE5C4E">
            <w:pPr>
              <w:widowControl/>
              <w:jc w:val="left"/>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公益一类事业单位</w:t>
            </w:r>
          </w:p>
        </w:tc>
      </w:tr>
    </w:tbl>
    <w:p w14:paraId="158934B5">
      <w:pPr>
        <w:numPr>
          <w:ilvl w:val="0"/>
          <w:numId w:val="1"/>
        </w:numPr>
        <w:spacing w:line="600" w:lineRule="exact"/>
        <w:ind w:left="17" w:leftChars="8" w:firstLine="624" w:firstLineChars="195"/>
        <w:outlineLvl w:val="2"/>
        <w:rPr>
          <w:rFonts w:eastAsia="黑体" w:cs="黑体"/>
          <w:sz w:val="32"/>
          <w:szCs w:val="36"/>
        </w:rPr>
      </w:pPr>
      <w:r>
        <w:rPr>
          <w:rFonts w:hint="eastAsia" w:ascii="仿宋_GB2312" w:hAnsi="仿宋_GB2312" w:eastAsia="黑体" w:cs="黑体"/>
          <w:sz w:val="32"/>
          <w:szCs w:val="36"/>
          <w:lang w:val="en-US" w:eastAsia="zh-CN"/>
        </w:rPr>
        <w:t>2026</w:t>
      </w:r>
      <w:r>
        <w:rPr>
          <w:rFonts w:hint="eastAsia" w:eastAsia="黑体" w:cs="黑体"/>
          <w:sz w:val="32"/>
          <w:szCs w:val="36"/>
        </w:rPr>
        <w:t>年度部门主要工作任务及目标</w:t>
      </w:r>
    </w:p>
    <w:p w14:paraId="788669A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楷体" w:hAnsi="楷体" w:eastAsia="楷体" w:cs="楷体"/>
          <w:b w:val="0"/>
          <w:bCs w:val="0"/>
          <w:kern w:val="2"/>
          <w:sz w:val="32"/>
          <w:szCs w:val="32"/>
          <w:lang w:val="en-US" w:eastAsia="zh-CN" w:bidi="ar-SA"/>
        </w:rPr>
      </w:pPr>
      <w:r>
        <w:rPr>
          <w:rFonts w:hint="eastAsia" w:ascii="楷体" w:hAnsi="楷体" w:eastAsia="楷体" w:cs="楷体"/>
          <w:b w:val="0"/>
          <w:bCs w:val="0"/>
          <w:kern w:val="2"/>
          <w:sz w:val="32"/>
          <w:szCs w:val="32"/>
          <w:lang w:val="en-US" w:eastAsia="zh-CN" w:bidi="ar-SA"/>
        </w:rPr>
        <w:t>（一）抓党建强引领，加强交通运输事业领导</w:t>
      </w:r>
    </w:p>
    <w:p w14:paraId="17AD3BF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pPr>
      <w:r>
        <w:rPr>
          <w:rFonts w:hint="eastAsia" w:ascii="仿宋" w:hAnsi="仿宋" w:eastAsia="仿宋" w:cs="仿宋"/>
          <w:b w:val="0"/>
          <w:bCs w:val="0"/>
          <w:color w:val="auto"/>
          <w:spacing w:val="0"/>
          <w:sz w:val="32"/>
          <w:szCs w:val="32"/>
          <w:highlight w:val="none"/>
          <w:lang w:val="en-US" w:eastAsia="zh-CN"/>
        </w:rPr>
        <w:t>一年来，我们持续提升党建质量水平，行业干事创业氛围积极向上。全局上下切实提高政治站位，将巩固主题教育成果与深入开展的党纪学习教育有效结合，进一步深刻领悟“两个确立”的决定性意义，增强“四个意识”、坚定“四个自信”、做到“两个维护”。一是把“第一议题”放在核心位置。2025年局党组共组织召开26次党组会议，坚决落实“第一议题”制度，切实保障学习成效。二是扎实开展党纪学习教育。先后组织召开专题会议3次，进行安排部署、总体谋划。累计开展党组理论学习中心组学习12次、研讨4次，有效推动党纪法规入脑入心。三</w:t>
      </w:r>
      <w:r>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t>是严格落实意识形态工作责任制。凝心聚力铸牢中华民族共同体意识，开展“六句话的事实和道理”宣讲1次，汇聚起推动高质量发展的强大正能量。四是全面从严治党得到新加强。坚持严管厚爱相结合，严格干部因私出国（境）的管理。纵深推进“廉洁交通”建设，持续推进作风效能建设，制定“六个责任清单”，始终保持作风整治的高压态势。五是依托党务公开‌促进权力透明运行。本年度党务公开内容35条工作，通过党务公开，确保党内权力在阳光下运行，减少腐败的可能性。</w:t>
      </w:r>
    </w:p>
    <w:p w14:paraId="635271C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楷体" w:hAnsi="楷体" w:eastAsia="楷体" w:cs="楷体"/>
          <w:b w:val="0"/>
          <w:bCs w:val="0"/>
          <w:kern w:val="2"/>
          <w:sz w:val="32"/>
          <w:szCs w:val="32"/>
          <w:lang w:val="en-US" w:eastAsia="zh-CN" w:bidi="ar-SA"/>
        </w:rPr>
      </w:pPr>
      <w:r>
        <w:rPr>
          <w:rFonts w:hint="eastAsia" w:ascii="楷体" w:hAnsi="楷体" w:eastAsia="楷体" w:cs="楷体"/>
          <w:b w:val="0"/>
          <w:bCs w:val="0"/>
          <w:kern w:val="2"/>
          <w:sz w:val="32"/>
          <w:szCs w:val="32"/>
          <w:lang w:val="en-US" w:eastAsia="zh-CN" w:bidi="ar-SA"/>
        </w:rPr>
        <w:t>（二）全力保障工程施工要素，踔厉分发推动项目建设</w:t>
      </w:r>
    </w:p>
    <w:p w14:paraId="0641750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一是Y002宝山至杜拉尔公路升级改建工程，全长40.25公里，按照三级公路标准建设，路基宽7.5米，路面宽6.5米，水泥混凝土路面，总投资7982万元，目前该项目已完成施工图设计及批复。二是X307线卧罗河至塔温敖宝段公路改建工程，全长28.941公里，按照四级公路标准建设，路基宽6.5米，路面宽3.5米，水泥混凝土路面，总投资2554万元，目前该项目已完成施工图设计及批复。三是省道201博荣大桥危桥改造建设项目，对该桥进行加固维修，桥梁长258.44m、宽9m预应力砼组合箱梁桥，总投资541万元。截止目前已完成施工及施工监理标段招投标工作。四是省道201团结大桥危桥改造建设项目，对原桥进行拆除重建，建设桥梁长145.5m、宽12m预应力砼组合箱梁桥，总投资1214万元。截止目前已完成施工及施工监理标段招投标工作。五是农村公路新建桥梁建设项目，建设4座桥梁，总长139.1米，全宽均为8.5米，总投资1170万元，目前该项目已完成施工图设计及批复。五是拟建设农村公路养护工程项目21个，建设里程190.38公里，总投资5502万元。均为群众反映路段，目前已将建设计划上报上级部门。</w:t>
      </w:r>
    </w:p>
    <w:p w14:paraId="587737F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楷体" w:hAnsi="楷体" w:eastAsia="楷体" w:cs="楷体"/>
          <w:b w:val="0"/>
          <w:bCs w:val="0"/>
          <w:kern w:val="2"/>
          <w:sz w:val="32"/>
          <w:szCs w:val="32"/>
          <w:lang w:val="en-US" w:eastAsia="zh-CN" w:bidi="ar-SA"/>
        </w:rPr>
      </w:pPr>
      <w:r>
        <w:rPr>
          <w:rFonts w:hint="eastAsia" w:ascii="楷体" w:hAnsi="楷体" w:eastAsia="楷体" w:cs="楷体"/>
          <w:b w:val="0"/>
          <w:bCs w:val="0"/>
          <w:kern w:val="2"/>
          <w:sz w:val="32"/>
          <w:szCs w:val="32"/>
          <w:lang w:val="en-US" w:eastAsia="zh-CN" w:bidi="ar-SA"/>
        </w:rPr>
        <w:t>（三）抓运输优服务，综合运输服务提质增效</w:t>
      </w:r>
    </w:p>
    <w:p w14:paraId="0A83EA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pPr>
      <w:r>
        <w:rPr>
          <w:rFonts w:hint="eastAsia" w:ascii="仿宋" w:hAnsi="仿宋" w:eastAsia="仿宋" w:cs="仿宋"/>
          <w:b w:val="0"/>
          <w:bCs w:val="0"/>
          <w:i w:val="0"/>
          <w:iCs w:val="0"/>
          <w:caps w:val="0"/>
          <w:color w:val="333333"/>
          <w:spacing w:val="0"/>
          <w:kern w:val="0"/>
          <w:sz w:val="32"/>
          <w:szCs w:val="32"/>
          <w:shd w:val="clear" w:fill="FFFFFF"/>
          <w:lang w:val="en-US" w:eastAsia="zh-CN" w:bidi="ar"/>
        </w:rPr>
        <w:t>一年来，我们深入践行为民根本宗旨，交通民生实事亮点纷呈。一是</w:t>
      </w:r>
      <w:r>
        <w:rPr>
          <w:rFonts w:hint="eastAsia" w:ascii="仿宋" w:hAnsi="仿宋" w:eastAsia="仿宋" w:cs="仿宋"/>
          <w:b w:val="0"/>
          <w:bCs w:val="0"/>
          <w:i w:val="0"/>
          <w:iCs w:val="0"/>
          <w:caps w:val="0"/>
          <w:color w:val="333333"/>
          <w:spacing w:val="0"/>
          <w:kern w:val="0"/>
          <w:sz w:val="32"/>
          <w:szCs w:val="32"/>
          <w:highlight w:val="none"/>
          <w:shd w:val="clear" w:fill="FFFFFF"/>
          <w:lang w:val="en-US" w:eastAsia="zh-CN" w:bidi="ar"/>
        </w:rPr>
        <w:t>城乡物流服务水平大幅提升。</w:t>
      </w:r>
      <w:r>
        <w:rPr>
          <w:rFonts w:hint="eastAsia" w:ascii="仿宋" w:hAnsi="仿宋" w:eastAsia="仿宋" w:cs="仿宋"/>
          <w:b w:val="0"/>
          <w:bCs w:val="0"/>
          <w:kern w:val="2"/>
          <w:sz w:val="32"/>
          <w:szCs w:val="32"/>
          <w:lang w:val="en-US" w:eastAsia="zh-CN" w:bidi="ar-SA"/>
        </w:rPr>
        <w:t>全旗道路客运出行便捷度、货运物流畅通度、群众感受满意度不断攀高，2025年城乡交通运输发展水平经自治区交通运输厅运输服务处审核评定为4A级，较上一年度提升一个档次。</w:t>
      </w:r>
      <w:r>
        <w:rPr>
          <w:rFonts w:hint="eastAsia" w:ascii="仿宋" w:hAnsi="仿宋" w:eastAsia="仿宋" w:cs="仿宋"/>
          <w:b w:val="0"/>
          <w:bCs w:val="0"/>
          <w:i w:val="0"/>
          <w:iCs w:val="0"/>
          <w:caps w:val="0"/>
          <w:color w:val="333333"/>
          <w:spacing w:val="0"/>
          <w:kern w:val="0"/>
          <w:sz w:val="32"/>
          <w:szCs w:val="32"/>
          <w:shd w:val="clear" w:fill="FFFFFF"/>
          <w:lang w:val="en-US" w:eastAsia="zh-CN" w:bidi="ar"/>
        </w:rPr>
        <w:t>二是法治交通深入推进。依法行政扎实推进，执法规范化建设深入实施，截至目前，累计作出行政处罚决定159件。</w:t>
      </w:r>
    </w:p>
    <w:p w14:paraId="7CC3E54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720"/>
        <w:jc w:val="both"/>
        <w:textAlignment w:val="auto"/>
        <w:rPr>
          <w:rFonts w:hint="eastAsia" w:ascii="楷体" w:hAnsi="楷体" w:eastAsia="楷体" w:cs="楷体"/>
          <w:b w:val="0"/>
          <w:bCs w:val="0"/>
          <w:i w:val="0"/>
          <w:iCs w:val="0"/>
          <w:caps w:val="0"/>
          <w:color w:val="333333"/>
          <w:spacing w:val="0"/>
          <w:sz w:val="32"/>
          <w:szCs w:val="32"/>
        </w:rPr>
      </w:pPr>
      <w:r>
        <w:rPr>
          <w:rFonts w:hint="eastAsia" w:ascii="楷体" w:hAnsi="楷体" w:eastAsia="楷体" w:cs="楷体"/>
          <w:b w:val="0"/>
          <w:bCs w:val="0"/>
          <w:i w:val="0"/>
          <w:iCs w:val="0"/>
          <w:caps w:val="0"/>
          <w:color w:val="333333"/>
          <w:spacing w:val="0"/>
          <w:kern w:val="0"/>
          <w:sz w:val="32"/>
          <w:szCs w:val="32"/>
          <w:shd w:val="clear" w:fill="FFFFFF"/>
          <w:lang w:val="en-US" w:eastAsia="zh-CN" w:bidi="ar"/>
        </w:rPr>
        <w:t>（四）抓改革提效能，营商环境水平不断提升</w:t>
      </w:r>
    </w:p>
    <w:p w14:paraId="2DB6E5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i w:val="0"/>
          <w:iCs w:val="0"/>
          <w:caps w:val="0"/>
          <w:color w:val="333333"/>
          <w:spacing w:val="0"/>
          <w:kern w:val="0"/>
          <w:sz w:val="32"/>
          <w:szCs w:val="32"/>
          <w:shd w:val="clear" w:fill="FFFFFF"/>
          <w:lang w:val="en-US" w:eastAsia="zh-CN" w:bidi="ar"/>
        </w:rPr>
        <w:t>一年来，我们更加突出改革创新驱动，行业现代治理能力稳步提升。一</w:t>
      </w:r>
      <w:r>
        <w:rPr>
          <w:rFonts w:hint="eastAsia" w:ascii="仿宋" w:hAnsi="仿宋" w:eastAsia="仿宋" w:cs="仿宋"/>
          <w:b w:val="0"/>
          <w:bCs w:val="0"/>
          <w:color w:val="000000" w:themeColor="text1"/>
          <w:sz w:val="32"/>
          <w:szCs w:val="32"/>
          <w:lang w:val="en-US" w:eastAsia="zh-CN"/>
          <w14:textFill>
            <w14:solidFill>
              <w14:schemeClr w14:val="tx1"/>
            </w14:solidFill>
          </w14:textFill>
        </w:rPr>
        <w:t>是助力招商引资工作提质增效。</w:t>
      </w:r>
      <w:r>
        <w:rPr>
          <w:rFonts w:hint="eastAsia" w:ascii="仿宋" w:hAnsi="仿宋" w:eastAsia="仿宋" w:cs="仿宋"/>
          <w:b w:val="0"/>
          <w:bCs w:val="0"/>
          <w:color w:val="auto"/>
          <w:kern w:val="2"/>
          <w:sz w:val="32"/>
          <w:szCs w:val="32"/>
          <w:lang w:val="en-US" w:eastAsia="zh-CN" w:bidi="ar-SA"/>
        </w:rPr>
        <w:t>积极与投资企业和个人对接洽谈相互交流考察，聚焦“招得来”“落得下”为结果导向，实现了招商任务和质量双突破。</w:t>
      </w:r>
      <w:r>
        <w:rPr>
          <w:rFonts w:hint="eastAsia" w:ascii="仿宋" w:hAnsi="仿宋" w:eastAsia="仿宋" w:cs="仿宋"/>
          <w:b w:val="0"/>
          <w:bCs w:val="0"/>
          <w:color w:val="000000" w:themeColor="text1"/>
          <w:sz w:val="32"/>
          <w:szCs w:val="32"/>
          <w:lang w:val="en-US" w:eastAsia="zh-CN"/>
          <w14:textFill>
            <w14:solidFill>
              <w14:schemeClr w14:val="tx1"/>
            </w14:solidFill>
          </w14:textFill>
        </w:rPr>
        <w:t>以“信用交通城市”建设为抓手，推进信用理念、信用制度、信用手段与综合交通运输体系各方面、各环节深度融合，不断完善“信用交通”数据归集工作，试点开展“交通+信贷”联合惩戒，以信用为基础的新型监管机制加快构建，为全面建成高水平社会信用体系奠定坚实基础。</w:t>
      </w:r>
    </w:p>
    <w:p w14:paraId="2AF5E90D">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楷体" w:hAnsi="楷体" w:eastAsia="楷体" w:cs="楷体"/>
          <w:b w:val="0"/>
          <w:bCs w:val="0"/>
          <w:sz w:val="32"/>
          <w:szCs w:val="32"/>
          <w:highlight w:val="none"/>
          <w:lang w:val="en-US" w:eastAsia="zh-CN"/>
        </w:rPr>
      </w:pPr>
      <w:r>
        <w:rPr>
          <w:rFonts w:hint="eastAsia" w:ascii="楷体" w:hAnsi="楷体" w:eastAsia="楷体" w:cs="楷体"/>
          <w:b w:val="0"/>
          <w:bCs w:val="0"/>
          <w:sz w:val="32"/>
          <w:szCs w:val="32"/>
          <w:highlight w:val="none"/>
          <w:lang w:val="en-US" w:eastAsia="zh-CN"/>
        </w:rPr>
        <w:t>（五） 织紧交通“安全网”，安全形势稳定向好</w:t>
      </w:r>
    </w:p>
    <w:p w14:paraId="4ECB1990">
      <w:pPr>
        <w:pStyle w:val="9"/>
        <w:keepNext w:val="0"/>
        <w:keepLines w:val="0"/>
        <w:pageBreakBefore w:val="0"/>
        <w:widowControl w:val="0"/>
        <w:kinsoku/>
        <w:wordWrap/>
        <w:overflowPunct/>
        <w:topLinePunct w:val="0"/>
        <w:autoSpaceDE/>
        <w:autoSpaceDN/>
        <w:bidi w:val="0"/>
        <w:adjustRightInd/>
        <w:snapToGrid/>
        <w:spacing w:before="0" w:line="560" w:lineRule="exact"/>
        <w:ind w:firstLine="640" w:firstLineChars="200"/>
        <w:jc w:val="left"/>
        <w:textAlignment w:val="auto"/>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t>一年来，我们统筹推进安全与发展，交通运输发展稳中有进。一是稳定基础更加坚实。健全完善维稳指挥体系，全面压实维稳责任，突出加强安全防范，深入开展涉稳风险排查整治325次，各类矛盾纠纷有效化解。推进扫黑除恶制度化常态化，有力打击查处恶意损坏公路设施等恶性事件。二是安全生产形势平稳。日常监管及调度能力实现较大突破，扎实开展安全生产“三年治本攻坚”行动，狠抓道路运输尤其是“两客一危”运输车辆安全治理，开展“大学习、大培训、大考试”专项行动培训1次，危险货物运输专项检查1次，出租汽车专项整治行动1次，汛期道路隐患排查行动1次，全旗道路运输事故三项指标连续2年下降。</w:t>
      </w:r>
    </w:p>
    <w:p w14:paraId="3789FE7B">
      <w:pPr>
        <w:pStyle w:val="2"/>
      </w:pPr>
    </w:p>
    <w:p w14:paraId="2E3E5A36">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2026</w:t>
      </w:r>
      <w:r>
        <w:rPr>
          <w:rFonts w:hint="eastAsia" w:cs="方正小标宋简体" w:asciiTheme="majorEastAsia" w:hAnsiTheme="majorEastAsia" w:eastAsiaTheme="majorEastAsia"/>
          <w:bCs w:val="0"/>
          <w:sz w:val="36"/>
          <w:szCs w:val="36"/>
        </w:rPr>
        <w:t>年度单位预算情况说明</w:t>
      </w:r>
      <w:bookmarkEnd w:id="1"/>
    </w:p>
    <w:p w14:paraId="537DC03E">
      <w:pPr>
        <w:spacing w:line="600" w:lineRule="exact"/>
        <w:rPr>
          <w:rFonts w:ascii="方正小标宋简体" w:hAnsi="方正小标宋简体" w:eastAsia="方正小标宋简体" w:cs="方正小标宋简体"/>
          <w:sz w:val="36"/>
          <w:szCs w:val="36"/>
        </w:rPr>
      </w:pPr>
    </w:p>
    <w:p w14:paraId="5D0487AF">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7BE2988E">
      <w:pPr>
        <w:pStyle w:val="5"/>
        <w:tabs>
          <w:tab w:val="left" w:pos="5840"/>
          <w:tab w:val="left" w:pos="7858"/>
          <w:tab w:val="left" w:pos="932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u w:val="none"/>
          <w:lang w:val="en-US" w:eastAsia="zh-CN"/>
        </w:rPr>
        <w:t>莫旗交通运输局</w:t>
      </w:r>
      <w:r>
        <w:rPr>
          <w:rFonts w:hint="eastAsia" w:ascii="仿宋" w:hAnsi="仿宋" w:eastAsia="仿宋" w:cs="仿宋"/>
          <w:sz w:val="32"/>
          <w:szCs w:val="32"/>
          <w:lang w:val="en-US" w:eastAsia="zh-CN"/>
        </w:rPr>
        <w:t>2026</w:t>
      </w:r>
      <w:r>
        <w:rPr>
          <w:rFonts w:hint="eastAsia" w:ascii="仿宋" w:hAnsi="仿宋" w:eastAsia="仿宋" w:cs="仿宋"/>
          <w:sz w:val="32"/>
          <w:szCs w:val="32"/>
        </w:rPr>
        <w:t>年度收入、支出预算总计</w:t>
      </w:r>
      <w:r>
        <w:rPr>
          <w:rFonts w:hint="eastAsia" w:ascii="仿宋" w:hAnsi="仿宋" w:eastAsia="仿宋" w:cs="仿宋"/>
          <w:sz w:val="32"/>
          <w:szCs w:val="32"/>
          <w:lang w:val="en-US" w:eastAsia="zh-CN"/>
        </w:rPr>
        <w:t>1912.74</w:t>
      </w:r>
      <w:r>
        <w:rPr>
          <w:rFonts w:hint="eastAsia" w:ascii="仿宋" w:hAnsi="仿宋" w:eastAsia="仿宋" w:cs="仿宋"/>
          <w:sz w:val="32"/>
          <w:szCs w:val="32"/>
        </w:rPr>
        <w:t>万元，与上年相比收、支预算总计各增加</w:t>
      </w:r>
      <w:r>
        <w:rPr>
          <w:rFonts w:hint="eastAsia" w:ascii="仿宋" w:hAnsi="仿宋" w:eastAsia="仿宋" w:cs="仿宋"/>
          <w:sz w:val="32"/>
          <w:szCs w:val="32"/>
          <w:lang w:val="en-US" w:eastAsia="zh-CN"/>
        </w:rPr>
        <w:t>5936.42</w:t>
      </w:r>
      <w:r>
        <w:rPr>
          <w:rFonts w:hint="eastAsia" w:ascii="仿宋" w:hAnsi="仿宋" w:eastAsia="仿宋" w:cs="仿宋"/>
          <w:sz w:val="32"/>
          <w:szCs w:val="32"/>
        </w:rPr>
        <w:t>万元，</w:t>
      </w:r>
      <w:r>
        <w:rPr>
          <w:rFonts w:hint="eastAsia" w:ascii="仿宋" w:hAnsi="仿宋" w:eastAsia="仿宋" w:cs="仿宋"/>
          <w:sz w:val="32"/>
          <w:szCs w:val="32"/>
          <w:lang w:val="en-US" w:eastAsia="zh-CN"/>
        </w:rPr>
        <w:t>减少75.63</w:t>
      </w:r>
      <w:r>
        <w:rPr>
          <w:rFonts w:hint="eastAsia" w:ascii="仿宋" w:hAnsi="仿宋" w:eastAsia="仿宋" w:cs="仿宋"/>
          <w:sz w:val="32"/>
          <w:szCs w:val="32"/>
        </w:rPr>
        <w:t>%。其中：</w:t>
      </w:r>
    </w:p>
    <w:p w14:paraId="724FDE0C">
      <w:pPr>
        <w:pStyle w:val="5"/>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u w:val="none"/>
        </w:rPr>
        <w:t>（一）收入预算总计</w:t>
      </w:r>
      <w:r>
        <w:rPr>
          <w:rFonts w:hint="eastAsia" w:ascii="楷体" w:hAnsi="楷体" w:eastAsia="楷体" w:cs="楷体"/>
          <w:b/>
          <w:bCs/>
          <w:sz w:val="32"/>
          <w:szCs w:val="32"/>
          <w:u w:val="none"/>
          <w:lang w:val="en-US" w:eastAsia="zh-CN"/>
        </w:rPr>
        <w:t>1912.74</w:t>
      </w:r>
      <w:r>
        <w:rPr>
          <w:rFonts w:hint="eastAsia" w:ascii="楷体" w:hAnsi="楷体" w:eastAsia="楷体" w:cs="楷体"/>
          <w:b/>
          <w:bCs/>
          <w:sz w:val="32"/>
          <w:szCs w:val="32"/>
          <w:u w:val="none"/>
        </w:rPr>
        <w:t>万元。包括：</w:t>
      </w:r>
    </w:p>
    <w:p w14:paraId="604FCD68">
      <w:pPr>
        <w:pStyle w:val="5"/>
        <w:tabs>
          <w:tab w:val="left" w:pos="3792"/>
        </w:tabs>
        <w:spacing w:after="0" w:line="600" w:lineRule="exact"/>
        <w:ind w:firstLine="640" w:firstLineChars="200"/>
        <w:rPr>
          <w:rFonts w:eastAsia="仿宋_GB2312"/>
          <w:sz w:val="32"/>
          <w:szCs w:val="32"/>
          <w:u w:val="none"/>
        </w:rPr>
      </w:pPr>
      <w:r>
        <w:rPr>
          <w:rFonts w:eastAsia="仿宋_GB2312"/>
          <w:sz w:val="32"/>
          <w:szCs w:val="32"/>
          <w:u w:val="none"/>
        </w:rPr>
        <w:t>1</w:t>
      </w:r>
      <w:r>
        <w:rPr>
          <w:rFonts w:hint="eastAsia" w:eastAsia="仿宋_GB2312"/>
          <w:sz w:val="32"/>
          <w:szCs w:val="32"/>
          <w:u w:val="none"/>
          <w:lang w:val="en-US" w:eastAsia="zh-CN"/>
        </w:rPr>
        <w:t>.</w:t>
      </w:r>
      <w:r>
        <w:rPr>
          <w:rFonts w:eastAsia="仿宋_GB2312"/>
          <w:sz w:val="32"/>
          <w:szCs w:val="32"/>
          <w:u w:val="none"/>
        </w:rPr>
        <w:t>本年收入合计</w:t>
      </w:r>
      <w:r>
        <w:rPr>
          <w:rFonts w:hint="eastAsia" w:eastAsia="仿宋_GB2312"/>
          <w:sz w:val="32"/>
          <w:szCs w:val="32"/>
          <w:u w:val="none"/>
          <w:lang w:val="en-US" w:eastAsia="zh-CN"/>
        </w:rPr>
        <w:t>1762.12</w:t>
      </w:r>
      <w:r>
        <w:rPr>
          <w:rFonts w:eastAsia="仿宋_GB2312"/>
          <w:sz w:val="32"/>
          <w:szCs w:val="32"/>
          <w:u w:val="none"/>
        </w:rPr>
        <w:t>万元。</w:t>
      </w:r>
    </w:p>
    <w:p w14:paraId="60C46F3F">
      <w:pPr>
        <w:pStyle w:val="5"/>
        <w:keepNext w:val="0"/>
        <w:keepLines w:val="0"/>
        <w:pageBreakBefore w:val="0"/>
        <w:widowControl w:val="0"/>
        <w:tabs>
          <w:tab w:val="left" w:pos="1389"/>
          <w:tab w:val="left" w:pos="4911"/>
          <w:tab w:val="left" w:pos="5898"/>
        </w:tabs>
        <w:kinsoku/>
        <w:wordWrap/>
        <w:overflowPunct/>
        <w:topLinePunct w:val="0"/>
        <w:autoSpaceDE/>
        <w:autoSpaceDN/>
        <w:bidi w:val="0"/>
        <w:adjustRightInd/>
        <w:snapToGrid/>
        <w:spacing w:after="0" w:line="560" w:lineRule="exact"/>
        <w:ind w:left="0" w:leftChars="0" w:firstLine="640" w:firstLineChars="200"/>
        <w:jc w:val="left"/>
        <w:textAlignment w:val="auto"/>
        <w:rPr>
          <w:rFonts w:hint="eastAsia" w:ascii="仿宋" w:hAnsi="仿宋" w:eastAsia="仿宋" w:cs="仿宋"/>
          <w:sz w:val="32"/>
          <w:szCs w:val="32"/>
          <w:u w:val="none"/>
        </w:rPr>
      </w:pPr>
      <w:r>
        <w:rPr>
          <w:rFonts w:hint="eastAsia" w:ascii="仿宋" w:hAnsi="仿宋" w:eastAsia="仿宋" w:cs="仿宋"/>
          <w:sz w:val="32"/>
          <w:szCs w:val="32"/>
          <w:u w:val="none"/>
        </w:rPr>
        <w:t>（1）一般公共预算拨款收入</w:t>
      </w:r>
      <w:r>
        <w:rPr>
          <w:rFonts w:hint="eastAsia" w:ascii="仿宋" w:hAnsi="仿宋" w:eastAsia="仿宋" w:cs="仿宋"/>
          <w:sz w:val="32"/>
          <w:szCs w:val="32"/>
          <w:u w:val="none"/>
          <w:lang w:val="en-US" w:eastAsia="zh-CN"/>
        </w:rPr>
        <w:t>1536.74</w:t>
      </w:r>
      <w:r>
        <w:rPr>
          <w:rFonts w:hint="eastAsia" w:ascii="仿宋" w:hAnsi="仿宋" w:eastAsia="仿宋" w:cs="仿宋"/>
          <w:sz w:val="32"/>
          <w:szCs w:val="32"/>
          <w:u w:val="none"/>
        </w:rPr>
        <w:t>万元，与上年相比增</w:t>
      </w:r>
      <w:r>
        <w:rPr>
          <w:rFonts w:hint="eastAsia" w:ascii="仿宋" w:hAnsi="仿宋" w:eastAsia="仿宋" w:cs="仿宋"/>
          <w:sz w:val="32"/>
          <w:szCs w:val="32"/>
          <w:u w:val="none"/>
          <w:lang w:val="en-US" w:eastAsia="zh-CN"/>
        </w:rPr>
        <w:t>加103.97</w:t>
      </w:r>
      <w:r>
        <w:rPr>
          <w:rFonts w:hint="eastAsia" w:ascii="仿宋" w:hAnsi="仿宋" w:eastAsia="仿宋" w:cs="仿宋"/>
          <w:sz w:val="32"/>
          <w:szCs w:val="32"/>
          <w:u w:val="none"/>
        </w:rPr>
        <w:t xml:space="preserve">万元，增长 </w:t>
      </w:r>
      <w:r>
        <w:rPr>
          <w:rFonts w:hint="eastAsia" w:ascii="仿宋" w:hAnsi="仿宋" w:eastAsia="仿宋" w:cs="仿宋"/>
          <w:sz w:val="32"/>
          <w:szCs w:val="32"/>
          <w:u w:val="none"/>
          <w:lang w:val="en-US" w:eastAsia="zh-CN"/>
        </w:rPr>
        <w:t>7.26</w:t>
      </w:r>
      <w:r>
        <w:rPr>
          <w:rFonts w:hint="eastAsia" w:ascii="仿宋" w:hAnsi="仿宋" w:eastAsia="仿宋" w:cs="仿宋"/>
          <w:sz w:val="32"/>
          <w:szCs w:val="32"/>
          <w:u w:val="none"/>
        </w:rPr>
        <w:t xml:space="preserve"> %</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本年度日常活动和农村公路活动增加，日常公用经费增加</w:t>
      </w:r>
      <w:r>
        <w:rPr>
          <w:rFonts w:hint="eastAsia" w:ascii="仿宋" w:hAnsi="仿宋" w:eastAsia="仿宋" w:cs="仿宋"/>
          <w:sz w:val="32"/>
          <w:szCs w:val="32"/>
          <w:u w:val="none"/>
        </w:rPr>
        <w:t>。</w:t>
      </w:r>
    </w:p>
    <w:p w14:paraId="23424B3E">
      <w:pPr>
        <w:pStyle w:val="5"/>
        <w:keepNext w:val="0"/>
        <w:keepLines w:val="0"/>
        <w:pageBreakBefore w:val="0"/>
        <w:widowControl w:val="0"/>
        <w:tabs>
          <w:tab w:val="left" w:pos="1389"/>
          <w:tab w:val="left" w:pos="4911"/>
          <w:tab w:val="left" w:pos="5991"/>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rPr>
      </w:pPr>
      <w:r>
        <w:rPr>
          <w:rFonts w:hint="eastAsia" w:ascii="仿宋" w:hAnsi="仿宋" w:eastAsia="仿宋" w:cs="仿宋"/>
          <w:sz w:val="32"/>
          <w:szCs w:val="32"/>
          <w:u w:val="none"/>
        </w:rPr>
        <w:t>（2）政府性基金预算拨款收入</w:t>
      </w:r>
      <w:r>
        <w:rPr>
          <w:rFonts w:hint="eastAsia" w:ascii="仿宋" w:hAnsi="仿宋" w:eastAsia="仿宋" w:cs="仿宋"/>
          <w:sz w:val="32"/>
          <w:szCs w:val="32"/>
          <w:u w:val="none"/>
          <w:lang w:val="en-US" w:eastAsia="zh-CN"/>
        </w:rPr>
        <w:t>225.38</w:t>
      </w:r>
      <w:r>
        <w:rPr>
          <w:rFonts w:hint="eastAsia" w:ascii="仿宋" w:hAnsi="仿宋" w:eastAsia="仿宋" w:cs="仿宋"/>
          <w:sz w:val="32"/>
          <w:szCs w:val="32"/>
          <w:u w:val="none"/>
        </w:rPr>
        <w:t>万元，与上年相比</w:t>
      </w:r>
      <w:r>
        <w:rPr>
          <w:rFonts w:hint="eastAsia" w:ascii="仿宋" w:hAnsi="仿宋" w:eastAsia="仿宋" w:cs="仿宋"/>
          <w:sz w:val="32"/>
          <w:szCs w:val="32"/>
          <w:u w:val="none"/>
          <w:lang w:val="en-US" w:eastAsia="zh-CN"/>
        </w:rPr>
        <w:t>减少6176.47</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减少96.48</w:t>
      </w:r>
      <w:r>
        <w:rPr>
          <w:rFonts w:hint="eastAsia" w:ascii="仿宋" w:hAnsi="仿宋" w:eastAsia="仿宋" w:cs="仿宋"/>
          <w:sz w:val="32"/>
          <w:szCs w:val="32"/>
          <w:u w:val="none"/>
        </w:rPr>
        <w:t>%。主要原因是</w:t>
      </w:r>
      <w:r>
        <w:rPr>
          <w:rFonts w:hint="eastAsia" w:ascii="仿宋" w:hAnsi="仿宋" w:eastAsia="仿宋" w:cs="仿宋"/>
          <w:b w:val="0"/>
          <w:bCs w:val="0"/>
          <w:sz w:val="32"/>
          <w:szCs w:val="32"/>
          <w:u w:val="none"/>
          <w:lang w:val="en-US" w:eastAsia="zh-CN"/>
        </w:rPr>
        <w:t>本年度街巷硬化本金及利息已偿还，政府性基金预算减少较多。</w:t>
      </w:r>
    </w:p>
    <w:p w14:paraId="30AC2936">
      <w:pPr>
        <w:pStyle w:val="5"/>
        <w:keepNext w:val="0"/>
        <w:keepLines w:val="0"/>
        <w:pageBreakBefore w:val="0"/>
        <w:widowControl w:val="0"/>
        <w:tabs>
          <w:tab w:val="left" w:pos="1389"/>
          <w:tab w:val="left" w:pos="4911"/>
          <w:tab w:val="left" w:pos="6205"/>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（3）国有资本经营预算拨款收入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1C84052A">
      <w:pPr>
        <w:pStyle w:val="5"/>
        <w:keepNext w:val="0"/>
        <w:keepLines w:val="0"/>
        <w:pageBreakBefore w:val="0"/>
        <w:widowControl w:val="0"/>
        <w:tabs>
          <w:tab w:val="left" w:pos="1389"/>
          <w:tab w:val="left" w:pos="4911"/>
          <w:tab w:val="left" w:pos="5898"/>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（4）财政专户管理资金收入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698FAC35">
      <w:pPr>
        <w:pStyle w:val="5"/>
        <w:keepNext w:val="0"/>
        <w:keepLines w:val="0"/>
        <w:pageBreakBefore w:val="0"/>
        <w:widowControl w:val="0"/>
        <w:tabs>
          <w:tab w:val="left" w:pos="3310"/>
          <w:tab w:val="left" w:pos="3807"/>
          <w:tab w:val="left" w:pos="9433"/>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（5）事业收入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46524EA1">
      <w:pPr>
        <w:pStyle w:val="5"/>
        <w:keepNext w:val="0"/>
        <w:keepLines w:val="0"/>
        <w:pageBreakBefore w:val="0"/>
        <w:widowControl w:val="0"/>
        <w:tabs>
          <w:tab w:val="left" w:pos="1389"/>
          <w:tab w:val="left" w:pos="4911"/>
          <w:tab w:val="left" w:pos="590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（6）事业单位经营收入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3021E723">
      <w:pPr>
        <w:pStyle w:val="5"/>
        <w:keepNext w:val="0"/>
        <w:keepLines w:val="0"/>
        <w:pageBreakBefore w:val="0"/>
        <w:widowControl w:val="0"/>
        <w:tabs>
          <w:tab w:val="left" w:pos="4320"/>
          <w:tab w:val="left" w:pos="9433"/>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（7）上级补助收入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059563AB">
      <w:pPr>
        <w:pStyle w:val="5"/>
        <w:keepNext w:val="0"/>
        <w:keepLines w:val="0"/>
        <w:pageBreakBefore w:val="0"/>
        <w:widowControl w:val="0"/>
        <w:tabs>
          <w:tab w:val="left" w:pos="1389"/>
          <w:tab w:val="left" w:pos="4911"/>
          <w:tab w:val="left" w:pos="590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（8）附属单位上缴收入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12688416">
      <w:pPr>
        <w:pStyle w:val="5"/>
        <w:keepNext w:val="0"/>
        <w:keepLines w:val="0"/>
        <w:pageBreakBefore w:val="0"/>
        <w:widowControl w:val="0"/>
        <w:tabs>
          <w:tab w:val="left" w:pos="3310"/>
          <w:tab w:val="left" w:pos="4121"/>
          <w:tab w:val="left" w:pos="9431"/>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（9）其他收入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3E585EAA">
      <w:pPr>
        <w:pStyle w:val="5"/>
        <w:keepNext w:val="0"/>
        <w:keepLines w:val="0"/>
        <w:pageBreakBefore w:val="0"/>
        <w:widowControl w:val="0"/>
        <w:tabs>
          <w:tab w:val="left" w:pos="3310"/>
          <w:tab w:val="left" w:pos="4280"/>
          <w:tab w:val="left" w:pos="9431"/>
        </w:tabs>
        <w:kinsoku/>
        <w:wordWrap/>
        <w:overflowPunct/>
        <w:topLinePunct w:val="0"/>
        <w:autoSpaceDE/>
        <w:autoSpaceDN/>
        <w:bidi w:val="0"/>
        <w:adjustRightInd/>
        <w:snapToGrid/>
        <w:spacing w:after="0" w:line="560" w:lineRule="atLeast"/>
        <w:ind w:firstLine="640" w:firstLineChars="200"/>
        <w:textAlignment w:val="auto"/>
        <w:rPr>
          <w:rFonts w:hint="eastAsia" w:ascii="仿宋" w:hAnsi="仿宋" w:eastAsia="仿宋" w:cs="仿宋"/>
          <w:sz w:val="32"/>
          <w:szCs w:val="32"/>
          <w:u w:val="none"/>
        </w:rPr>
      </w:pPr>
      <w:r>
        <w:rPr>
          <w:rFonts w:hint="default" w:ascii="Times New Roman" w:hAnsi="Times New Roman" w:eastAsia="仿宋" w:cs="Times New Roman"/>
          <w:sz w:val="32"/>
          <w:szCs w:val="32"/>
          <w:u w:val="none"/>
        </w:rPr>
        <w:t>2</w:t>
      </w:r>
      <w:r>
        <w:rPr>
          <w:rFonts w:hint="eastAsia" w:ascii="仿宋" w:hAnsi="仿宋" w:eastAsia="仿宋" w:cs="仿宋"/>
          <w:sz w:val="32"/>
          <w:szCs w:val="32"/>
          <w:u w:val="none"/>
        </w:rPr>
        <w:t>．上年结转结余</w:t>
      </w:r>
      <w:r>
        <w:rPr>
          <w:rFonts w:hint="eastAsia" w:ascii="仿宋" w:hAnsi="仿宋" w:eastAsia="仿宋" w:cs="仿宋"/>
          <w:sz w:val="32"/>
          <w:szCs w:val="32"/>
          <w:u w:val="none"/>
          <w:lang w:val="en-US" w:eastAsia="zh-CN"/>
        </w:rPr>
        <w:t>150.62</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136.08</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935.90</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2025年度支出较少，故存在14.54万元结转结余</w:t>
      </w:r>
      <w:r>
        <w:rPr>
          <w:rFonts w:hint="eastAsia" w:ascii="仿宋" w:hAnsi="仿宋" w:eastAsia="仿宋" w:cs="仿宋"/>
          <w:sz w:val="32"/>
          <w:szCs w:val="32"/>
          <w:u w:val="none"/>
        </w:rPr>
        <w:t>。</w:t>
      </w:r>
    </w:p>
    <w:p w14:paraId="0C1CA27E">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w:t>
      </w:r>
      <w:r>
        <w:rPr>
          <w:rFonts w:hint="eastAsia" w:ascii="楷体" w:hAnsi="楷体" w:eastAsia="楷体" w:cs="楷体"/>
          <w:b/>
          <w:bCs/>
          <w:sz w:val="32"/>
          <w:szCs w:val="32"/>
          <w:lang w:val="en-US" w:eastAsia="zh-CN"/>
        </w:rPr>
        <w:t>1912.74</w:t>
      </w:r>
      <w:r>
        <w:rPr>
          <w:rFonts w:hint="eastAsia" w:ascii="楷体" w:hAnsi="楷体" w:eastAsia="楷体" w:cs="楷体"/>
          <w:b/>
          <w:bCs/>
          <w:sz w:val="32"/>
          <w:szCs w:val="32"/>
        </w:rPr>
        <w:t>万元。包括：</w:t>
      </w:r>
    </w:p>
    <w:p w14:paraId="547CBA4F">
      <w:pPr>
        <w:pStyle w:val="5"/>
        <w:keepNext w:val="0"/>
        <w:keepLines w:val="0"/>
        <w:pageBreakBefore w:val="0"/>
        <w:widowControl w:val="0"/>
        <w:tabs>
          <w:tab w:val="left" w:pos="3792"/>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eastAsia="仿宋_GB2312"/>
          <w:sz w:val="32"/>
          <w:szCs w:val="32"/>
        </w:rPr>
        <w:t>1．</w:t>
      </w:r>
      <w:r>
        <w:rPr>
          <w:rFonts w:hint="eastAsia" w:ascii="仿宋" w:hAnsi="仿宋" w:eastAsia="仿宋" w:cs="仿宋"/>
          <w:sz w:val="32"/>
          <w:szCs w:val="32"/>
          <w:u w:val="none"/>
        </w:rPr>
        <w:t>本年支出合计</w:t>
      </w:r>
      <w:r>
        <w:rPr>
          <w:rFonts w:hint="eastAsia" w:ascii="仿宋" w:hAnsi="仿宋" w:eastAsia="仿宋" w:cs="仿宋"/>
          <w:sz w:val="32"/>
          <w:szCs w:val="32"/>
          <w:u w:val="none"/>
          <w:lang w:val="en-US" w:eastAsia="zh-CN"/>
        </w:rPr>
        <w:t>1912.74</w:t>
      </w:r>
      <w:r>
        <w:rPr>
          <w:rFonts w:hint="eastAsia" w:ascii="仿宋" w:hAnsi="仿宋" w:eastAsia="仿宋" w:cs="仿宋"/>
          <w:sz w:val="32"/>
          <w:szCs w:val="32"/>
          <w:u w:val="none"/>
        </w:rPr>
        <w:t>万元。</w:t>
      </w:r>
    </w:p>
    <w:p w14:paraId="77B24051">
      <w:pPr>
        <w:ind w:firstLine="640" w:firstLineChars="200"/>
      </w:pP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1）</w:t>
      </w:r>
      <w:r>
        <w:rPr>
          <w:rFonts w:hint="eastAsia" w:ascii="仿宋" w:hAnsi="仿宋" w:eastAsia="仿宋" w:cs="仿宋"/>
          <w:sz w:val="32"/>
          <w:szCs w:val="32"/>
          <w:u w:val="none"/>
        </w:rPr>
        <w:t>一般公共服务支出</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类</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年初预算数为24.03</w:t>
      </w:r>
      <w:r>
        <w:rPr>
          <w:rFonts w:hint="eastAsia" w:ascii="仿宋" w:hAnsi="仿宋" w:eastAsia="仿宋" w:cs="仿宋"/>
          <w:sz w:val="32"/>
          <w:szCs w:val="32"/>
          <w:u w:val="none"/>
        </w:rPr>
        <w:t xml:space="preserve"> 万元，</w:t>
      </w:r>
      <w:r>
        <w:rPr>
          <w:rFonts w:hint="eastAsia" w:ascii="仿宋" w:hAnsi="仿宋" w:eastAsia="仿宋" w:cs="仿宋"/>
          <w:sz w:val="32"/>
          <w:szCs w:val="32"/>
          <w:u w:val="none"/>
          <w:lang w:val="en-US" w:eastAsia="zh-CN"/>
        </w:rPr>
        <w:t>主要用于一般公共服务行政运行。</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增长24.03</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增长100</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本年度新增一般公共服务行政运行。</w:t>
      </w:r>
    </w:p>
    <w:p w14:paraId="7ABE4322">
      <w:pPr>
        <w:ind w:firstLine="640" w:firstLineChars="200"/>
      </w:pP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2）</w:t>
      </w:r>
      <w:r>
        <w:rPr>
          <w:rFonts w:hint="eastAsia" w:ascii="仿宋" w:hAnsi="仿宋" w:eastAsia="仿宋" w:cs="仿宋"/>
          <w:sz w:val="32"/>
          <w:szCs w:val="32"/>
          <w:u w:val="none"/>
        </w:rPr>
        <w:t>社会保障和就业支出</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类</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年初预算为188.98</w:t>
      </w:r>
      <w:r>
        <w:rPr>
          <w:rFonts w:hint="eastAsia" w:ascii="仿宋" w:hAnsi="仿宋" w:eastAsia="仿宋" w:cs="仿宋"/>
          <w:sz w:val="32"/>
          <w:szCs w:val="32"/>
          <w:u w:val="none"/>
        </w:rPr>
        <w:t>万元，主要用于</w:t>
      </w:r>
      <w:r>
        <w:rPr>
          <w:rFonts w:hint="eastAsia" w:ascii="仿宋" w:hAnsi="仿宋" w:eastAsia="仿宋" w:cs="仿宋"/>
          <w:sz w:val="32"/>
          <w:szCs w:val="32"/>
          <w:u w:val="none"/>
          <w:lang w:val="en-US" w:eastAsia="zh-CN"/>
        </w:rPr>
        <w:t>职工福利保障支出</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10.89</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6.11</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2026年度新调入人员2人</w:t>
      </w:r>
      <w:r>
        <w:rPr>
          <w:rFonts w:hint="eastAsia" w:ascii="仿宋" w:hAnsi="仿宋" w:eastAsia="仿宋" w:cs="仿宋"/>
          <w:sz w:val="32"/>
          <w:szCs w:val="32"/>
          <w:u w:val="none"/>
        </w:rPr>
        <w:t>。</w:t>
      </w:r>
    </w:p>
    <w:p w14:paraId="5B50E0B5">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3）</w:t>
      </w:r>
      <w:r>
        <w:rPr>
          <w:rFonts w:hint="eastAsia" w:ascii="仿宋" w:hAnsi="仿宋" w:eastAsia="仿宋" w:cs="仿宋"/>
          <w:sz w:val="32"/>
          <w:szCs w:val="32"/>
          <w:u w:val="none"/>
        </w:rPr>
        <w:t>卫生健康支出</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类）年初预算为71.65</w:t>
      </w:r>
      <w:r>
        <w:rPr>
          <w:rFonts w:hint="eastAsia" w:ascii="仿宋" w:hAnsi="仿宋" w:eastAsia="仿宋" w:cs="仿宋"/>
          <w:sz w:val="32"/>
          <w:szCs w:val="32"/>
          <w:u w:val="none"/>
        </w:rPr>
        <w:t>万元，主要用于</w:t>
      </w:r>
      <w:r>
        <w:rPr>
          <w:rFonts w:hint="eastAsia" w:ascii="仿宋" w:hAnsi="仿宋" w:eastAsia="仿宋" w:cs="仿宋"/>
          <w:sz w:val="32"/>
          <w:szCs w:val="32"/>
          <w:u w:val="none"/>
          <w:lang w:val="en-US" w:eastAsia="zh-CN"/>
        </w:rPr>
        <w:t>职工医疗保险保障支出</w:t>
      </w:r>
      <w:r>
        <w:rPr>
          <w:rFonts w:hint="eastAsia" w:ascii="仿宋" w:hAnsi="仿宋" w:eastAsia="仿宋" w:cs="仿宋"/>
          <w:sz w:val="32"/>
          <w:szCs w:val="32"/>
          <w:u w:val="none"/>
        </w:rPr>
        <w:t>。上年相比</w:t>
      </w:r>
      <w:r>
        <w:rPr>
          <w:rFonts w:hint="eastAsia" w:ascii="仿宋" w:hAnsi="仿宋" w:eastAsia="仿宋" w:cs="仿宋"/>
          <w:sz w:val="32"/>
          <w:szCs w:val="32"/>
          <w:u w:val="none"/>
          <w:lang w:val="en-US" w:eastAsia="zh-CN"/>
        </w:rPr>
        <w:t>增加12.86</w:t>
      </w:r>
      <w:r>
        <w:rPr>
          <w:rFonts w:hint="eastAsia" w:ascii="仿宋" w:hAnsi="仿宋" w:eastAsia="仿宋" w:cs="仿宋"/>
          <w:sz w:val="32"/>
          <w:szCs w:val="32"/>
          <w:u w:val="none"/>
        </w:rPr>
        <w:t>万元</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增长21.87</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本年度医疗保险基数及比例变动和新考入事业人员2人。</w:t>
      </w:r>
    </w:p>
    <w:p w14:paraId="087BC2C3">
      <w:pPr>
        <w:ind w:firstLine="420" w:firstLineChars="200"/>
      </w:pPr>
    </w:p>
    <w:p w14:paraId="02FE2A04">
      <w:pPr>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（4）交通运输</w:t>
      </w:r>
      <w:r>
        <w:rPr>
          <w:rFonts w:hint="eastAsia" w:ascii="仿宋" w:hAnsi="仿宋" w:eastAsia="仿宋" w:cs="仿宋"/>
          <w:sz w:val="32"/>
          <w:szCs w:val="32"/>
          <w:u w:val="none"/>
        </w:rPr>
        <w:t>支出</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类</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年初预算为1301.96</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主要用于交通建设相关支出。</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200.28</w:t>
      </w:r>
      <w:r>
        <w:rPr>
          <w:rFonts w:hint="eastAsia" w:ascii="仿宋" w:hAnsi="仿宋" w:eastAsia="仿宋" w:cs="仿宋"/>
          <w:sz w:val="32"/>
          <w:szCs w:val="32"/>
          <w:u w:val="none"/>
        </w:rPr>
        <w:t>万元</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增长</w:t>
      </w:r>
      <w:r>
        <w:rPr>
          <w:rFonts w:hint="eastAsia" w:ascii="仿宋" w:hAnsi="仿宋" w:eastAsia="仿宋" w:cs="仿宋"/>
          <w:sz w:val="32"/>
          <w:szCs w:val="32"/>
          <w:u w:val="none"/>
          <w:lang w:val="en-US" w:eastAsia="zh-CN"/>
        </w:rPr>
        <w:t>18.18</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本年度公路项目增加，交通运输支出增加</w:t>
      </w:r>
      <w:r>
        <w:rPr>
          <w:rFonts w:hint="eastAsia" w:ascii="仿宋" w:hAnsi="仿宋" w:eastAsia="仿宋" w:cs="仿宋"/>
          <w:sz w:val="32"/>
          <w:szCs w:val="32"/>
          <w:u w:val="none"/>
        </w:rPr>
        <w:t>。</w:t>
      </w:r>
    </w:p>
    <w:p w14:paraId="04322D2D">
      <w:pPr>
        <w:pStyle w:val="5"/>
        <w:keepNext w:val="0"/>
        <w:keepLines w:val="0"/>
        <w:pageBreakBefore w:val="0"/>
        <w:widowControl w:val="0"/>
        <w:tabs>
          <w:tab w:val="left" w:pos="3792"/>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5</w:t>
      </w: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住房保障支出</w:t>
      </w:r>
      <w:r>
        <w:rPr>
          <w:rFonts w:hint="eastAsia" w:ascii="仿宋" w:hAnsi="仿宋" w:eastAsia="仿宋" w:cs="仿宋"/>
          <w:sz w:val="32"/>
          <w:szCs w:val="32"/>
          <w:u w:val="none"/>
        </w:rPr>
        <w:t>（类）支出</w:t>
      </w:r>
      <w:r>
        <w:rPr>
          <w:rFonts w:hint="eastAsia" w:ascii="仿宋" w:hAnsi="仿宋" w:eastAsia="仿宋" w:cs="仿宋"/>
          <w:sz w:val="32"/>
          <w:szCs w:val="32"/>
          <w:u w:val="none"/>
          <w:lang w:val="en-US" w:eastAsia="zh-CN"/>
        </w:rPr>
        <w:t>100.74</w:t>
      </w:r>
      <w:r>
        <w:rPr>
          <w:rFonts w:hint="eastAsia" w:ascii="仿宋" w:hAnsi="仿宋" w:eastAsia="仿宋" w:cs="仿宋"/>
          <w:sz w:val="32"/>
          <w:szCs w:val="32"/>
          <w:u w:val="none"/>
        </w:rPr>
        <w:t>万元，主要用于</w:t>
      </w:r>
      <w:r>
        <w:rPr>
          <w:rFonts w:hint="eastAsia" w:ascii="仿宋" w:hAnsi="仿宋" w:eastAsia="仿宋" w:cs="仿宋"/>
          <w:sz w:val="32"/>
          <w:szCs w:val="32"/>
          <w:u w:val="none"/>
          <w:lang w:val="en-US" w:eastAsia="zh-CN"/>
        </w:rPr>
        <w:t>职工住房公积金保障支出</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增加6.54</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增长6.94</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2026年度新考入人员2人</w:t>
      </w:r>
      <w:r>
        <w:rPr>
          <w:rFonts w:hint="eastAsia" w:ascii="仿宋" w:hAnsi="仿宋" w:eastAsia="仿宋" w:cs="仿宋"/>
          <w:sz w:val="32"/>
          <w:szCs w:val="32"/>
          <w:u w:val="none"/>
        </w:rPr>
        <w:t>。</w:t>
      </w:r>
    </w:p>
    <w:p w14:paraId="3B0A1172">
      <w:pPr>
        <w:pStyle w:val="5"/>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hint="eastAsia" w:eastAsia="仿宋_GB2312"/>
          <w:sz w:val="32"/>
          <w:szCs w:val="32"/>
          <w:lang w:val="en-US" w:eastAsia="zh-CN"/>
        </w:rPr>
        <w:t>0</w:t>
      </w:r>
      <w:r>
        <w:rPr>
          <w:rFonts w:eastAsia="仿宋_GB2312"/>
          <w:sz w:val="32"/>
          <w:szCs w:val="32"/>
        </w:rPr>
        <w:t>万元，主要原因是</w:t>
      </w:r>
      <w:r>
        <w:rPr>
          <w:rFonts w:hint="eastAsia" w:ascii="仿宋_GB2312" w:hAnsi="仿宋_GB2312" w:eastAsia="仿宋_GB2312"/>
          <w:sz w:val="32"/>
          <w:szCs w:val="32"/>
          <w:lang w:val="en-US" w:eastAsia="zh-CN"/>
        </w:rPr>
        <w:t>本年度年终无结转结余</w:t>
      </w:r>
      <w:r>
        <w:rPr>
          <w:rFonts w:eastAsia="仿宋_GB2312"/>
          <w:sz w:val="32"/>
          <w:szCs w:val="32"/>
        </w:rPr>
        <w:t>。</w:t>
      </w:r>
    </w:p>
    <w:p w14:paraId="7EAC7743">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14:paraId="0864BA42">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莫旗交通运输局2026</w:t>
      </w:r>
      <w:r>
        <w:rPr>
          <w:rFonts w:hint="eastAsia" w:ascii="仿宋" w:hAnsi="仿宋" w:eastAsia="仿宋" w:cs="仿宋"/>
          <w:sz w:val="32"/>
          <w:szCs w:val="32"/>
          <w:u w:val="none"/>
        </w:rPr>
        <w:t>年度收入预算总计</w:t>
      </w:r>
      <w:r>
        <w:rPr>
          <w:rFonts w:hint="eastAsia" w:ascii="仿宋" w:hAnsi="仿宋" w:eastAsia="仿宋" w:cs="仿宋"/>
          <w:sz w:val="32"/>
          <w:szCs w:val="32"/>
          <w:u w:val="none"/>
        </w:rPr>
        <w:tab/>
      </w:r>
      <w:r>
        <w:rPr>
          <w:rFonts w:hint="eastAsia" w:ascii="仿宋" w:hAnsi="仿宋" w:eastAsia="仿宋" w:cs="仿宋"/>
          <w:sz w:val="32"/>
          <w:szCs w:val="32"/>
          <w:u w:val="none"/>
          <w:lang w:val="en-US" w:eastAsia="zh-CN"/>
        </w:rPr>
        <w:t>1912.74</w:t>
      </w:r>
      <w:r>
        <w:rPr>
          <w:rFonts w:hint="eastAsia" w:ascii="仿宋" w:hAnsi="仿宋" w:eastAsia="仿宋" w:cs="仿宋"/>
          <w:sz w:val="32"/>
          <w:szCs w:val="32"/>
          <w:u w:val="none"/>
        </w:rPr>
        <w:t>万元，包括本年收入</w:t>
      </w:r>
      <w:r>
        <w:rPr>
          <w:rFonts w:hint="eastAsia" w:ascii="仿宋" w:hAnsi="仿宋" w:eastAsia="仿宋" w:cs="仿宋"/>
          <w:sz w:val="32"/>
          <w:szCs w:val="32"/>
          <w:u w:val="none"/>
          <w:lang w:val="en-US" w:eastAsia="zh-CN"/>
        </w:rPr>
        <w:t>1762.12</w:t>
      </w:r>
      <w:r>
        <w:rPr>
          <w:rFonts w:hint="eastAsia" w:ascii="仿宋" w:hAnsi="仿宋" w:eastAsia="仿宋" w:cs="仿宋"/>
          <w:sz w:val="32"/>
          <w:szCs w:val="32"/>
          <w:u w:val="none"/>
        </w:rPr>
        <w:t>万元，上年结转结余</w:t>
      </w:r>
      <w:r>
        <w:rPr>
          <w:rFonts w:hint="eastAsia" w:ascii="仿宋" w:hAnsi="仿宋" w:eastAsia="仿宋" w:cs="仿宋"/>
          <w:sz w:val="32"/>
          <w:szCs w:val="32"/>
          <w:u w:val="none"/>
          <w:lang w:val="en-US" w:eastAsia="zh-CN"/>
        </w:rPr>
        <w:t>150.62</w:t>
      </w:r>
      <w:r>
        <w:rPr>
          <w:rFonts w:hint="eastAsia" w:ascii="仿宋" w:hAnsi="仿宋" w:eastAsia="仿宋" w:cs="仿宋"/>
          <w:sz w:val="32"/>
          <w:szCs w:val="32"/>
          <w:u w:val="none"/>
        </w:rPr>
        <w:t>万元。其中：</w:t>
      </w:r>
    </w:p>
    <w:p w14:paraId="1BEEB382">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本年一般公共预算收入</w:t>
      </w:r>
      <w:r>
        <w:rPr>
          <w:rFonts w:hint="eastAsia" w:ascii="仿宋" w:hAnsi="仿宋" w:eastAsia="仿宋" w:cs="仿宋"/>
          <w:sz w:val="32"/>
          <w:szCs w:val="32"/>
          <w:u w:val="none"/>
          <w:lang w:val="en-US" w:eastAsia="zh-CN"/>
        </w:rPr>
        <w:t>1536.74</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80.34</w:t>
      </w:r>
      <w:r>
        <w:rPr>
          <w:rFonts w:hint="eastAsia" w:ascii="仿宋" w:hAnsi="仿宋" w:eastAsia="仿宋" w:cs="仿宋"/>
          <w:sz w:val="32"/>
          <w:szCs w:val="32"/>
          <w:u w:val="none"/>
        </w:rPr>
        <w:t>%；</w:t>
      </w:r>
    </w:p>
    <w:p w14:paraId="5C824195">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本年政府性基金预算收入</w:t>
      </w:r>
      <w:r>
        <w:rPr>
          <w:rFonts w:hint="eastAsia" w:ascii="仿宋" w:hAnsi="仿宋" w:eastAsia="仿宋" w:cs="仿宋"/>
          <w:sz w:val="32"/>
          <w:szCs w:val="32"/>
          <w:u w:val="none"/>
          <w:lang w:val="en-US" w:eastAsia="zh-CN"/>
        </w:rPr>
        <w:t>225.38</w:t>
      </w:r>
      <w:r>
        <w:rPr>
          <w:rFonts w:hint="eastAsia" w:ascii="仿宋" w:hAnsi="仿宋" w:eastAsia="仿宋" w:cs="仿宋"/>
          <w:sz w:val="32"/>
          <w:szCs w:val="32"/>
          <w:u w:val="none"/>
        </w:rPr>
        <w:t xml:space="preserve">万元，占 </w:t>
      </w:r>
      <w:r>
        <w:rPr>
          <w:rFonts w:hint="eastAsia" w:ascii="仿宋" w:hAnsi="仿宋" w:eastAsia="仿宋" w:cs="仿宋"/>
          <w:sz w:val="32"/>
          <w:szCs w:val="32"/>
          <w:u w:val="none"/>
          <w:lang w:val="en-US" w:eastAsia="zh-CN"/>
        </w:rPr>
        <w:t>11.78</w:t>
      </w:r>
      <w:r>
        <w:rPr>
          <w:rFonts w:hint="eastAsia" w:ascii="仿宋" w:hAnsi="仿宋" w:eastAsia="仿宋" w:cs="仿宋"/>
          <w:sz w:val="32"/>
          <w:szCs w:val="32"/>
          <w:u w:val="none"/>
        </w:rPr>
        <w:t>%；</w:t>
      </w:r>
    </w:p>
    <w:p w14:paraId="05C3BE2C">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本年国有资本经营预算收入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w:t>
      </w:r>
    </w:p>
    <w:p w14:paraId="4E4B1CBA">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本年财政专户管理资金</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w:t>
      </w:r>
    </w:p>
    <w:p w14:paraId="5C039590">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本年事业收入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475BF813">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本年事业单位经营收入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w:t>
      </w:r>
    </w:p>
    <w:p w14:paraId="17058B1F">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本年上级补助收入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7FD54EAE">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本年附属单位上缴收入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78D8B72E">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本年其他收入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7C381D7D">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left="638" w:leftChars="304" w:firstLine="0" w:firstLineChars="0"/>
        <w:textAlignment w:val="auto"/>
        <w:rPr>
          <w:rFonts w:hint="eastAsia" w:ascii="仿宋" w:hAnsi="仿宋" w:eastAsia="仿宋" w:cs="仿宋"/>
          <w:sz w:val="32"/>
          <w:szCs w:val="32"/>
          <w:u w:val="none"/>
        </w:rPr>
      </w:pPr>
      <w:r>
        <w:rPr>
          <w:rFonts w:hint="eastAsia" w:ascii="仿宋" w:hAnsi="仿宋" w:eastAsia="仿宋" w:cs="仿宋"/>
          <w:sz w:val="32"/>
          <w:szCs w:val="32"/>
          <w:u w:val="none"/>
        </w:rPr>
        <w:t>上年结转结余的一般公共预算收入</w:t>
      </w:r>
      <w:r>
        <w:rPr>
          <w:rFonts w:hint="eastAsia" w:ascii="仿宋" w:hAnsi="仿宋" w:eastAsia="仿宋" w:cs="仿宋"/>
          <w:sz w:val="32"/>
          <w:szCs w:val="32"/>
          <w:u w:val="none"/>
          <w:lang w:val="en-US" w:eastAsia="zh-CN"/>
        </w:rPr>
        <w:t>150.62</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7.88</w:t>
      </w:r>
      <w:r>
        <w:rPr>
          <w:rFonts w:hint="eastAsia" w:ascii="仿宋" w:hAnsi="仿宋" w:eastAsia="仿宋" w:cs="仿宋"/>
          <w:sz w:val="32"/>
          <w:szCs w:val="32"/>
          <w:u w:val="none"/>
        </w:rPr>
        <w:t>%；</w:t>
      </w:r>
    </w:p>
    <w:p w14:paraId="0D16CE83">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上年结转结余的政府性基金预算收入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01D360BF">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上年结转结余的国有资本经营预算收入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61338764">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上年结转结余的财政专户管理资金</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ab/>
      </w:r>
      <w:r>
        <w:rPr>
          <w:rFonts w:hint="eastAsia" w:ascii="仿宋" w:hAnsi="仿宋" w:eastAsia="仿宋" w:cs="仿宋"/>
          <w:sz w:val="32"/>
          <w:szCs w:val="32"/>
          <w:u w:val="none"/>
        </w:rPr>
        <w:t>%；</w:t>
      </w:r>
    </w:p>
    <w:p w14:paraId="276D4D42">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上年结转结余的单位资金</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ab/>
      </w:r>
      <w:r>
        <w:rPr>
          <w:rFonts w:hint="eastAsia" w:ascii="仿宋" w:hAnsi="仿宋" w:eastAsia="仿宋" w:cs="仿宋"/>
          <w:sz w:val="32"/>
          <w:szCs w:val="32"/>
          <w:u w:val="none"/>
        </w:rPr>
        <w:t>%。</w:t>
      </w:r>
    </w:p>
    <w:p w14:paraId="3C602DA0">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p>
    <w:p w14:paraId="2EABF20D">
      <w:pPr>
        <w:pStyle w:val="2"/>
        <w:tabs>
          <w:tab w:val="left" w:pos="0"/>
        </w:tabs>
        <w:ind w:left="0" w:leftChars="0" w:firstLine="0"/>
        <w:jc w:val="center"/>
        <w:rPr>
          <w:rFonts w:hint="eastAsia" w:eastAsia="仿宋_GB2312"/>
          <w:sz w:val="32"/>
          <w:szCs w:val="32"/>
          <w:lang w:eastAsia="zh-CN"/>
        </w:rPr>
      </w:pPr>
      <w:r>
        <w:drawing>
          <wp:inline distT="0" distB="0" distL="114300" distR="114300">
            <wp:extent cx="4826000" cy="2743200"/>
            <wp:effectExtent l="4445" t="4445" r="15875" b="10795"/>
            <wp:docPr id="2"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71EADD7">
      <w:pPr>
        <w:pStyle w:val="2"/>
        <w:tabs>
          <w:tab w:val="left" w:pos="0"/>
        </w:tabs>
        <w:ind w:left="0" w:leftChars="0" w:firstLine="0"/>
        <w:jc w:val="center"/>
        <w:rPr>
          <w:rFonts w:hint="default" w:ascii="Times New Roman" w:hAnsi="Times New Roman" w:eastAsia="仿宋_GB2312" w:cs="仿宋"/>
          <w:sz w:val="24"/>
          <w:szCs w:val="24"/>
        </w:rPr>
      </w:pPr>
      <w:r>
        <w:rPr>
          <w:rFonts w:eastAsia="仿宋_GB2312"/>
          <w:sz w:val="24"/>
          <w:szCs w:val="24"/>
        </w:rPr>
        <w:t>图1.收入预算图</w:t>
      </w:r>
    </w:p>
    <w:p w14:paraId="6D4491E4">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14:paraId="3CB874C1">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莫旗交通运输局2025</w:t>
      </w:r>
      <w:r>
        <w:rPr>
          <w:rFonts w:hint="eastAsia" w:ascii="仿宋" w:hAnsi="仿宋" w:eastAsia="仿宋" w:cs="仿宋"/>
          <w:sz w:val="32"/>
          <w:szCs w:val="32"/>
          <w:u w:val="none"/>
        </w:rPr>
        <w:t>年度支出预算合计</w:t>
      </w:r>
      <w:r>
        <w:rPr>
          <w:rFonts w:hint="eastAsia" w:ascii="仿宋" w:hAnsi="仿宋" w:eastAsia="仿宋" w:cs="仿宋"/>
          <w:sz w:val="32"/>
          <w:szCs w:val="32"/>
          <w:u w:val="none"/>
          <w:lang w:val="en-US" w:eastAsia="zh-CN"/>
        </w:rPr>
        <w:t>1912.74</w:t>
      </w:r>
      <w:r>
        <w:rPr>
          <w:rFonts w:hint="eastAsia" w:ascii="仿宋" w:hAnsi="仿宋" w:eastAsia="仿宋" w:cs="仿宋"/>
          <w:sz w:val="32"/>
          <w:szCs w:val="32"/>
          <w:u w:val="none"/>
        </w:rPr>
        <w:t>万元，其中：</w:t>
      </w:r>
    </w:p>
    <w:p w14:paraId="1D1CAF95">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基本支出 </w:t>
      </w:r>
      <w:r>
        <w:rPr>
          <w:rFonts w:hint="eastAsia" w:ascii="仿宋" w:hAnsi="仿宋" w:eastAsia="仿宋" w:cs="仿宋"/>
          <w:sz w:val="32"/>
          <w:szCs w:val="32"/>
          <w:u w:val="none"/>
          <w:lang w:val="en-US" w:eastAsia="zh-CN"/>
        </w:rPr>
        <w:t>1390.74</w:t>
      </w:r>
      <w:r>
        <w:rPr>
          <w:rFonts w:hint="eastAsia" w:ascii="仿宋" w:hAnsi="仿宋" w:eastAsia="仿宋" w:cs="仿宋"/>
          <w:sz w:val="32"/>
          <w:szCs w:val="32"/>
          <w:u w:val="none"/>
        </w:rPr>
        <w:t xml:space="preserve">万元，占 </w:t>
      </w:r>
      <w:r>
        <w:rPr>
          <w:rFonts w:hint="eastAsia" w:ascii="仿宋" w:hAnsi="仿宋" w:eastAsia="仿宋" w:cs="仿宋"/>
          <w:sz w:val="32"/>
          <w:szCs w:val="32"/>
          <w:u w:val="none"/>
          <w:lang w:val="en-US" w:eastAsia="zh-CN"/>
        </w:rPr>
        <w:t>72.71</w:t>
      </w:r>
      <w:r>
        <w:rPr>
          <w:rFonts w:hint="eastAsia" w:ascii="仿宋" w:hAnsi="仿宋" w:eastAsia="仿宋" w:cs="仿宋"/>
          <w:sz w:val="32"/>
          <w:szCs w:val="32"/>
          <w:u w:val="none"/>
        </w:rPr>
        <w:t>%；</w:t>
      </w:r>
    </w:p>
    <w:p w14:paraId="72DC47FF">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项目支出 </w:t>
      </w:r>
      <w:r>
        <w:rPr>
          <w:rFonts w:hint="eastAsia" w:ascii="仿宋" w:hAnsi="仿宋" w:eastAsia="仿宋" w:cs="仿宋"/>
          <w:sz w:val="32"/>
          <w:szCs w:val="32"/>
          <w:u w:val="none"/>
          <w:lang w:val="en-US" w:eastAsia="zh-CN"/>
        </w:rPr>
        <w:t>522</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27.29</w:t>
      </w:r>
      <w:r>
        <w:rPr>
          <w:rFonts w:hint="eastAsia" w:ascii="仿宋" w:hAnsi="仿宋" w:eastAsia="仿宋" w:cs="仿宋"/>
          <w:sz w:val="32"/>
          <w:szCs w:val="32"/>
          <w:u w:val="none"/>
        </w:rPr>
        <w:t xml:space="preserve"> %；</w:t>
      </w:r>
    </w:p>
    <w:p w14:paraId="286F55AD">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事业单位经营支出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1F4D954B">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上缴上级支出</w:t>
      </w:r>
      <w:r>
        <w:rPr>
          <w:rFonts w:hint="eastAsia" w:ascii="仿宋" w:hAnsi="仿宋" w:eastAsia="仿宋" w:cs="仿宋"/>
          <w:sz w:val="32"/>
          <w:szCs w:val="32"/>
          <w:u w:val="none"/>
        </w:rPr>
        <w:tab/>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万元，占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229E4B61">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对附属单位补助支出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w:t>
      </w:r>
    </w:p>
    <w:p w14:paraId="6D018430">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p>
    <w:p w14:paraId="5A9A5E8D">
      <w:pPr>
        <w:pStyle w:val="2"/>
        <w:ind w:left="0" w:leftChars="0" w:firstLine="220"/>
        <w:jc w:val="center"/>
        <w:rPr>
          <w:rFonts w:hint="eastAsia" w:eastAsia="仿宋_GB2312"/>
          <w:sz w:val="32"/>
          <w:szCs w:val="32"/>
          <w:lang w:eastAsia="zh-CN"/>
        </w:rPr>
      </w:pPr>
      <w:r>
        <w:drawing>
          <wp:inline distT="0" distB="0" distL="114300" distR="114300">
            <wp:extent cx="4826000" cy="2743200"/>
            <wp:effectExtent l="4445" t="4445" r="15875" b="10795"/>
            <wp:docPr id="3"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C74E39B">
      <w:pPr>
        <w:pStyle w:val="2"/>
        <w:ind w:left="0" w:leftChars="0" w:firstLine="220"/>
        <w:jc w:val="center"/>
        <w:rPr>
          <w:rFonts w:eastAsia="仿宋_GB2312" w:cs="仿宋"/>
          <w:sz w:val="24"/>
          <w:szCs w:val="24"/>
        </w:rPr>
      </w:pPr>
      <w:r>
        <w:rPr>
          <w:rFonts w:eastAsia="仿宋_GB2312"/>
          <w:sz w:val="24"/>
          <w:szCs w:val="24"/>
        </w:rPr>
        <w:t>图2.支出预算图</w:t>
      </w:r>
    </w:p>
    <w:p w14:paraId="6EE5D32D">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14:paraId="16BD687F">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lang w:val="en-US" w:eastAsia="zh-CN"/>
        </w:rPr>
        <w:t>莫旗交通运输局</w:t>
      </w:r>
      <w:r>
        <w:rPr>
          <w:rFonts w:hint="eastAsia" w:ascii="仿宋" w:hAnsi="仿宋" w:eastAsia="仿宋" w:cs="仿宋"/>
          <w:sz w:val="32"/>
          <w:szCs w:val="32"/>
          <w:lang w:val="en-US" w:eastAsia="zh-CN"/>
        </w:rPr>
        <w:t>2026</w:t>
      </w:r>
      <w:r>
        <w:rPr>
          <w:rFonts w:hint="eastAsia" w:ascii="仿宋" w:hAnsi="仿宋" w:eastAsia="仿宋" w:cs="仿宋"/>
          <w:sz w:val="32"/>
          <w:szCs w:val="32"/>
        </w:rPr>
        <w:t>年度财政拨款收、支总预算</w:t>
      </w:r>
      <w:r>
        <w:rPr>
          <w:rFonts w:hint="eastAsia" w:ascii="仿宋" w:hAnsi="仿宋" w:eastAsia="仿宋" w:cs="仿宋"/>
          <w:sz w:val="32"/>
          <w:szCs w:val="32"/>
          <w:u w:val="none"/>
        </w:rPr>
        <w:t xml:space="preserve"> </w:t>
      </w:r>
      <w:r>
        <w:rPr>
          <w:rFonts w:hint="eastAsia" w:ascii="仿宋" w:hAnsi="仿宋" w:eastAsia="仿宋" w:cs="仿宋"/>
          <w:sz w:val="32"/>
          <w:szCs w:val="32"/>
          <w:u w:val="none"/>
          <w:lang w:val="en-US" w:eastAsia="zh-CN"/>
        </w:rPr>
        <w:t>1912.74</w:t>
      </w:r>
      <w:r>
        <w:rPr>
          <w:rFonts w:hint="eastAsia" w:ascii="仿宋" w:hAnsi="仿宋" w:eastAsia="仿宋" w:cs="仿宋"/>
          <w:sz w:val="32"/>
          <w:szCs w:val="32"/>
          <w:u w:val="none"/>
        </w:rPr>
        <w:t>万元。与上年相比，财政拨款收、支总计各</w:t>
      </w:r>
      <w:r>
        <w:rPr>
          <w:rFonts w:hint="eastAsia" w:ascii="仿宋" w:hAnsi="仿宋" w:eastAsia="仿宋" w:cs="仿宋"/>
          <w:sz w:val="32"/>
          <w:szCs w:val="32"/>
          <w:u w:val="none"/>
          <w:lang w:val="en-US" w:eastAsia="zh-CN"/>
        </w:rPr>
        <w:t>减少5936.42</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减少75.63</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本年度农村公路及街巷硬化项目减少，财政拨款收支预算减少。</w:t>
      </w:r>
    </w:p>
    <w:p w14:paraId="3C9E260D">
      <w:pPr>
        <w:pStyle w:val="5"/>
        <w:keepNext w:val="0"/>
        <w:keepLines w:val="0"/>
        <w:pageBreakBefore w:val="0"/>
        <w:widowControl w:val="0"/>
        <w:tabs>
          <w:tab w:val="left" w:pos="1389"/>
          <w:tab w:val="left" w:pos="4911"/>
          <w:tab w:val="left" w:pos="5898"/>
        </w:tabs>
        <w:kinsoku/>
        <w:wordWrap/>
        <w:overflowPunct/>
        <w:topLinePunct w:val="0"/>
        <w:autoSpaceDE/>
        <w:autoSpaceDN/>
        <w:bidi w:val="0"/>
        <w:adjustRightInd/>
        <w:snapToGrid/>
        <w:spacing w:after="0" w:line="560" w:lineRule="exact"/>
        <w:ind w:left="0" w:leftChars="0" w:firstLine="640" w:firstLineChars="200"/>
        <w:jc w:val="left"/>
        <w:textAlignment w:val="auto"/>
        <w:rPr>
          <w:rFonts w:hint="eastAsia" w:ascii="仿宋" w:hAnsi="仿宋" w:eastAsia="仿宋" w:cs="仿宋"/>
          <w:sz w:val="32"/>
          <w:szCs w:val="32"/>
          <w:u w:val="none"/>
        </w:rPr>
      </w:pPr>
      <w:r>
        <w:rPr>
          <w:rFonts w:hint="eastAsia" w:ascii="仿宋" w:hAnsi="仿宋" w:eastAsia="仿宋" w:cs="仿宋"/>
          <w:sz w:val="32"/>
          <w:szCs w:val="32"/>
          <w:u w:val="none"/>
        </w:rPr>
        <w:t>一般公共预算拨款收入</w:t>
      </w:r>
      <w:r>
        <w:rPr>
          <w:rFonts w:hint="eastAsia" w:ascii="仿宋" w:hAnsi="仿宋" w:eastAsia="仿宋" w:cs="仿宋"/>
          <w:sz w:val="32"/>
          <w:szCs w:val="32"/>
          <w:u w:val="none"/>
          <w:lang w:val="en-US" w:eastAsia="zh-CN"/>
        </w:rPr>
        <w:t>1536.74</w:t>
      </w:r>
      <w:r>
        <w:rPr>
          <w:rFonts w:hint="eastAsia" w:ascii="仿宋" w:hAnsi="仿宋" w:eastAsia="仿宋" w:cs="仿宋"/>
          <w:sz w:val="32"/>
          <w:szCs w:val="32"/>
          <w:u w:val="none"/>
        </w:rPr>
        <w:t>万元，与上年相比增</w:t>
      </w:r>
      <w:r>
        <w:rPr>
          <w:rFonts w:hint="eastAsia" w:ascii="仿宋" w:hAnsi="仿宋" w:eastAsia="仿宋" w:cs="仿宋"/>
          <w:sz w:val="32"/>
          <w:szCs w:val="32"/>
          <w:u w:val="none"/>
          <w:lang w:val="en-US" w:eastAsia="zh-CN"/>
        </w:rPr>
        <w:t>加103.97</w:t>
      </w:r>
      <w:r>
        <w:rPr>
          <w:rFonts w:hint="eastAsia" w:ascii="仿宋" w:hAnsi="仿宋" w:eastAsia="仿宋" w:cs="仿宋"/>
          <w:sz w:val="32"/>
          <w:szCs w:val="32"/>
          <w:u w:val="none"/>
        </w:rPr>
        <w:t xml:space="preserve">万元，增长 </w:t>
      </w:r>
      <w:r>
        <w:rPr>
          <w:rFonts w:hint="eastAsia" w:ascii="仿宋" w:hAnsi="仿宋" w:eastAsia="仿宋" w:cs="仿宋"/>
          <w:sz w:val="32"/>
          <w:szCs w:val="32"/>
          <w:u w:val="none"/>
          <w:lang w:val="en-US" w:eastAsia="zh-CN"/>
        </w:rPr>
        <w:t>7.26</w:t>
      </w:r>
      <w:r>
        <w:rPr>
          <w:rFonts w:hint="eastAsia" w:ascii="仿宋" w:hAnsi="仿宋" w:eastAsia="仿宋" w:cs="仿宋"/>
          <w:sz w:val="32"/>
          <w:szCs w:val="32"/>
          <w:u w:val="none"/>
        </w:rPr>
        <w:t xml:space="preserve"> %</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本年度日常活动和农村公路活动增加，日常公用经费增加</w:t>
      </w:r>
      <w:r>
        <w:rPr>
          <w:rFonts w:hint="eastAsia" w:ascii="仿宋" w:hAnsi="仿宋" w:eastAsia="仿宋" w:cs="仿宋"/>
          <w:sz w:val="32"/>
          <w:szCs w:val="32"/>
          <w:u w:val="none"/>
        </w:rPr>
        <w:t>。</w:t>
      </w:r>
    </w:p>
    <w:p w14:paraId="5812D4A0">
      <w:pPr>
        <w:pStyle w:val="5"/>
        <w:keepNext w:val="0"/>
        <w:keepLines w:val="0"/>
        <w:pageBreakBefore w:val="0"/>
        <w:widowControl w:val="0"/>
        <w:tabs>
          <w:tab w:val="left" w:pos="1389"/>
          <w:tab w:val="left" w:pos="4911"/>
          <w:tab w:val="left" w:pos="5991"/>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rPr>
      </w:pPr>
      <w:r>
        <w:rPr>
          <w:rFonts w:hint="eastAsia" w:ascii="仿宋" w:hAnsi="仿宋" w:eastAsia="仿宋" w:cs="仿宋"/>
          <w:sz w:val="32"/>
          <w:szCs w:val="32"/>
          <w:u w:val="none"/>
        </w:rPr>
        <w:t>政府性基金预算拨款收入</w:t>
      </w:r>
      <w:r>
        <w:rPr>
          <w:rFonts w:hint="eastAsia" w:ascii="仿宋" w:hAnsi="仿宋" w:eastAsia="仿宋" w:cs="仿宋"/>
          <w:sz w:val="32"/>
          <w:szCs w:val="32"/>
          <w:u w:val="none"/>
          <w:lang w:val="en-US" w:eastAsia="zh-CN"/>
        </w:rPr>
        <w:t>225.38</w:t>
      </w:r>
      <w:r>
        <w:rPr>
          <w:rFonts w:hint="eastAsia" w:ascii="仿宋" w:hAnsi="仿宋" w:eastAsia="仿宋" w:cs="仿宋"/>
          <w:sz w:val="32"/>
          <w:szCs w:val="32"/>
          <w:u w:val="none"/>
        </w:rPr>
        <w:t>万元，与上年相比</w:t>
      </w:r>
      <w:r>
        <w:rPr>
          <w:rFonts w:hint="eastAsia" w:ascii="仿宋" w:hAnsi="仿宋" w:eastAsia="仿宋" w:cs="仿宋"/>
          <w:sz w:val="32"/>
          <w:szCs w:val="32"/>
          <w:u w:val="none"/>
          <w:lang w:val="en-US" w:eastAsia="zh-CN"/>
        </w:rPr>
        <w:t>减少6176.47</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减少96.48</w:t>
      </w:r>
      <w:r>
        <w:rPr>
          <w:rFonts w:hint="eastAsia" w:ascii="仿宋" w:hAnsi="仿宋" w:eastAsia="仿宋" w:cs="仿宋"/>
          <w:sz w:val="32"/>
          <w:szCs w:val="32"/>
          <w:u w:val="none"/>
        </w:rPr>
        <w:t>%。主要原因是</w:t>
      </w:r>
      <w:r>
        <w:rPr>
          <w:rFonts w:hint="eastAsia" w:ascii="仿宋" w:hAnsi="仿宋" w:eastAsia="仿宋" w:cs="仿宋"/>
          <w:b w:val="0"/>
          <w:bCs w:val="0"/>
          <w:sz w:val="32"/>
          <w:szCs w:val="32"/>
          <w:u w:val="none"/>
          <w:lang w:val="en-US" w:eastAsia="zh-CN"/>
        </w:rPr>
        <w:t>本年度街巷硬化本金及利息已偿还，政府性基金预算减少较多。</w:t>
      </w:r>
    </w:p>
    <w:p w14:paraId="512C81BF">
      <w:pPr>
        <w:ind w:firstLine="640" w:firstLineChars="200"/>
      </w:pPr>
      <w:r>
        <w:rPr>
          <w:rFonts w:hint="eastAsia" w:ascii="仿宋" w:hAnsi="仿宋" w:eastAsia="仿宋" w:cs="仿宋"/>
          <w:sz w:val="32"/>
          <w:szCs w:val="32"/>
          <w:u w:val="none"/>
        </w:rPr>
        <w:t>一般公共服务支出</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类</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年初预算数为24.03</w:t>
      </w:r>
      <w:r>
        <w:rPr>
          <w:rFonts w:hint="eastAsia" w:ascii="仿宋" w:hAnsi="仿宋" w:eastAsia="仿宋" w:cs="仿宋"/>
          <w:sz w:val="32"/>
          <w:szCs w:val="32"/>
          <w:u w:val="none"/>
        </w:rPr>
        <w:t xml:space="preserve"> 万元，</w:t>
      </w:r>
      <w:r>
        <w:rPr>
          <w:rFonts w:hint="eastAsia" w:ascii="仿宋" w:hAnsi="仿宋" w:eastAsia="仿宋" w:cs="仿宋"/>
          <w:sz w:val="32"/>
          <w:szCs w:val="32"/>
          <w:u w:val="none"/>
          <w:lang w:val="en-US" w:eastAsia="zh-CN"/>
        </w:rPr>
        <w:t>主要用于一般公共服务行政运行。</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增长24.03</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增长100</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本年度新增一般公共服务行政运行。</w:t>
      </w:r>
    </w:p>
    <w:p w14:paraId="2FD9CAE3">
      <w:pPr>
        <w:ind w:firstLine="640" w:firstLineChars="200"/>
      </w:pPr>
      <w:r>
        <w:rPr>
          <w:rFonts w:hint="eastAsia" w:ascii="仿宋" w:hAnsi="仿宋" w:eastAsia="仿宋" w:cs="仿宋"/>
          <w:sz w:val="32"/>
          <w:szCs w:val="32"/>
          <w:u w:val="none"/>
        </w:rPr>
        <w:t>社会保障和就业支出</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类</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年初预算为188.98</w:t>
      </w:r>
      <w:r>
        <w:rPr>
          <w:rFonts w:hint="eastAsia" w:ascii="仿宋" w:hAnsi="仿宋" w:eastAsia="仿宋" w:cs="仿宋"/>
          <w:sz w:val="32"/>
          <w:szCs w:val="32"/>
          <w:u w:val="none"/>
        </w:rPr>
        <w:t>万元，主要用于</w:t>
      </w:r>
      <w:r>
        <w:rPr>
          <w:rFonts w:hint="eastAsia" w:ascii="仿宋" w:hAnsi="仿宋" w:eastAsia="仿宋" w:cs="仿宋"/>
          <w:sz w:val="32"/>
          <w:szCs w:val="32"/>
          <w:u w:val="none"/>
          <w:lang w:val="en-US" w:eastAsia="zh-CN"/>
        </w:rPr>
        <w:t>职工福利保障支出</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10.89</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6.11</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2026年度新调入人员2人</w:t>
      </w:r>
      <w:r>
        <w:rPr>
          <w:rFonts w:hint="eastAsia" w:ascii="仿宋" w:hAnsi="仿宋" w:eastAsia="仿宋" w:cs="仿宋"/>
          <w:sz w:val="32"/>
          <w:szCs w:val="32"/>
          <w:u w:val="none"/>
        </w:rPr>
        <w:t>。</w:t>
      </w:r>
    </w:p>
    <w:p w14:paraId="3189CEAE">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rPr>
        <w:t>卫生健康支出</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类）年初预算为71.65</w:t>
      </w:r>
      <w:r>
        <w:rPr>
          <w:rFonts w:hint="eastAsia" w:ascii="仿宋" w:hAnsi="仿宋" w:eastAsia="仿宋" w:cs="仿宋"/>
          <w:sz w:val="32"/>
          <w:szCs w:val="32"/>
          <w:u w:val="none"/>
        </w:rPr>
        <w:t>万元，主要用于</w:t>
      </w:r>
      <w:r>
        <w:rPr>
          <w:rFonts w:hint="eastAsia" w:ascii="仿宋" w:hAnsi="仿宋" w:eastAsia="仿宋" w:cs="仿宋"/>
          <w:sz w:val="32"/>
          <w:szCs w:val="32"/>
          <w:u w:val="none"/>
          <w:lang w:val="en-US" w:eastAsia="zh-CN"/>
        </w:rPr>
        <w:t>职工医疗保险保障支出</w:t>
      </w:r>
      <w:r>
        <w:rPr>
          <w:rFonts w:hint="eastAsia" w:ascii="仿宋" w:hAnsi="仿宋" w:eastAsia="仿宋" w:cs="仿宋"/>
          <w:sz w:val="32"/>
          <w:szCs w:val="32"/>
          <w:u w:val="none"/>
        </w:rPr>
        <w:t>。上年相比</w:t>
      </w:r>
      <w:r>
        <w:rPr>
          <w:rFonts w:hint="eastAsia" w:ascii="仿宋" w:hAnsi="仿宋" w:eastAsia="仿宋" w:cs="仿宋"/>
          <w:sz w:val="32"/>
          <w:szCs w:val="32"/>
          <w:u w:val="none"/>
          <w:lang w:val="en-US" w:eastAsia="zh-CN"/>
        </w:rPr>
        <w:t>增加12.86</w:t>
      </w:r>
      <w:r>
        <w:rPr>
          <w:rFonts w:hint="eastAsia" w:ascii="仿宋" w:hAnsi="仿宋" w:eastAsia="仿宋" w:cs="仿宋"/>
          <w:sz w:val="32"/>
          <w:szCs w:val="32"/>
          <w:u w:val="none"/>
        </w:rPr>
        <w:t>万元</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增长21.87</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本年度医疗保险基数及比例变动和新考入事业人员2人。</w:t>
      </w:r>
    </w:p>
    <w:p w14:paraId="723F9A70">
      <w:pPr>
        <w:ind w:firstLine="640" w:firstLineChars="200"/>
        <w:rPr>
          <w:rFonts w:hint="eastAsia" w:ascii="仿宋" w:hAnsi="仿宋" w:eastAsia="仿宋" w:cs="仿宋"/>
          <w:kern w:val="2"/>
          <w:sz w:val="32"/>
          <w:szCs w:val="32"/>
          <w:u w:val="none"/>
          <w:lang w:val="en-US" w:eastAsia="zh-CN" w:bidi="ar-SA"/>
        </w:rPr>
      </w:pPr>
      <w:r>
        <w:rPr>
          <w:rFonts w:hint="eastAsia" w:ascii="仿宋" w:hAnsi="仿宋" w:eastAsia="仿宋" w:cs="仿宋"/>
          <w:sz w:val="32"/>
          <w:szCs w:val="32"/>
          <w:u w:val="none"/>
          <w:lang w:val="en-US" w:eastAsia="zh-CN"/>
        </w:rPr>
        <w:t>交通运输</w:t>
      </w:r>
      <w:r>
        <w:rPr>
          <w:rFonts w:hint="eastAsia" w:ascii="仿宋" w:hAnsi="仿宋" w:eastAsia="仿宋" w:cs="仿宋"/>
          <w:sz w:val="32"/>
          <w:szCs w:val="32"/>
          <w:u w:val="none"/>
        </w:rPr>
        <w:t>支出</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类</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年初预算为1301.96</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主要用于</w:t>
      </w:r>
      <w:r>
        <w:rPr>
          <w:rFonts w:hint="eastAsia" w:ascii="仿宋" w:hAnsi="仿宋" w:eastAsia="仿宋" w:cs="仿宋"/>
          <w:kern w:val="2"/>
          <w:sz w:val="32"/>
          <w:szCs w:val="32"/>
          <w:u w:val="none"/>
          <w:lang w:val="en-US" w:eastAsia="zh-CN" w:bidi="ar-SA"/>
        </w:rPr>
        <w:t>交通建设相关支出。与上年相比增加200.28万元，增长18.18%。主要原因是本年度公路项目增加，交通运输支出增加。</w:t>
      </w:r>
    </w:p>
    <w:p w14:paraId="063F5A54">
      <w:pPr>
        <w:ind w:firstLine="640" w:firstLineChars="200"/>
        <w:rPr>
          <w:rFonts w:hint="default" w:ascii="仿宋" w:hAnsi="仿宋" w:eastAsia="仿宋" w:cs="仿宋"/>
          <w:sz w:val="32"/>
          <w:szCs w:val="32"/>
          <w:u w:val="none"/>
          <w:lang w:val="en-US" w:eastAsia="zh-CN"/>
        </w:rPr>
      </w:pPr>
      <w:r>
        <w:rPr>
          <w:rFonts w:hint="eastAsia" w:ascii="仿宋" w:hAnsi="仿宋" w:eastAsia="仿宋" w:cs="仿宋"/>
          <w:kern w:val="2"/>
          <w:sz w:val="32"/>
          <w:szCs w:val="32"/>
          <w:u w:val="none"/>
          <w:lang w:val="en-US" w:eastAsia="zh-CN" w:bidi="ar-SA"/>
        </w:rPr>
        <w:t>住房保</w:t>
      </w:r>
      <w:r>
        <w:rPr>
          <w:rFonts w:hint="eastAsia" w:ascii="仿宋" w:hAnsi="仿宋" w:eastAsia="仿宋" w:cs="仿宋"/>
          <w:sz w:val="32"/>
          <w:szCs w:val="32"/>
          <w:u w:val="none"/>
          <w:lang w:val="en-US" w:eastAsia="zh-CN"/>
        </w:rPr>
        <w:t>障支出</w:t>
      </w:r>
      <w:r>
        <w:rPr>
          <w:rFonts w:hint="eastAsia" w:ascii="仿宋" w:hAnsi="仿宋" w:eastAsia="仿宋" w:cs="仿宋"/>
          <w:sz w:val="32"/>
          <w:szCs w:val="32"/>
          <w:u w:val="none"/>
        </w:rPr>
        <w:t>（类）支出</w:t>
      </w:r>
      <w:r>
        <w:rPr>
          <w:rFonts w:hint="eastAsia" w:ascii="仿宋" w:hAnsi="仿宋" w:eastAsia="仿宋" w:cs="仿宋"/>
          <w:sz w:val="32"/>
          <w:szCs w:val="32"/>
          <w:u w:val="none"/>
          <w:lang w:val="en-US" w:eastAsia="zh-CN"/>
        </w:rPr>
        <w:t>100.74</w:t>
      </w:r>
      <w:r>
        <w:rPr>
          <w:rFonts w:hint="eastAsia" w:ascii="仿宋" w:hAnsi="仿宋" w:eastAsia="仿宋" w:cs="仿宋"/>
          <w:sz w:val="32"/>
          <w:szCs w:val="32"/>
          <w:u w:val="none"/>
        </w:rPr>
        <w:t>万元，主要用于</w:t>
      </w:r>
      <w:r>
        <w:rPr>
          <w:rFonts w:hint="eastAsia" w:ascii="仿宋" w:hAnsi="仿宋" w:eastAsia="仿宋" w:cs="仿宋"/>
          <w:sz w:val="32"/>
          <w:szCs w:val="32"/>
          <w:u w:val="none"/>
          <w:lang w:val="en-US" w:eastAsia="zh-CN"/>
        </w:rPr>
        <w:t>职工住房公积金保障支出</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增加6.54</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增长6.94</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2026年度新考入人员2人</w:t>
      </w:r>
      <w:r>
        <w:rPr>
          <w:rFonts w:hint="eastAsia" w:ascii="仿宋" w:hAnsi="仿宋" w:eastAsia="仿宋" w:cs="仿宋"/>
          <w:sz w:val="32"/>
          <w:szCs w:val="32"/>
          <w:u w:val="none"/>
        </w:rPr>
        <w:t>。</w:t>
      </w:r>
    </w:p>
    <w:p w14:paraId="13A184B7">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14:paraId="2B8DE307">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u w:val="none"/>
          <w:lang w:val="en-US" w:eastAsia="zh-CN"/>
        </w:rPr>
        <w:t>莫旗交通运输局</w:t>
      </w:r>
      <w:r>
        <w:rPr>
          <w:rFonts w:hint="eastAsia" w:ascii="仿宋" w:hAnsi="仿宋" w:eastAsia="仿宋" w:cs="仿宋"/>
          <w:sz w:val="32"/>
          <w:szCs w:val="32"/>
          <w:lang w:val="en-US" w:eastAsia="zh-CN"/>
        </w:rPr>
        <w:t>2026</w:t>
      </w:r>
      <w:r>
        <w:rPr>
          <w:rFonts w:hint="eastAsia" w:ascii="仿宋" w:hAnsi="仿宋" w:eastAsia="仿宋" w:cs="仿宋"/>
          <w:sz w:val="32"/>
          <w:szCs w:val="32"/>
        </w:rPr>
        <w:t>年度一般公共预算财政拨款支出预算</w:t>
      </w:r>
      <w:r>
        <w:rPr>
          <w:rFonts w:hint="eastAsia" w:ascii="仿宋" w:hAnsi="仿宋" w:eastAsia="仿宋" w:cs="仿宋"/>
          <w:sz w:val="32"/>
          <w:szCs w:val="32"/>
          <w:u w:val="none"/>
          <w:lang w:val="en-US" w:eastAsia="zh-CN"/>
        </w:rPr>
        <w:t>1687.36</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254.59</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17.77</w:t>
      </w:r>
      <w:r>
        <w:rPr>
          <w:rFonts w:hint="eastAsia" w:ascii="仿宋" w:hAnsi="仿宋" w:eastAsia="仿宋" w:cs="仿宋"/>
          <w:sz w:val="32"/>
          <w:szCs w:val="32"/>
          <w:u w:val="none"/>
        </w:rPr>
        <w:t xml:space="preserve"> %。具</w:t>
      </w:r>
      <w:r>
        <w:rPr>
          <w:rFonts w:hint="eastAsia" w:ascii="仿宋" w:hAnsi="仿宋" w:eastAsia="仿宋" w:cs="仿宋"/>
          <w:sz w:val="32"/>
          <w:szCs w:val="32"/>
        </w:rPr>
        <w:t>体情况如下：</w:t>
      </w:r>
    </w:p>
    <w:p w14:paraId="2330AD22">
      <w:pPr>
        <w:pStyle w:val="5"/>
        <w:numPr>
          <w:ilvl w:val="0"/>
          <w:numId w:val="2"/>
        </w:numPr>
        <w:tabs>
          <w:tab w:val="left" w:pos="4275"/>
        </w:tabs>
        <w:spacing w:after="0" w:line="60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一般公共服务（类）</w:t>
      </w:r>
    </w:p>
    <w:p w14:paraId="38F6FF98">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rPr>
        <w:t>一般公共服务支出类</w:t>
      </w:r>
      <w:r>
        <w:rPr>
          <w:rFonts w:hint="eastAsia" w:ascii="仿宋" w:hAnsi="仿宋" w:eastAsia="仿宋" w:cs="仿宋"/>
          <w:sz w:val="32"/>
          <w:szCs w:val="32"/>
          <w:u w:val="none"/>
          <w:lang w:val="en-US" w:eastAsia="zh-CN"/>
        </w:rPr>
        <w:t>年初预算数为24.03</w:t>
      </w:r>
      <w:r>
        <w:rPr>
          <w:rFonts w:hint="eastAsia" w:ascii="仿宋" w:hAnsi="仿宋" w:eastAsia="仿宋" w:cs="仿宋"/>
          <w:sz w:val="32"/>
          <w:szCs w:val="32"/>
          <w:u w:val="none"/>
        </w:rPr>
        <w:t xml:space="preserve"> 万元，与上年相比增加</w:t>
      </w:r>
      <w:r>
        <w:rPr>
          <w:rFonts w:hint="eastAsia" w:ascii="仿宋" w:hAnsi="仿宋" w:eastAsia="仿宋" w:cs="仿宋"/>
          <w:sz w:val="32"/>
          <w:szCs w:val="32"/>
          <w:u w:val="none"/>
          <w:lang w:val="en-US" w:eastAsia="zh-CN"/>
        </w:rPr>
        <w:t>24.03</w:t>
      </w:r>
      <w:r>
        <w:rPr>
          <w:rFonts w:hint="eastAsia" w:ascii="仿宋" w:hAnsi="仿宋" w:eastAsia="仿宋" w:cs="仿宋"/>
          <w:sz w:val="32"/>
          <w:szCs w:val="32"/>
          <w:u w:val="none"/>
        </w:rPr>
        <w:t>万元</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其中：</w:t>
      </w:r>
    </w:p>
    <w:p w14:paraId="1B2CB9AF">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楷体" w:hAnsi="楷体" w:eastAsia="楷体" w:cs="楷体"/>
          <w:b/>
          <w:bCs/>
          <w:sz w:val="32"/>
          <w:szCs w:val="32"/>
        </w:rPr>
      </w:pPr>
      <w:r>
        <w:rPr>
          <w:rFonts w:hint="eastAsia" w:ascii="仿宋" w:hAnsi="仿宋" w:eastAsia="仿宋" w:cs="仿宋"/>
          <w:sz w:val="32"/>
          <w:szCs w:val="32"/>
          <w:u w:val="none"/>
          <w:lang w:val="en-US" w:eastAsia="zh-CN"/>
        </w:rPr>
        <w:t>1.人大事务（款）行政运行（项）。年初预算24.03万元，</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24.03</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100</w:t>
      </w:r>
      <w:r>
        <w:rPr>
          <w:rFonts w:hint="eastAsia" w:ascii="仿宋" w:hAnsi="仿宋" w:eastAsia="仿宋" w:cs="仿宋"/>
          <w:sz w:val="32"/>
          <w:szCs w:val="32"/>
          <w:u w:val="none"/>
        </w:rPr>
        <w:t xml:space="preserve"> %。主要原因</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2026年度新增一般公共服务支出</w:t>
      </w:r>
      <w:r>
        <w:rPr>
          <w:rFonts w:hint="eastAsia" w:ascii="仿宋" w:hAnsi="仿宋" w:eastAsia="仿宋" w:cs="仿宋"/>
          <w:sz w:val="32"/>
          <w:szCs w:val="32"/>
          <w:u w:val="none"/>
        </w:rPr>
        <w:t>。</w:t>
      </w:r>
    </w:p>
    <w:p w14:paraId="0C9DB275">
      <w:pPr>
        <w:pStyle w:val="5"/>
        <w:numPr>
          <w:ilvl w:val="0"/>
          <w:numId w:val="2"/>
        </w:numPr>
        <w:tabs>
          <w:tab w:val="left" w:pos="4275"/>
        </w:tabs>
        <w:spacing w:after="0" w:line="60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社会保障和就业支出（类）</w:t>
      </w:r>
    </w:p>
    <w:p w14:paraId="10367909">
      <w:pPr>
        <w:pStyle w:val="5"/>
        <w:numPr>
          <w:ilvl w:val="0"/>
          <w:numId w:val="0"/>
        </w:numPr>
        <w:tabs>
          <w:tab w:val="left" w:pos="4275"/>
        </w:tabs>
        <w:spacing w:after="0" w:line="600" w:lineRule="exact"/>
        <w:ind w:firstLine="640" w:firstLineChars="200"/>
        <w:rPr>
          <w:rFonts w:hint="eastAsia" w:ascii="仿宋" w:hAnsi="仿宋" w:eastAsia="仿宋" w:cs="仿宋"/>
          <w:sz w:val="32"/>
          <w:szCs w:val="32"/>
          <w:u w:val="none"/>
          <w:lang w:val="en-US" w:eastAsia="zh-CN"/>
        </w:rPr>
      </w:pPr>
      <w:r>
        <w:rPr>
          <w:rFonts w:hint="eastAsia" w:ascii="仿宋" w:hAnsi="仿宋" w:eastAsia="仿宋" w:cs="仿宋"/>
          <w:sz w:val="32"/>
          <w:szCs w:val="32"/>
          <w:u w:val="none"/>
        </w:rPr>
        <w:t>社会保障和就业支出类</w:t>
      </w:r>
      <w:r>
        <w:rPr>
          <w:rFonts w:hint="eastAsia" w:ascii="仿宋" w:hAnsi="仿宋" w:eastAsia="仿宋" w:cs="仿宋"/>
          <w:sz w:val="32"/>
          <w:szCs w:val="32"/>
          <w:u w:val="none"/>
          <w:lang w:val="en-US" w:eastAsia="zh-CN"/>
        </w:rPr>
        <w:t>年初预算为188.98</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10.89</w:t>
      </w:r>
      <w:r>
        <w:rPr>
          <w:rFonts w:hint="eastAsia" w:ascii="仿宋" w:hAnsi="仿宋" w:eastAsia="仿宋" w:cs="仿宋"/>
          <w:sz w:val="32"/>
          <w:szCs w:val="32"/>
          <w:u w:val="none"/>
        </w:rPr>
        <w:t>万元</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其中：</w:t>
      </w:r>
    </w:p>
    <w:p w14:paraId="579198F2">
      <w:pPr>
        <w:pStyle w:val="5"/>
        <w:keepNext w:val="0"/>
        <w:keepLines w:val="0"/>
        <w:pageBreakBefore w:val="0"/>
        <w:widowControl w:val="0"/>
        <w:numPr>
          <w:ilvl w:val="0"/>
          <w:numId w:val="0"/>
        </w:numPr>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1.行政事业单位养老支出（款）行政单位离退休（项)。年初预算31.87万元，</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0.1</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0.02</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2026年度养老保险基数变化</w:t>
      </w:r>
      <w:r>
        <w:rPr>
          <w:rFonts w:hint="eastAsia" w:ascii="仿宋" w:hAnsi="仿宋" w:eastAsia="仿宋" w:cs="仿宋"/>
          <w:sz w:val="32"/>
          <w:szCs w:val="32"/>
          <w:u w:val="none"/>
        </w:rPr>
        <w:t>。</w:t>
      </w:r>
    </w:p>
    <w:p w14:paraId="1E3CC9F1">
      <w:pPr>
        <w:pStyle w:val="5"/>
        <w:keepNext w:val="0"/>
        <w:keepLines w:val="0"/>
        <w:pageBreakBefore w:val="0"/>
        <w:widowControl w:val="0"/>
        <w:numPr>
          <w:ilvl w:val="0"/>
          <w:numId w:val="0"/>
        </w:numPr>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2.行政事业单位养老支出（款）事业单位离退休（项)。年初预算33.46万元，</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1.86</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5.89</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本年度存在退休人员</w:t>
      </w:r>
      <w:r>
        <w:rPr>
          <w:rFonts w:hint="eastAsia" w:ascii="仿宋" w:hAnsi="仿宋" w:eastAsia="仿宋" w:cs="仿宋"/>
          <w:sz w:val="32"/>
          <w:szCs w:val="32"/>
          <w:u w:val="none"/>
        </w:rPr>
        <w:t>。</w:t>
      </w:r>
    </w:p>
    <w:p w14:paraId="7EA0A06D">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3.行政事业单位养老支出（款）机关事业单位基本养老保险缴费支出（项)。年初预算123.65万元，</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9.01</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7.86</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存在新考录事业人员2名</w:t>
      </w:r>
      <w:r>
        <w:rPr>
          <w:rFonts w:hint="eastAsia" w:ascii="仿宋" w:hAnsi="仿宋" w:eastAsia="仿宋" w:cs="仿宋"/>
          <w:sz w:val="32"/>
          <w:szCs w:val="32"/>
          <w:u w:val="none"/>
        </w:rPr>
        <w:t>。</w:t>
      </w:r>
    </w:p>
    <w:p w14:paraId="74F8F07B">
      <w:pPr>
        <w:pStyle w:val="5"/>
        <w:numPr>
          <w:ilvl w:val="0"/>
          <w:numId w:val="2"/>
        </w:numPr>
        <w:tabs>
          <w:tab w:val="left" w:pos="4275"/>
        </w:tabs>
        <w:spacing w:after="0" w:line="60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卫生健康支出（类）</w:t>
      </w:r>
    </w:p>
    <w:p w14:paraId="17ED5887">
      <w:pPr>
        <w:pStyle w:val="5"/>
        <w:numPr>
          <w:ilvl w:val="0"/>
          <w:numId w:val="0"/>
        </w:numPr>
        <w:tabs>
          <w:tab w:val="left" w:pos="4275"/>
        </w:tabs>
        <w:spacing w:after="0" w:line="600" w:lineRule="exact"/>
        <w:ind w:firstLine="640" w:firstLineChars="200"/>
        <w:rPr>
          <w:rFonts w:hint="eastAsia" w:ascii="仿宋" w:hAnsi="仿宋" w:eastAsia="仿宋" w:cs="仿宋"/>
          <w:sz w:val="32"/>
          <w:szCs w:val="32"/>
          <w:u w:val="none"/>
          <w:lang w:val="en-US" w:eastAsia="zh-CN"/>
        </w:rPr>
      </w:pPr>
      <w:r>
        <w:rPr>
          <w:rFonts w:hint="eastAsia" w:ascii="仿宋" w:hAnsi="仿宋" w:eastAsia="仿宋" w:cs="仿宋"/>
          <w:sz w:val="32"/>
          <w:szCs w:val="32"/>
          <w:u w:val="none"/>
        </w:rPr>
        <w:t>卫生健康支出</w:t>
      </w:r>
      <w:r>
        <w:rPr>
          <w:rFonts w:hint="eastAsia" w:ascii="仿宋" w:hAnsi="仿宋" w:eastAsia="仿宋" w:cs="仿宋"/>
          <w:sz w:val="32"/>
          <w:szCs w:val="32"/>
          <w:u w:val="none"/>
          <w:lang w:val="en-US" w:eastAsia="zh-CN"/>
        </w:rPr>
        <w:t>类年初预算为71.65</w:t>
      </w:r>
      <w:r>
        <w:rPr>
          <w:rFonts w:hint="eastAsia" w:ascii="仿宋" w:hAnsi="仿宋" w:eastAsia="仿宋" w:cs="仿宋"/>
          <w:sz w:val="32"/>
          <w:szCs w:val="32"/>
          <w:u w:val="none"/>
        </w:rPr>
        <w:t>万元，上年相比</w:t>
      </w:r>
      <w:r>
        <w:rPr>
          <w:rFonts w:hint="eastAsia" w:ascii="仿宋" w:hAnsi="仿宋" w:eastAsia="仿宋" w:cs="仿宋"/>
          <w:sz w:val="32"/>
          <w:szCs w:val="32"/>
          <w:u w:val="none"/>
          <w:lang w:val="en-US" w:eastAsia="zh-CN"/>
        </w:rPr>
        <w:t>增加12.86</w:t>
      </w:r>
      <w:r>
        <w:rPr>
          <w:rFonts w:hint="eastAsia" w:ascii="仿宋" w:hAnsi="仿宋" w:eastAsia="仿宋" w:cs="仿宋"/>
          <w:sz w:val="32"/>
          <w:szCs w:val="32"/>
          <w:u w:val="none"/>
        </w:rPr>
        <w:t>万元</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其中：</w:t>
      </w:r>
    </w:p>
    <w:p w14:paraId="59FC0CD7">
      <w:pPr>
        <w:pStyle w:val="5"/>
        <w:keepNext w:val="0"/>
        <w:keepLines w:val="0"/>
        <w:pageBreakBefore w:val="0"/>
        <w:widowControl w:val="0"/>
        <w:numPr>
          <w:ilvl w:val="0"/>
          <w:numId w:val="0"/>
        </w:numPr>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1.行政事业单位医疗（款）行政单位医疗（项)。年初预算为15.15</w:t>
      </w:r>
      <w:r>
        <w:rPr>
          <w:rFonts w:hint="eastAsia" w:ascii="仿宋" w:hAnsi="仿宋" w:eastAsia="仿宋" w:cs="仿宋"/>
          <w:sz w:val="32"/>
          <w:szCs w:val="32"/>
          <w:u w:val="none"/>
        </w:rPr>
        <w:t>万元</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增加1.92</w:t>
      </w:r>
      <w:r>
        <w:rPr>
          <w:rFonts w:hint="eastAsia" w:ascii="仿宋" w:hAnsi="仿宋" w:eastAsia="仿宋" w:cs="仿宋"/>
          <w:sz w:val="32"/>
          <w:szCs w:val="32"/>
          <w:u w:val="none"/>
        </w:rPr>
        <w:t xml:space="preserve"> 万元，</w:t>
      </w:r>
      <w:r>
        <w:rPr>
          <w:rFonts w:hint="eastAsia" w:ascii="仿宋" w:hAnsi="仿宋" w:eastAsia="仿宋" w:cs="仿宋"/>
          <w:sz w:val="32"/>
          <w:szCs w:val="32"/>
          <w:u w:val="none"/>
          <w:lang w:val="en-US" w:eastAsia="zh-CN"/>
        </w:rPr>
        <w:t>增长14.51</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2026年度养老保险基数变化</w:t>
      </w:r>
      <w:r>
        <w:rPr>
          <w:rFonts w:hint="eastAsia" w:ascii="仿宋" w:hAnsi="仿宋" w:eastAsia="仿宋" w:cs="仿宋"/>
          <w:sz w:val="32"/>
          <w:szCs w:val="32"/>
          <w:u w:val="none"/>
        </w:rPr>
        <w:t>。</w:t>
      </w:r>
    </w:p>
    <w:p w14:paraId="52D150F3">
      <w:pPr>
        <w:pStyle w:val="5"/>
        <w:keepNext w:val="0"/>
        <w:keepLines w:val="0"/>
        <w:pageBreakBefore w:val="0"/>
        <w:widowControl w:val="0"/>
        <w:numPr>
          <w:ilvl w:val="0"/>
          <w:numId w:val="0"/>
        </w:numPr>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2.行政事业单位医疗（款）事业单位医疗（项)。年初预算为56.50</w:t>
      </w:r>
      <w:r>
        <w:rPr>
          <w:rFonts w:hint="eastAsia" w:ascii="仿宋" w:hAnsi="仿宋" w:eastAsia="仿宋" w:cs="仿宋"/>
          <w:sz w:val="32"/>
          <w:szCs w:val="32"/>
          <w:u w:val="none"/>
        </w:rPr>
        <w:t>万元</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增加11.33</w:t>
      </w:r>
      <w:r>
        <w:rPr>
          <w:rFonts w:hint="eastAsia" w:ascii="仿宋" w:hAnsi="仿宋" w:eastAsia="仿宋" w:cs="仿宋"/>
          <w:sz w:val="32"/>
          <w:szCs w:val="32"/>
          <w:u w:val="none"/>
        </w:rPr>
        <w:t xml:space="preserve"> 万元，</w:t>
      </w:r>
      <w:r>
        <w:rPr>
          <w:rFonts w:hint="eastAsia" w:ascii="仿宋" w:hAnsi="仿宋" w:eastAsia="仿宋" w:cs="仿宋"/>
          <w:sz w:val="32"/>
          <w:szCs w:val="32"/>
          <w:u w:val="none"/>
          <w:lang w:val="en-US" w:eastAsia="zh-CN"/>
        </w:rPr>
        <w:t>增长25.08</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存在新事业考录人员2名</w:t>
      </w:r>
      <w:r>
        <w:rPr>
          <w:rFonts w:hint="eastAsia" w:ascii="仿宋" w:hAnsi="仿宋" w:eastAsia="仿宋" w:cs="仿宋"/>
          <w:sz w:val="32"/>
          <w:szCs w:val="32"/>
          <w:u w:val="none"/>
        </w:rPr>
        <w:t>。</w:t>
      </w:r>
    </w:p>
    <w:p w14:paraId="671D9885">
      <w:pPr>
        <w:pStyle w:val="5"/>
        <w:numPr>
          <w:ilvl w:val="0"/>
          <w:numId w:val="2"/>
        </w:numPr>
        <w:tabs>
          <w:tab w:val="left" w:pos="4275"/>
        </w:tabs>
        <w:spacing w:after="0" w:line="60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lang w:val="en-US" w:eastAsia="zh-CN"/>
        </w:rPr>
        <w:t>交通运输</w:t>
      </w:r>
      <w:r>
        <w:rPr>
          <w:rFonts w:hint="eastAsia" w:ascii="楷体" w:hAnsi="楷体" w:eastAsia="楷体" w:cs="楷体"/>
          <w:b/>
          <w:bCs/>
          <w:sz w:val="32"/>
          <w:szCs w:val="32"/>
        </w:rPr>
        <w:t>支出（类）</w:t>
      </w:r>
    </w:p>
    <w:p w14:paraId="40E516A6">
      <w:pPr>
        <w:pStyle w:val="5"/>
        <w:numPr>
          <w:ilvl w:val="0"/>
          <w:numId w:val="0"/>
        </w:numPr>
        <w:tabs>
          <w:tab w:val="left" w:pos="4275"/>
        </w:tabs>
        <w:spacing w:after="0" w:line="600" w:lineRule="exact"/>
        <w:ind w:firstLine="640" w:firstLineChars="200"/>
        <w:rPr>
          <w:rFonts w:hint="eastAsia" w:ascii="仿宋" w:hAnsi="仿宋" w:eastAsia="仿宋" w:cs="仿宋"/>
          <w:sz w:val="32"/>
          <w:szCs w:val="32"/>
          <w:u w:val="none"/>
          <w:lang w:val="en-US" w:eastAsia="zh-CN"/>
        </w:rPr>
      </w:pPr>
      <w:r>
        <w:rPr>
          <w:rFonts w:hint="eastAsia" w:ascii="仿宋" w:hAnsi="仿宋" w:eastAsia="仿宋" w:cs="仿宋"/>
          <w:sz w:val="32"/>
          <w:szCs w:val="32"/>
          <w:u w:val="none"/>
          <w:lang w:val="en-US" w:eastAsia="zh-CN"/>
        </w:rPr>
        <w:t>交通运输</w:t>
      </w:r>
      <w:r>
        <w:rPr>
          <w:rFonts w:hint="eastAsia" w:ascii="仿宋" w:hAnsi="仿宋" w:eastAsia="仿宋" w:cs="仿宋"/>
          <w:sz w:val="32"/>
          <w:szCs w:val="32"/>
          <w:u w:val="none"/>
        </w:rPr>
        <w:t>支出类</w:t>
      </w:r>
      <w:r>
        <w:rPr>
          <w:rFonts w:hint="eastAsia" w:ascii="仿宋" w:hAnsi="仿宋" w:eastAsia="仿宋" w:cs="仿宋"/>
          <w:sz w:val="32"/>
          <w:szCs w:val="32"/>
          <w:u w:val="none"/>
          <w:lang w:val="en-US" w:eastAsia="zh-CN"/>
        </w:rPr>
        <w:t>年初预算为1301.96</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200.28</w:t>
      </w:r>
      <w:r>
        <w:rPr>
          <w:rFonts w:hint="eastAsia" w:ascii="仿宋" w:hAnsi="仿宋" w:eastAsia="仿宋" w:cs="仿宋"/>
          <w:sz w:val="32"/>
          <w:szCs w:val="32"/>
          <w:u w:val="none"/>
        </w:rPr>
        <w:t>万元</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其中：</w:t>
      </w:r>
    </w:p>
    <w:p w14:paraId="01EF3DBA">
      <w:pPr>
        <w:pStyle w:val="5"/>
        <w:keepNext w:val="0"/>
        <w:keepLines w:val="0"/>
        <w:pageBreakBefore w:val="0"/>
        <w:widowControl w:val="0"/>
        <w:numPr>
          <w:ilvl w:val="0"/>
          <w:numId w:val="0"/>
        </w:numPr>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1.公路水路运输（款）行政运行（项)。年初预算220.29万元，</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16.06</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7.85</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2026年度新增2名新调入人员以及日常活动增加</w:t>
      </w:r>
      <w:r>
        <w:rPr>
          <w:rFonts w:hint="eastAsia" w:ascii="仿宋" w:hAnsi="仿宋" w:eastAsia="仿宋" w:cs="仿宋"/>
          <w:sz w:val="32"/>
          <w:szCs w:val="32"/>
          <w:u w:val="none"/>
        </w:rPr>
        <w:t>。</w:t>
      </w:r>
    </w:p>
    <w:p w14:paraId="35934CDD">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default" w:ascii="仿宋" w:hAnsi="仿宋" w:eastAsia="仿宋" w:cs="仿宋"/>
          <w:sz w:val="32"/>
          <w:szCs w:val="32"/>
          <w:u w:val="none"/>
          <w:lang w:val="en-US"/>
        </w:rPr>
      </w:pPr>
      <w:r>
        <w:rPr>
          <w:rFonts w:hint="eastAsia" w:ascii="仿宋" w:hAnsi="仿宋" w:eastAsia="仿宋" w:cs="仿宋"/>
          <w:sz w:val="32"/>
          <w:szCs w:val="32"/>
          <w:u w:val="none"/>
          <w:lang w:val="en-US" w:eastAsia="zh-CN"/>
        </w:rPr>
        <w:t>2.公路水路运输（款）机关服务（项)。年初预算583.72万元，</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减少94.06</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减少13.88</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本年度事业单位日常活动减少，日常经费减少。</w:t>
      </w:r>
    </w:p>
    <w:p w14:paraId="3CF4CF42">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3.公路水路运输（款）公路建设（项)。年初预算31万元，</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公路建设项目预算无变动</w:t>
      </w:r>
      <w:r>
        <w:rPr>
          <w:rFonts w:hint="eastAsia" w:ascii="仿宋" w:hAnsi="仿宋" w:eastAsia="仿宋" w:cs="仿宋"/>
          <w:sz w:val="32"/>
          <w:szCs w:val="32"/>
          <w:u w:val="none"/>
        </w:rPr>
        <w:t>。</w:t>
      </w:r>
    </w:p>
    <w:p w14:paraId="1FB86E50">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4.公路水路运输（款）公路养护（项)。年初预算201.34万元，</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18.07</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9.86</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本年度公路养护服务中心新考录人员2名，人员经费增加</w:t>
      </w:r>
      <w:r>
        <w:rPr>
          <w:rFonts w:hint="eastAsia" w:ascii="仿宋" w:hAnsi="仿宋" w:eastAsia="仿宋" w:cs="仿宋"/>
          <w:sz w:val="32"/>
          <w:szCs w:val="32"/>
          <w:u w:val="none"/>
        </w:rPr>
        <w:t>。</w:t>
      </w:r>
    </w:p>
    <w:p w14:paraId="73A112A8">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5.公路水路运输（款）公路和运输安全（项)。年初预算110万元，</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110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100</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2026年度新增执法活动经费和巡线专项经费。</w:t>
      </w:r>
    </w:p>
    <w:p w14:paraId="1C972AA8">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6.民用航空运输（款）民航专项运输（项)。年初预算150.62万元，</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150.62</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100</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本年度新增通用航空发展专项资金</w:t>
      </w:r>
      <w:r>
        <w:rPr>
          <w:rFonts w:hint="eastAsia" w:ascii="仿宋" w:hAnsi="仿宋" w:eastAsia="仿宋" w:cs="仿宋"/>
          <w:sz w:val="32"/>
          <w:szCs w:val="32"/>
          <w:u w:val="none"/>
        </w:rPr>
        <w:t>。</w:t>
      </w:r>
    </w:p>
    <w:p w14:paraId="3DF2C727">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7.邮政业支出（款）其他邮政业支出（项)。年初预算5万元，</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5</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100</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本年度新增邮政快递安全中心专项经费，用于邮政安全中心工作</w:t>
      </w:r>
      <w:r>
        <w:rPr>
          <w:rFonts w:hint="eastAsia" w:ascii="仿宋" w:hAnsi="仿宋" w:eastAsia="仿宋" w:cs="仿宋"/>
          <w:sz w:val="32"/>
          <w:szCs w:val="32"/>
          <w:u w:val="none"/>
        </w:rPr>
        <w:t>。</w:t>
      </w:r>
    </w:p>
    <w:p w14:paraId="4F103C79">
      <w:pPr>
        <w:pStyle w:val="5"/>
        <w:numPr>
          <w:ilvl w:val="0"/>
          <w:numId w:val="2"/>
        </w:numPr>
        <w:tabs>
          <w:tab w:val="left" w:pos="4275"/>
        </w:tabs>
        <w:spacing w:after="0" w:line="60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lang w:val="en-US" w:eastAsia="zh-CN"/>
        </w:rPr>
        <w:t>住房保障支出</w:t>
      </w:r>
      <w:r>
        <w:rPr>
          <w:rFonts w:hint="eastAsia" w:ascii="楷体" w:hAnsi="楷体" w:eastAsia="楷体" w:cs="楷体"/>
          <w:b/>
          <w:bCs/>
          <w:sz w:val="32"/>
          <w:szCs w:val="32"/>
        </w:rPr>
        <w:t>（类）</w:t>
      </w:r>
    </w:p>
    <w:p w14:paraId="176EEA9A">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lang w:val="en-US" w:eastAsia="zh-CN"/>
        </w:rPr>
        <w:t>住房保障支出</w:t>
      </w:r>
      <w:r>
        <w:rPr>
          <w:rFonts w:hint="eastAsia" w:ascii="仿宋" w:hAnsi="仿宋" w:eastAsia="仿宋" w:cs="仿宋"/>
          <w:sz w:val="32"/>
          <w:szCs w:val="32"/>
          <w:u w:val="none"/>
        </w:rPr>
        <w:t>类</w:t>
      </w:r>
      <w:r>
        <w:rPr>
          <w:rFonts w:hint="eastAsia" w:ascii="仿宋" w:hAnsi="仿宋" w:eastAsia="仿宋" w:cs="仿宋"/>
          <w:sz w:val="32"/>
          <w:szCs w:val="32"/>
          <w:u w:val="none"/>
          <w:lang w:val="en-US" w:eastAsia="zh-CN"/>
        </w:rPr>
        <w:t>年初预算100.74</w:t>
      </w:r>
      <w:r>
        <w:rPr>
          <w:rFonts w:hint="eastAsia" w:ascii="仿宋" w:hAnsi="仿宋" w:eastAsia="仿宋" w:cs="仿宋"/>
          <w:sz w:val="32"/>
          <w:szCs w:val="32"/>
          <w:u w:val="none"/>
        </w:rPr>
        <w:t>万元，与上年相比</w:t>
      </w:r>
      <w:r>
        <w:rPr>
          <w:rFonts w:hint="eastAsia" w:ascii="仿宋" w:hAnsi="仿宋" w:eastAsia="仿宋" w:cs="仿宋"/>
          <w:sz w:val="32"/>
          <w:szCs w:val="32"/>
          <w:u w:val="none"/>
          <w:lang w:val="en-US" w:eastAsia="zh-CN"/>
        </w:rPr>
        <w:t>增加0.86</w:t>
      </w:r>
      <w:r>
        <w:rPr>
          <w:rFonts w:hint="eastAsia" w:ascii="仿宋" w:hAnsi="仿宋" w:eastAsia="仿宋" w:cs="仿宋"/>
          <w:sz w:val="32"/>
          <w:szCs w:val="32"/>
          <w:u w:val="none"/>
        </w:rPr>
        <w:t>万元</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其中：</w:t>
      </w:r>
    </w:p>
    <w:p w14:paraId="32709A4F">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1.住房改革支出（款）住房公积金（项）年初预算20.70</w:t>
      </w:r>
      <w:r>
        <w:rPr>
          <w:rFonts w:hint="eastAsia" w:ascii="仿宋" w:hAnsi="仿宋" w:eastAsia="仿宋" w:cs="仿宋"/>
          <w:sz w:val="32"/>
          <w:szCs w:val="32"/>
          <w:u w:val="none"/>
        </w:rPr>
        <w:t>万元，与上年相比</w:t>
      </w:r>
      <w:r>
        <w:rPr>
          <w:rFonts w:hint="eastAsia" w:ascii="仿宋" w:hAnsi="仿宋" w:eastAsia="仿宋" w:cs="仿宋"/>
          <w:sz w:val="32"/>
          <w:szCs w:val="32"/>
          <w:u w:val="none"/>
          <w:lang w:val="en-US" w:eastAsia="zh-CN"/>
        </w:rPr>
        <w:t>增加6.54</w:t>
      </w:r>
      <w:r>
        <w:rPr>
          <w:rFonts w:hint="eastAsia" w:ascii="仿宋" w:hAnsi="仿宋" w:eastAsia="仿宋" w:cs="仿宋"/>
          <w:sz w:val="32"/>
          <w:szCs w:val="32"/>
          <w:u w:val="none"/>
        </w:rPr>
        <w:t>万元</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增长6.94</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本年度部门新考录人员2人</w:t>
      </w:r>
      <w:r>
        <w:rPr>
          <w:rFonts w:hint="eastAsia" w:ascii="仿宋" w:hAnsi="仿宋" w:eastAsia="仿宋" w:cs="仿宋"/>
          <w:sz w:val="32"/>
          <w:szCs w:val="32"/>
          <w:u w:val="none"/>
        </w:rPr>
        <w:t>。</w:t>
      </w:r>
    </w:p>
    <w:p w14:paraId="7ACCBEBB">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14:paraId="77C21434">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交通运输局2026</w:t>
      </w:r>
      <w:r>
        <w:rPr>
          <w:rFonts w:hint="eastAsia" w:ascii="仿宋" w:hAnsi="仿宋" w:eastAsia="仿宋" w:cs="仿宋"/>
          <w:sz w:val="32"/>
          <w:szCs w:val="32"/>
          <w:u w:val="none"/>
        </w:rPr>
        <w:t>年度一般公共预算财政拨款基本支出预算</w:t>
      </w:r>
      <w:r>
        <w:rPr>
          <w:rFonts w:hint="eastAsia" w:ascii="仿宋" w:hAnsi="仿宋" w:eastAsia="仿宋" w:cs="仿宋"/>
          <w:sz w:val="32"/>
          <w:szCs w:val="32"/>
          <w:u w:val="none"/>
          <w:lang w:val="en-US" w:eastAsia="zh-CN"/>
        </w:rPr>
        <w:t>1390.74</w:t>
      </w:r>
      <w:r>
        <w:rPr>
          <w:rFonts w:hint="eastAsia" w:ascii="仿宋" w:hAnsi="仿宋" w:eastAsia="仿宋" w:cs="仿宋"/>
          <w:sz w:val="32"/>
          <w:szCs w:val="32"/>
          <w:u w:val="none"/>
        </w:rPr>
        <w:t>万元，其中：</w:t>
      </w:r>
    </w:p>
    <w:p w14:paraId="103EEDEA">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3" w:firstLineChars="200"/>
        <w:textAlignment w:val="auto"/>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none"/>
          <w:lang w:val="en-US" w:eastAsia="zh-CN"/>
        </w:rPr>
        <w:t>1291.84</w:t>
      </w:r>
      <w:r>
        <w:rPr>
          <w:rFonts w:hint="eastAsia" w:eastAsia="仿宋_GB2312" w:cs="仿宋"/>
          <w:b/>
          <w:bCs/>
          <w:sz w:val="32"/>
          <w:szCs w:val="32"/>
        </w:rPr>
        <w:t>万元</w:t>
      </w:r>
      <w:r>
        <w:rPr>
          <w:rFonts w:hint="eastAsia" w:eastAsia="仿宋_GB2312" w:cs="仿宋"/>
          <w:sz w:val="32"/>
          <w:szCs w:val="32"/>
        </w:rPr>
        <w:t>。</w:t>
      </w:r>
      <w:r>
        <w:rPr>
          <w:rFonts w:hint="eastAsia" w:ascii="仿宋" w:hAnsi="仿宋" w:eastAsia="仿宋" w:cs="仿宋"/>
          <w:sz w:val="32"/>
          <w:szCs w:val="32"/>
        </w:rPr>
        <w:t>主要包括：基本工资</w:t>
      </w:r>
      <w:r>
        <w:rPr>
          <w:rFonts w:hint="eastAsia" w:ascii="仿宋" w:hAnsi="仿宋" w:eastAsia="仿宋" w:cs="仿宋"/>
          <w:sz w:val="32"/>
          <w:szCs w:val="32"/>
          <w:lang w:val="en-US" w:eastAsia="zh-CN"/>
        </w:rPr>
        <w:t>427.48万元</w:t>
      </w:r>
      <w:r>
        <w:rPr>
          <w:rFonts w:hint="eastAsia" w:ascii="仿宋" w:hAnsi="仿宋" w:eastAsia="仿宋" w:cs="仿宋"/>
          <w:sz w:val="32"/>
          <w:szCs w:val="32"/>
        </w:rPr>
        <w:t>、津贴补贴</w:t>
      </w:r>
      <w:r>
        <w:rPr>
          <w:rFonts w:hint="eastAsia" w:ascii="仿宋" w:hAnsi="仿宋" w:eastAsia="仿宋" w:cs="仿宋"/>
          <w:sz w:val="32"/>
          <w:szCs w:val="32"/>
          <w:lang w:val="en-US" w:eastAsia="zh-CN"/>
        </w:rPr>
        <w:t>335.78万元</w:t>
      </w:r>
      <w:r>
        <w:rPr>
          <w:rFonts w:hint="eastAsia" w:ascii="仿宋" w:hAnsi="仿宋" w:eastAsia="仿宋" w:cs="仿宋"/>
          <w:sz w:val="32"/>
          <w:szCs w:val="32"/>
        </w:rPr>
        <w:t>、奖金</w:t>
      </w:r>
      <w:r>
        <w:rPr>
          <w:rFonts w:hint="eastAsia" w:ascii="仿宋" w:hAnsi="仿宋" w:eastAsia="仿宋" w:cs="仿宋"/>
          <w:sz w:val="32"/>
          <w:szCs w:val="32"/>
          <w:lang w:val="en-US" w:eastAsia="zh-CN"/>
        </w:rPr>
        <w:t>68.37万元</w:t>
      </w:r>
      <w:r>
        <w:rPr>
          <w:rFonts w:hint="eastAsia" w:ascii="仿宋" w:hAnsi="仿宋" w:eastAsia="仿宋" w:cs="仿宋"/>
          <w:sz w:val="32"/>
          <w:szCs w:val="32"/>
        </w:rPr>
        <w:t>、绩效工资</w:t>
      </w:r>
      <w:r>
        <w:rPr>
          <w:rFonts w:hint="eastAsia" w:ascii="仿宋" w:hAnsi="仿宋" w:eastAsia="仿宋" w:cs="仿宋"/>
          <w:sz w:val="32"/>
          <w:szCs w:val="32"/>
          <w:lang w:val="en-US" w:eastAsia="zh-CN"/>
        </w:rPr>
        <w:t>30.02万元</w:t>
      </w:r>
      <w:r>
        <w:rPr>
          <w:rFonts w:hint="eastAsia" w:ascii="仿宋" w:hAnsi="仿宋" w:eastAsia="仿宋" w:cs="仿宋"/>
          <w:sz w:val="32"/>
          <w:szCs w:val="32"/>
        </w:rPr>
        <w:t>、住房公积金</w:t>
      </w:r>
      <w:r>
        <w:rPr>
          <w:rFonts w:hint="eastAsia" w:ascii="仿宋" w:hAnsi="仿宋" w:eastAsia="仿宋" w:cs="仿宋"/>
          <w:sz w:val="32"/>
          <w:szCs w:val="32"/>
          <w:lang w:val="en-US" w:eastAsia="zh-CN"/>
        </w:rPr>
        <w:t>100.74万元</w:t>
      </w:r>
      <w:r>
        <w:rPr>
          <w:rFonts w:hint="eastAsia" w:ascii="仿宋" w:hAnsi="仿宋" w:eastAsia="仿宋" w:cs="仿宋"/>
          <w:sz w:val="32"/>
          <w:szCs w:val="32"/>
        </w:rPr>
        <w:t>、医疗费</w:t>
      </w:r>
      <w:r>
        <w:rPr>
          <w:rFonts w:hint="eastAsia" w:ascii="仿宋" w:hAnsi="仿宋" w:eastAsia="仿宋" w:cs="仿宋"/>
          <w:sz w:val="32"/>
          <w:szCs w:val="32"/>
          <w:lang w:val="en-US" w:eastAsia="zh-CN"/>
        </w:rPr>
        <w:t>71.65万元</w:t>
      </w:r>
      <w:r>
        <w:rPr>
          <w:rFonts w:hint="eastAsia" w:ascii="仿宋" w:hAnsi="仿宋" w:eastAsia="仿宋" w:cs="仿宋"/>
          <w:sz w:val="32"/>
          <w:szCs w:val="32"/>
        </w:rPr>
        <w:t>、其他工资福利支出</w:t>
      </w:r>
      <w:r>
        <w:rPr>
          <w:rFonts w:hint="eastAsia" w:ascii="仿宋" w:hAnsi="仿宋" w:eastAsia="仿宋" w:cs="仿宋"/>
          <w:sz w:val="32"/>
          <w:szCs w:val="32"/>
          <w:lang w:val="en-US" w:eastAsia="zh-CN"/>
        </w:rPr>
        <w:t>21.88万元</w:t>
      </w:r>
      <w:r>
        <w:rPr>
          <w:rFonts w:hint="eastAsia" w:ascii="仿宋" w:hAnsi="仿宋" w:eastAsia="仿宋" w:cs="仿宋"/>
          <w:sz w:val="32"/>
          <w:szCs w:val="32"/>
        </w:rPr>
        <w:t>、其他社会保障缴费</w:t>
      </w:r>
      <w:r>
        <w:rPr>
          <w:rFonts w:hint="eastAsia" w:ascii="仿宋" w:hAnsi="仿宋" w:eastAsia="仿宋" w:cs="仿宋"/>
          <w:sz w:val="32"/>
          <w:szCs w:val="32"/>
          <w:lang w:val="en-US" w:eastAsia="zh-CN"/>
        </w:rPr>
        <w:t>5.19万元、机关事业单位基本养老保险缴费123.65万元、工会经费19.33万元、其他商品和福利支出5.97万元、</w:t>
      </w:r>
      <w:r>
        <w:rPr>
          <w:rFonts w:hint="eastAsia" w:ascii="仿宋" w:hAnsi="仿宋" w:eastAsia="仿宋" w:cs="仿宋"/>
          <w:sz w:val="32"/>
          <w:szCs w:val="32"/>
        </w:rPr>
        <w:t>退休费</w:t>
      </w:r>
      <w:r>
        <w:rPr>
          <w:rFonts w:hint="eastAsia" w:ascii="仿宋" w:hAnsi="仿宋" w:eastAsia="仿宋" w:cs="仿宋"/>
          <w:sz w:val="32"/>
          <w:szCs w:val="32"/>
          <w:lang w:val="en-US" w:eastAsia="zh-CN"/>
        </w:rPr>
        <w:t>65.33万元</w:t>
      </w:r>
      <w:r>
        <w:rPr>
          <w:rFonts w:hint="eastAsia" w:ascii="仿宋" w:hAnsi="仿宋" w:eastAsia="仿宋" w:cs="仿宋"/>
          <w:sz w:val="32"/>
          <w:szCs w:val="32"/>
        </w:rPr>
        <w:t>、</w:t>
      </w:r>
      <w:r>
        <w:rPr>
          <w:rFonts w:hint="eastAsia" w:ascii="仿宋" w:hAnsi="仿宋" w:eastAsia="仿宋" w:cs="仿宋"/>
          <w:sz w:val="32"/>
          <w:szCs w:val="32"/>
          <w:lang w:val="en-US" w:eastAsia="zh-CN"/>
        </w:rPr>
        <w:t>生活补助16.45万元</w:t>
      </w:r>
      <w:r>
        <w:rPr>
          <w:rFonts w:hint="eastAsia" w:ascii="仿宋" w:hAnsi="仿宋" w:eastAsia="仿宋" w:cs="仿宋"/>
          <w:sz w:val="32"/>
          <w:szCs w:val="32"/>
        </w:rPr>
        <w:t>等。</w:t>
      </w:r>
    </w:p>
    <w:p w14:paraId="7C68DE63">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3" w:firstLineChars="200"/>
        <w:textAlignment w:val="auto"/>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none"/>
          <w:lang w:val="en-US" w:eastAsia="zh-CN"/>
        </w:rPr>
        <w:t>98.90</w:t>
      </w:r>
      <w:r>
        <w:rPr>
          <w:rFonts w:hint="eastAsia" w:eastAsia="仿宋_GB2312" w:cs="仿宋"/>
          <w:b/>
          <w:bCs/>
          <w:sz w:val="32"/>
          <w:szCs w:val="32"/>
        </w:rPr>
        <w:t>万元</w:t>
      </w:r>
      <w:r>
        <w:rPr>
          <w:rFonts w:hint="eastAsia" w:eastAsia="仿宋_GB2312" w:cs="仿宋"/>
          <w:sz w:val="32"/>
          <w:szCs w:val="32"/>
        </w:rPr>
        <w:t>。</w:t>
      </w:r>
      <w:r>
        <w:rPr>
          <w:rFonts w:hint="eastAsia" w:ascii="仿宋" w:hAnsi="仿宋" w:eastAsia="仿宋" w:cs="仿宋"/>
          <w:sz w:val="32"/>
          <w:szCs w:val="32"/>
        </w:rPr>
        <w:t>主要包括：办公费</w:t>
      </w:r>
      <w:r>
        <w:rPr>
          <w:rFonts w:hint="eastAsia" w:ascii="仿宋" w:hAnsi="仿宋" w:eastAsia="仿宋" w:cs="仿宋"/>
          <w:sz w:val="32"/>
          <w:szCs w:val="32"/>
          <w:lang w:val="en-US" w:eastAsia="zh-CN"/>
        </w:rPr>
        <w:t>13.60万元</w:t>
      </w:r>
      <w:r>
        <w:rPr>
          <w:rFonts w:hint="eastAsia" w:ascii="仿宋" w:hAnsi="仿宋" w:eastAsia="仿宋" w:cs="仿宋"/>
          <w:sz w:val="32"/>
          <w:szCs w:val="32"/>
        </w:rPr>
        <w:t>、邮电费</w:t>
      </w:r>
      <w:r>
        <w:rPr>
          <w:rFonts w:hint="eastAsia" w:ascii="仿宋" w:hAnsi="仿宋" w:eastAsia="仿宋" w:cs="仿宋"/>
          <w:sz w:val="32"/>
          <w:szCs w:val="32"/>
          <w:lang w:val="en-US" w:eastAsia="zh-CN"/>
        </w:rPr>
        <w:t>2.4万元</w:t>
      </w:r>
      <w:r>
        <w:rPr>
          <w:rFonts w:hint="eastAsia" w:ascii="仿宋" w:hAnsi="仿宋" w:eastAsia="仿宋" w:cs="仿宋"/>
          <w:sz w:val="32"/>
          <w:szCs w:val="32"/>
        </w:rPr>
        <w:t>、取暖费</w:t>
      </w:r>
      <w:r>
        <w:rPr>
          <w:rFonts w:hint="eastAsia" w:ascii="仿宋" w:hAnsi="仿宋" w:eastAsia="仿宋" w:cs="仿宋"/>
          <w:sz w:val="32"/>
          <w:szCs w:val="32"/>
          <w:lang w:val="en-US" w:eastAsia="zh-CN"/>
        </w:rPr>
        <w:t>53.70万元</w:t>
      </w:r>
      <w:r>
        <w:rPr>
          <w:rFonts w:hint="eastAsia" w:ascii="仿宋" w:hAnsi="仿宋" w:eastAsia="仿宋" w:cs="仿宋"/>
          <w:sz w:val="32"/>
          <w:szCs w:val="32"/>
        </w:rPr>
        <w:t>、物业管理费</w:t>
      </w:r>
      <w:r>
        <w:rPr>
          <w:rFonts w:hint="eastAsia" w:ascii="仿宋" w:hAnsi="仿宋" w:eastAsia="仿宋" w:cs="仿宋"/>
          <w:sz w:val="32"/>
          <w:szCs w:val="32"/>
          <w:lang w:val="en-US" w:eastAsia="zh-CN"/>
        </w:rPr>
        <w:t>8.35万元</w:t>
      </w:r>
      <w:r>
        <w:rPr>
          <w:rFonts w:hint="eastAsia" w:ascii="仿宋" w:hAnsi="仿宋" w:eastAsia="仿宋" w:cs="仿宋"/>
          <w:sz w:val="32"/>
          <w:szCs w:val="32"/>
        </w:rPr>
        <w:t>、差旅费</w:t>
      </w:r>
      <w:r>
        <w:rPr>
          <w:rFonts w:hint="eastAsia" w:ascii="仿宋" w:hAnsi="仿宋" w:eastAsia="仿宋" w:cs="仿宋"/>
          <w:sz w:val="32"/>
          <w:szCs w:val="32"/>
          <w:lang w:val="en-US" w:eastAsia="zh-CN"/>
        </w:rPr>
        <w:t>3.1万元</w:t>
      </w:r>
      <w:r>
        <w:rPr>
          <w:rFonts w:hint="eastAsia" w:ascii="仿宋" w:hAnsi="仿宋" w:eastAsia="仿宋" w:cs="仿宋"/>
          <w:sz w:val="32"/>
          <w:szCs w:val="32"/>
        </w:rPr>
        <w:t>、公务用车运行维护费</w:t>
      </w:r>
      <w:r>
        <w:rPr>
          <w:rFonts w:hint="eastAsia" w:ascii="仿宋" w:hAnsi="仿宋" w:eastAsia="仿宋" w:cs="仿宋"/>
          <w:sz w:val="32"/>
          <w:szCs w:val="32"/>
          <w:lang w:val="en-US" w:eastAsia="zh-CN"/>
        </w:rPr>
        <w:t>7.85万元</w:t>
      </w:r>
      <w:r>
        <w:rPr>
          <w:rFonts w:hint="eastAsia" w:ascii="仿宋" w:hAnsi="仿宋" w:eastAsia="仿宋" w:cs="仿宋"/>
          <w:sz w:val="32"/>
          <w:szCs w:val="32"/>
        </w:rPr>
        <w:t>、其他交通费用</w:t>
      </w:r>
      <w:r>
        <w:rPr>
          <w:rFonts w:hint="eastAsia" w:ascii="仿宋" w:hAnsi="仿宋" w:eastAsia="仿宋" w:cs="仿宋"/>
          <w:sz w:val="32"/>
          <w:szCs w:val="32"/>
          <w:lang w:val="en-US" w:eastAsia="zh-CN"/>
        </w:rPr>
        <w:t>9.9万元</w:t>
      </w:r>
      <w:r>
        <w:rPr>
          <w:rFonts w:hint="eastAsia" w:ascii="仿宋" w:hAnsi="仿宋" w:eastAsia="仿宋" w:cs="仿宋"/>
          <w:sz w:val="32"/>
          <w:szCs w:val="32"/>
        </w:rPr>
        <w:t>等。</w:t>
      </w:r>
    </w:p>
    <w:p w14:paraId="527F793B">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14:paraId="7BF605AE">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交通运输局2026</w:t>
      </w:r>
      <w:r>
        <w:rPr>
          <w:rFonts w:hint="eastAsia" w:ascii="仿宋" w:hAnsi="仿宋" w:eastAsia="仿宋" w:cs="仿宋"/>
          <w:sz w:val="32"/>
          <w:szCs w:val="32"/>
          <w:u w:val="none"/>
        </w:rPr>
        <w:t>年度一般公共预算拨款安排的“三公”经费预算支出</w:t>
      </w:r>
      <w:r>
        <w:rPr>
          <w:rFonts w:hint="eastAsia" w:ascii="仿宋" w:hAnsi="仿宋" w:eastAsia="仿宋" w:cs="仿宋"/>
          <w:sz w:val="32"/>
          <w:szCs w:val="32"/>
          <w:u w:val="none"/>
          <w:lang w:val="en-US" w:eastAsia="zh-CN"/>
        </w:rPr>
        <w:t>7.85</w:t>
      </w:r>
      <w:r>
        <w:rPr>
          <w:rFonts w:hint="eastAsia" w:ascii="仿宋" w:hAnsi="仿宋" w:eastAsia="仿宋" w:cs="仿宋"/>
          <w:sz w:val="32"/>
          <w:szCs w:val="32"/>
          <w:u w:val="none"/>
        </w:rPr>
        <w:t>万元，其中因公出国（境）费支出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%；公务用车购置及运行维护费支出</w:t>
      </w:r>
      <w:r>
        <w:rPr>
          <w:rFonts w:hint="eastAsia" w:ascii="仿宋" w:hAnsi="仿宋" w:eastAsia="仿宋" w:cs="仿宋"/>
          <w:sz w:val="32"/>
          <w:szCs w:val="32"/>
          <w:u w:val="none"/>
          <w:lang w:val="en-US" w:eastAsia="zh-CN"/>
        </w:rPr>
        <w:t>7.85</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100</w:t>
      </w:r>
      <w:r>
        <w:rPr>
          <w:rFonts w:hint="eastAsia" w:ascii="仿宋" w:hAnsi="仿宋" w:eastAsia="仿宋" w:cs="仿宋"/>
          <w:sz w:val="32"/>
          <w:szCs w:val="32"/>
          <w:u w:val="none"/>
        </w:rPr>
        <w:t xml:space="preserve"> %；公务接待费支出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%。具体情况如下：</w:t>
      </w:r>
    </w:p>
    <w:p w14:paraId="30CC0D08">
      <w:pPr>
        <w:keepNext w:val="0"/>
        <w:keepLines w:val="0"/>
        <w:pageBreakBefore w:val="0"/>
        <w:widowControl w:val="0"/>
        <w:kinsoku/>
        <w:wordWrap/>
        <w:overflowPunct/>
        <w:topLinePunct w:val="0"/>
        <w:autoSpaceDE/>
        <w:autoSpaceDN/>
        <w:bidi w:val="0"/>
        <w:adjustRightInd/>
        <w:snapToGrid/>
        <w:spacing w:line="560" w:lineRule="exact"/>
        <w:ind w:left="29" w:right="96" w:firstLine="650"/>
        <w:textAlignment w:val="auto"/>
        <w:rPr>
          <w:rFonts w:hint="eastAsia" w:ascii="仿宋" w:hAnsi="仿宋" w:eastAsia="仿宋" w:cs="仿宋"/>
          <w:sz w:val="32"/>
          <w:szCs w:val="32"/>
          <w:u w:val="none"/>
        </w:rPr>
      </w:pPr>
      <w:r>
        <w:rPr>
          <w:rFonts w:hint="eastAsia" w:ascii="仿宋" w:hAnsi="仿宋" w:eastAsia="仿宋" w:cs="仿宋"/>
          <w:sz w:val="32"/>
          <w:szCs w:val="32"/>
          <w:u w:val="none"/>
        </w:rPr>
        <w:t>一般公共预算拨款安排的“三公”经费预算支出</w:t>
      </w:r>
      <w:r>
        <w:rPr>
          <w:rFonts w:hint="eastAsia" w:ascii="仿宋" w:hAnsi="仿宋" w:eastAsia="仿宋" w:cs="仿宋"/>
          <w:sz w:val="32"/>
          <w:szCs w:val="32"/>
          <w:u w:val="none"/>
          <w:lang w:val="en-US" w:eastAsia="zh-CN"/>
        </w:rPr>
        <w:t>7.85</w:t>
      </w:r>
      <w:r>
        <w:rPr>
          <w:rFonts w:hint="eastAsia" w:ascii="仿宋" w:hAnsi="仿宋" w:eastAsia="仿宋" w:cs="仿宋"/>
          <w:spacing w:val="-4"/>
          <w:sz w:val="32"/>
          <w:szCs w:val="32"/>
          <w:u w:val="none"/>
        </w:rPr>
        <w:t>万元，比上年预</w:t>
      </w:r>
      <w:r>
        <w:rPr>
          <w:rFonts w:hint="eastAsia" w:ascii="仿宋" w:hAnsi="仿宋" w:eastAsia="仿宋" w:cs="仿宋"/>
          <w:spacing w:val="-6"/>
          <w:sz w:val="32"/>
          <w:szCs w:val="32"/>
          <w:u w:val="none"/>
        </w:rPr>
        <w:t>算减少</w:t>
      </w:r>
      <w:r>
        <w:rPr>
          <w:rFonts w:hint="eastAsia" w:ascii="仿宋" w:hAnsi="仿宋" w:eastAsia="仿宋" w:cs="仿宋"/>
          <w:sz w:val="32"/>
          <w:szCs w:val="32"/>
          <w:u w:val="none"/>
          <w:lang w:val="en-US" w:eastAsia="zh-CN"/>
        </w:rPr>
        <w:t>0.7</w:t>
      </w:r>
      <w:r>
        <w:rPr>
          <w:rFonts w:hint="eastAsia" w:ascii="仿宋" w:hAnsi="仿宋" w:eastAsia="仿宋" w:cs="仿宋"/>
          <w:spacing w:val="-6"/>
          <w:sz w:val="32"/>
          <w:szCs w:val="32"/>
          <w:u w:val="none"/>
        </w:rPr>
        <w:t>万元，</w:t>
      </w:r>
      <w:r>
        <w:rPr>
          <w:rFonts w:hint="eastAsia" w:ascii="仿宋" w:hAnsi="仿宋" w:eastAsia="仿宋" w:cs="仿宋"/>
          <w:sz w:val="32"/>
          <w:szCs w:val="32"/>
          <w:u w:val="none"/>
        </w:rPr>
        <w:t>减少</w:t>
      </w:r>
      <w:r>
        <w:rPr>
          <w:rFonts w:hint="eastAsia" w:ascii="仿宋" w:hAnsi="仿宋" w:eastAsia="仿宋" w:cs="仿宋"/>
          <w:sz w:val="32"/>
          <w:szCs w:val="32"/>
          <w:u w:val="none"/>
          <w:lang w:val="en-US" w:eastAsia="zh-CN"/>
        </w:rPr>
        <w:t>9.79</w:t>
      </w:r>
      <w:r>
        <w:rPr>
          <w:rFonts w:hint="eastAsia" w:ascii="仿宋" w:hAnsi="仿宋" w:eastAsia="仿宋" w:cs="仿宋"/>
          <w:sz w:val="32"/>
          <w:szCs w:val="32"/>
          <w:u w:val="none"/>
        </w:rPr>
        <w:t xml:space="preserve"> %</w:t>
      </w:r>
      <w:r>
        <w:rPr>
          <w:rFonts w:hint="eastAsia" w:ascii="仿宋" w:hAnsi="仿宋" w:eastAsia="仿宋" w:cs="仿宋"/>
          <w:spacing w:val="-6"/>
          <w:sz w:val="32"/>
          <w:szCs w:val="32"/>
          <w:u w:val="none"/>
        </w:rPr>
        <w:t>；</w:t>
      </w:r>
      <w:r>
        <w:rPr>
          <w:rFonts w:hint="eastAsia" w:ascii="仿宋" w:hAnsi="仿宋" w:eastAsia="仿宋" w:cs="仿宋"/>
          <w:spacing w:val="-4"/>
          <w:sz w:val="32"/>
          <w:szCs w:val="32"/>
          <w:u w:val="none"/>
        </w:rPr>
        <w:t>其中：</w:t>
      </w:r>
    </w:p>
    <w:p w14:paraId="7B0D0E6D">
      <w:pPr>
        <w:pStyle w:val="5"/>
        <w:keepNext w:val="0"/>
        <w:keepLines w:val="0"/>
        <w:pageBreakBefore w:val="0"/>
        <w:widowControl w:val="0"/>
        <w:kinsoku/>
        <w:wordWrap/>
        <w:overflowPunct/>
        <w:topLinePunct w:val="0"/>
        <w:autoSpaceDE/>
        <w:autoSpaceDN/>
        <w:bidi w:val="0"/>
        <w:adjustRightInd/>
        <w:snapToGrid/>
        <w:spacing w:after="0" w:line="560" w:lineRule="exact"/>
        <w:ind w:left="17" w:leftChars="8"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1．因公出国（境）费预算支出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万元，比上年预算增加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万元，主要原因</w:t>
      </w:r>
      <w:r>
        <w:rPr>
          <w:rFonts w:hint="eastAsia" w:ascii="仿宋" w:hAnsi="仿宋" w:eastAsia="仿宋" w:cs="仿宋"/>
          <w:sz w:val="32"/>
          <w:szCs w:val="32"/>
          <w:u w:val="none"/>
          <w:lang w:val="en-US" w:eastAsia="zh-CN"/>
        </w:rPr>
        <w:t>是无此项内容</w:t>
      </w:r>
      <w:r>
        <w:rPr>
          <w:rFonts w:hint="eastAsia" w:ascii="仿宋" w:hAnsi="仿宋" w:eastAsia="仿宋" w:cs="仿宋"/>
          <w:sz w:val="32"/>
          <w:szCs w:val="32"/>
          <w:u w:val="none"/>
        </w:rPr>
        <w:t>。</w:t>
      </w:r>
    </w:p>
    <w:p w14:paraId="7CEDD0AE">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2．公务用车购置及运行维护费预算支出</w:t>
      </w:r>
      <w:r>
        <w:rPr>
          <w:rFonts w:hint="eastAsia" w:ascii="仿宋" w:hAnsi="仿宋" w:eastAsia="仿宋" w:cs="仿宋"/>
          <w:sz w:val="32"/>
          <w:szCs w:val="32"/>
          <w:u w:val="none"/>
        </w:rPr>
        <w:tab/>
      </w:r>
      <w:r>
        <w:rPr>
          <w:rFonts w:hint="eastAsia" w:ascii="仿宋" w:hAnsi="仿宋" w:eastAsia="仿宋" w:cs="仿宋"/>
          <w:sz w:val="32"/>
          <w:szCs w:val="32"/>
          <w:u w:val="none"/>
          <w:lang w:val="en-US" w:eastAsia="zh-CN"/>
        </w:rPr>
        <w:t>7.85</w:t>
      </w:r>
      <w:r>
        <w:rPr>
          <w:rFonts w:hint="eastAsia" w:ascii="仿宋" w:hAnsi="仿宋" w:eastAsia="仿宋" w:cs="仿宋"/>
          <w:sz w:val="32"/>
          <w:szCs w:val="32"/>
          <w:u w:val="none"/>
        </w:rPr>
        <w:t>万元。其中：</w:t>
      </w:r>
    </w:p>
    <w:p w14:paraId="7EAA024C">
      <w:pPr>
        <w:pStyle w:val="5"/>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（1）公务用车购置预算支出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万元，比上年预算增加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万元，主要原因</w:t>
      </w:r>
      <w:r>
        <w:rPr>
          <w:rFonts w:hint="eastAsia" w:ascii="仿宋" w:hAnsi="仿宋" w:eastAsia="仿宋" w:cs="仿宋"/>
          <w:sz w:val="32"/>
          <w:szCs w:val="32"/>
          <w:u w:val="none"/>
          <w:lang w:val="en-US" w:eastAsia="zh-CN"/>
        </w:rPr>
        <w:t>是无此项内容</w:t>
      </w:r>
      <w:r>
        <w:rPr>
          <w:rFonts w:hint="eastAsia" w:ascii="仿宋" w:hAnsi="仿宋" w:eastAsia="仿宋" w:cs="仿宋"/>
          <w:sz w:val="32"/>
          <w:szCs w:val="32"/>
          <w:u w:val="none"/>
        </w:rPr>
        <w:t>。</w:t>
      </w:r>
    </w:p>
    <w:p w14:paraId="0BF09DAD">
      <w:pPr>
        <w:pStyle w:val="5"/>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（2）公务用车运行维护费预算支出</w:t>
      </w:r>
      <w:r>
        <w:rPr>
          <w:rFonts w:hint="eastAsia" w:ascii="仿宋" w:hAnsi="仿宋" w:eastAsia="仿宋" w:cs="仿宋"/>
          <w:sz w:val="32"/>
          <w:szCs w:val="32"/>
          <w:u w:val="none"/>
          <w:lang w:val="en-US" w:eastAsia="zh-CN"/>
        </w:rPr>
        <w:t>7.85</w:t>
      </w:r>
      <w:r>
        <w:rPr>
          <w:rFonts w:hint="eastAsia" w:ascii="仿宋" w:hAnsi="仿宋" w:eastAsia="仿宋" w:cs="仿宋"/>
          <w:sz w:val="32"/>
          <w:szCs w:val="32"/>
          <w:u w:val="none"/>
        </w:rPr>
        <w:t>万元，比上年预算减少</w:t>
      </w:r>
      <w:r>
        <w:rPr>
          <w:rFonts w:hint="eastAsia" w:ascii="仿宋" w:hAnsi="仿宋" w:eastAsia="仿宋" w:cs="仿宋"/>
          <w:sz w:val="32"/>
          <w:szCs w:val="32"/>
          <w:u w:val="none"/>
          <w:lang w:val="en-US" w:eastAsia="zh-CN"/>
        </w:rPr>
        <w:t>0.7</w:t>
      </w:r>
      <w:r>
        <w:rPr>
          <w:rFonts w:hint="eastAsia" w:ascii="仿宋" w:hAnsi="仿宋" w:eastAsia="仿宋" w:cs="仿宋"/>
          <w:sz w:val="32"/>
          <w:szCs w:val="32"/>
          <w:u w:val="none"/>
        </w:rPr>
        <w:t>万元，主要原因</w:t>
      </w:r>
      <w:r>
        <w:rPr>
          <w:rFonts w:hint="eastAsia" w:ascii="仿宋" w:hAnsi="仿宋" w:eastAsia="仿宋" w:cs="仿宋"/>
          <w:sz w:val="32"/>
          <w:szCs w:val="32"/>
          <w:u w:val="none"/>
          <w:lang w:val="en-US" w:eastAsia="zh-CN"/>
        </w:rPr>
        <w:t>本年度三公预算减少，公务用车运行维护费减少</w:t>
      </w:r>
      <w:r>
        <w:rPr>
          <w:rFonts w:hint="eastAsia" w:ascii="仿宋" w:hAnsi="仿宋" w:eastAsia="仿宋" w:cs="仿宋"/>
          <w:sz w:val="32"/>
          <w:szCs w:val="32"/>
          <w:u w:val="none"/>
        </w:rPr>
        <w:t>。</w:t>
      </w:r>
    </w:p>
    <w:p w14:paraId="757E7D31">
      <w:pPr>
        <w:pStyle w:val="5"/>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3．公务接待费预算支出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万元，比上年预算增加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万元，主要原因</w:t>
      </w:r>
      <w:r>
        <w:rPr>
          <w:rFonts w:hint="eastAsia" w:ascii="仿宋" w:hAnsi="仿宋" w:eastAsia="仿宋" w:cs="仿宋"/>
          <w:sz w:val="32"/>
          <w:szCs w:val="32"/>
          <w:u w:val="none"/>
          <w:lang w:val="en-US" w:eastAsia="zh-CN"/>
        </w:rPr>
        <w:t>是无此项内容</w:t>
      </w:r>
      <w:r>
        <w:rPr>
          <w:rFonts w:hint="eastAsia" w:ascii="仿宋" w:hAnsi="仿宋" w:eastAsia="仿宋" w:cs="仿宋"/>
          <w:sz w:val="32"/>
          <w:szCs w:val="32"/>
          <w:u w:val="none"/>
        </w:rPr>
        <w:t>。</w:t>
      </w:r>
    </w:p>
    <w:p w14:paraId="5997897A">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14:paraId="327E16D3">
      <w:pPr>
        <w:pStyle w:val="5"/>
        <w:keepNext w:val="0"/>
        <w:keepLines w:val="0"/>
        <w:pageBreakBefore w:val="0"/>
        <w:widowControl w:val="0"/>
        <w:tabs>
          <w:tab w:val="left" w:pos="1389"/>
          <w:tab w:val="left" w:pos="4911"/>
          <w:tab w:val="left" w:pos="5991"/>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rPr>
      </w:pPr>
      <w:r>
        <w:rPr>
          <w:rFonts w:hint="eastAsia" w:ascii="仿宋" w:hAnsi="仿宋" w:eastAsia="仿宋" w:cs="仿宋"/>
          <w:sz w:val="32"/>
          <w:szCs w:val="32"/>
          <w:u w:val="none"/>
          <w:lang w:val="en-US" w:eastAsia="zh-CN"/>
        </w:rPr>
        <w:t>交通运输局2026</w:t>
      </w:r>
      <w:r>
        <w:rPr>
          <w:rFonts w:hint="eastAsia" w:ascii="仿宋" w:hAnsi="仿宋" w:eastAsia="仿宋" w:cs="仿宋"/>
          <w:sz w:val="32"/>
          <w:szCs w:val="32"/>
          <w:u w:val="none"/>
        </w:rPr>
        <w:t>年度政府性基金支出预算支出</w:t>
      </w:r>
      <w:r>
        <w:rPr>
          <w:rFonts w:hint="eastAsia" w:ascii="仿宋" w:hAnsi="仿宋" w:eastAsia="仿宋" w:cs="仿宋"/>
          <w:sz w:val="32"/>
          <w:szCs w:val="32"/>
          <w:u w:val="none"/>
          <w:lang w:val="en-US" w:eastAsia="zh-CN"/>
        </w:rPr>
        <w:t>225.38</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6176.47</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96.48</w:t>
      </w:r>
      <w:r>
        <w:rPr>
          <w:rFonts w:hint="eastAsia" w:ascii="仿宋" w:hAnsi="仿宋" w:eastAsia="仿宋" w:cs="仿宋"/>
          <w:sz w:val="32"/>
          <w:szCs w:val="32"/>
          <w:u w:val="none"/>
        </w:rPr>
        <w:t>%。主要原因是</w:t>
      </w:r>
      <w:r>
        <w:rPr>
          <w:rFonts w:hint="eastAsia" w:ascii="仿宋" w:hAnsi="仿宋" w:eastAsia="仿宋" w:cs="仿宋"/>
          <w:b w:val="0"/>
          <w:bCs w:val="0"/>
          <w:sz w:val="32"/>
          <w:szCs w:val="32"/>
          <w:u w:val="none"/>
          <w:lang w:val="en-US" w:eastAsia="zh-CN"/>
        </w:rPr>
        <w:t>本年度街巷硬化本金及利息已偿还，政府性基金预算减少较多。</w:t>
      </w:r>
    </w:p>
    <w:p w14:paraId="5784E2E5">
      <w:pPr>
        <w:pStyle w:val="5"/>
        <w:keepNext w:val="0"/>
        <w:keepLines w:val="0"/>
        <w:pageBreakBefore w:val="0"/>
        <w:widowControl w:val="0"/>
        <w:kinsoku/>
        <w:wordWrap/>
        <w:overflowPunct/>
        <w:topLinePunct w:val="0"/>
        <w:autoSpaceDE/>
        <w:autoSpaceDN/>
        <w:bidi w:val="0"/>
        <w:adjustRightInd/>
        <w:snapToGrid/>
        <w:spacing w:after="0" w:line="560" w:lineRule="exact"/>
        <w:ind w:left="17" w:leftChars="8"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其中：</w:t>
      </w:r>
    </w:p>
    <w:p w14:paraId="5EDAEE9C">
      <w:pPr>
        <w:pStyle w:val="5"/>
        <w:keepNext w:val="0"/>
        <w:keepLines w:val="0"/>
        <w:pageBreakBefore w:val="0"/>
        <w:widowControl w:val="0"/>
        <w:kinsoku/>
        <w:wordWrap/>
        <w:overflowPunct/>
        <w:topLinePunct w:val="0"/>
        <w:autoSpaceDE/>
        <w:autoSpaceDN/>
        <w:bidi w:val="0"/>
        <w:adjustRightInd/>
        <w:snapToGrid/>
        <w:spacing w:after="0" w:line="560" w:lineRule="exact"/>
        <w:ind w:left="17" w:leftChars="8" w:firstLine="640" w:firstLineChars="200"/>
        <w:textAlignment w:val="auto"/>
        <w:rPr>
          <w:rFonts w:hint="default" w:ascii="仿宋" w:hAnsi="仿宋" w:eastAsia="仿宋" w:cs="仿宋"/>
          <w:sz w:val="32"/>
          <w:szCs w:val="32"/>
          <w:u w:val="none"/>
          <w:lang w:val="en-US"/>
        </w:rPr>
      </w:pPr>
      <w:r>
        <w:rPr>
          <w:rFonts w:hint="eastAsia" w:ascii="仿宋" w:hAnsi="仿宋" w:eastAsia="仿宋" w:cs="仿宋"/>
          <w:sz w:val="32"/>
          <w:szCs w:val="32"/>
          <w:u w:val="none"/>
        </w:rPr>
        <w:t>1．城乡社区支出（类）政府住房基金及对应专项债务收入安排的支出（款）管理费用支出（项）支出</w:t>
      </w:r>
      <w:r>
        <w:rPr>
          <w:rFonts w:hint="eastAsia" w:ascii="仿宋" w:hAnsi="仿宋" w:eastAsia="仿宋" w:cs="仿宋"/>
          <w:sz w:val="32"/>
          <w:szCs w:val="32"/>
          <w:u w:val="none"/>
          <w:lang w:val="en-US" w:eastAsia="zh-CN"/>
        </w:rPr>
        <w:t>225.38</w:t>
      </w:r>
      <w:r>
        <w:rPr>
          <w:rFonts w:hint="eastAsia" w:ascii="仿宋" w:hAnsi="仿宋" w:eastAsia="仿宋" w:cs="仿宋"/>
          <w:sz w:val="32"/>
          <w:szCs w:val="32"/>
          <w:u w:val="none"/>
        </w:rPr>
        <w:t>万元，主要是用于</w:t>
      </w:r>
      <w:r>
        <w:rPr>
          <w:rFonts w:hint="eastAsia" w:ascii="仿宋" w:hAnsi="仿宋" w:eastAsia="仿宋" w:cs="仿宋"/>
          <w:b w:val="0"/>
          <w:bCs w:val="0"/>
          <w:sz w:val="32"/>
          <w:szCs w:val="32"/>
          <w:u w:val="none"/>
          <w:lang w:val="en-US" w:eastAsia="zh-CN"/>
        </w:rPr>
        <w:t>农村基础设施建设支出。</w:t>
      </w:r>
    </w:p>
    <w:p w14:paraId="1BBF86C6">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14:paraId="546722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color w:val="auto"/>
          <w:sz w:val="32"/>
          <w:szCs w:val="32"/>
          <w:u w:val="none"/>
        </w:rPr>
      </w:pPr>
      <w:r>
        <w:rPr>
          <w:rFonts w:hint="eastAsia" w:ascii="仿宋" w:hAnsi="仿宋" w:eastAsia="仿宋" w:cs="仿宋"/>
          <w:sz w:val="32"/>
          <w:szCs w:val="32"/>
          <w:u w:val="none"/>
          <w:lang w:val="en-US" w:eastAsia="zh-CN"/>
        </w:rPr>
        <w:t>交通运输局2026</w:t>
      </w:r>
      <w:r>
        <w:rPr>
          <w:rFonts w:hint="eastAsia" w:ascii="仿宋" w:hAnsi="仿宋" w:eastAsia="仿宋" w:cs="仿宋"/>
          <w:sz w:val="32"/>
          <w:szCs w:val="32"/>
          <w:u w:val="none"/>
        </w:rPr>
        <w:t>年度国有资本经营预算支出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w:t>
      </w:r>
      <w:r>
        <w:rPr>
          <w:rFonts w:hint="eastAsia" w:ascii="仿宋" w:hAnsi="仿宋" w:eastAsia="仿宋" w:cs="仿宋"/>
          <w:sz w:val="32"/>
          <w:szCs w:val="32"/>
          <w:u w:val="none"/>
          <w:lang w:val="en-US" w:eastAsia="zh-CN"/>
        </w:rPr>
        <w:t>是</w:t>
      </w:r>
      <w:r>
        <w:rPr>
          <w:rFonts w:hint="eastAsia" w:ascii="仿宋" w:hAnsi="仿宋" w:eastAsia="仿宋" w:cs="仿宋"/>
          <w:b w:val="0"/>
          <w:bCs/>
          <w:color w:val="auto"/>
          <w:sz w:val="32"/>
          <w:szCs w:val="32"/>
          <w:u w:val="none"/>
        </w:rPr>
        <w:t>本年无国有资本经营预算支出。</w:t>
      </w:r>
    </w:p>
    <w:p w14:paraId="668347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其中：</w:t>
      </w:r>
    </w:p>
    <w:p w14:paraId="431847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1．国有资本经营预算支出（类）解决历史遗留问题及改革成本支出（款）“三供一业”移交补助支出（项）支出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万元，主要是</w:t>
      </w:r>
      <w:r>
        <w:rPr>
          <w:rFonts w:hint="eastAsia" w:ascii="仿宋" w:hAnsi="仿宋" w:eastAsia="仿宋" w:cs="仿宋"/>
          <w:b w:val="0"/>
          <w:bCs/>
          <w:color w:val="auto"/>
          <w:sz w:val="32"/>
          <w:szCs w:val="32"/>
          <w:u w:val="none"/>
        </w:rPr>
        <w:t>本年无国有资本经营预算支出</w:t>
      </w:r>
      <w:r>
        <w:rPr>
          <w:rFonts w:hint="eastAsia" w:ascii="仿宋" w:hAnsi="仿宋" w:eastAsia="仿宋" w:cs="仿宋"/>
          <w:sz w:val="32"/>
          <w:szCs w:val="32"/>
          <w:u w:val="none"/>
        </w:rPr>
        <w:t>。</w:t>
      </w:r>
    </w:p>
    <w:p w14:paraId="76487797">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14:paraId="31A559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交通运输局2026</w:t>
      </w:r>
      <w:r>
        <w:rPr>
          <w:rFonts w:hint="eastAsia" w:ascii="仿宋" w:hAnsi="仿宋" w:eastAsia="仿宋" w:cs="仿宋"/>
          <w:sz w:val="32"/>
          <w:szCs w:val="32"/>
          <w:u w:val="none"/>
        </w:rPr>
        <w:t>年度预算安排项目</w:t>
      </w:r>
      <w:r>
        <w:rPr>
          <w:rFonts w:hint="eastAsia" w:ascii="仿宋" w:hAnsi="仿宋" w:eastAsia="仿宋" w:cs="仿宋"/>
          <w:sz w:val="32"/>
          <w:szCs w:val="32"/>
          <w:u w:val="none"/>
          <w:lang w:val="en-US" w:eastAsia="zh-CN"/>
        </w:rPr>
        <w:t>7</w:t>
      </w:r>
      <w:r>
        <w:rPr>
          <w:rFonts w:hint="eastAsia" w:ascii="仿宋" w:hAnsi="仿宋" w:eastAsia="仿宋" w:cs="仿宋"/>
          <w:sz w:val="32"/>
          <w:szCs w:val="32"/>
          <w:u w:val="none"/>
        </w:rPr>
        <w:t>个，项目预算总金额</w:t>
      </w:r>
      <w:r>
        <w:rPr>
          <w:rFonts w:hint="eastAsia" w:ascii="仿宋" w:hAnsi="仿宋" w:eastAsia="仿宋" w:cs="仿宋"/>
          <w:sz w:val="32"/>
          <w:szCs w:val="32"/>
          <w:u w:val="none"/>
          <w:lang w:val="en-US" w:eastAsia="zh-CN"/>
        </w:rPr>
        <w:t>522</w:t>
      </w:r>
      <w:r>
        <w:rPr>
          <w:rFonts w:hint="eastAsia" w:ascii="仿宋" w:hAnsi="仿宋" w:eastAsia="仿宋" w:cs="仿宋"/>
          <w:sz w:val="32"/>
          <w:szCs w:val="32"/>
          <w:u w:val="none"/>
        </w:rPr>
        <w:t>万元。其中，财政本年拨款金额</w:t>
      </w:r>
      <w:r>
        <w:rPr>
          <w:rFonts w:hint="eastAsia" w:ascii="仿宋" w:hAnsi="仿宋" w:eastAsia="仿宋" w:cs="仿宋"/>
          <w:sz w:val="32"/>
          <w:szCs w:val="32"/>
          <w:u w:val="none"/>
          <w:lang w:val="en-US" w:eastAsia="zh-CN"/>
        </w:rPr>
        <w:t>371.38</w:t>
      </w:r>
      <w:r>
        <w:rPr>
          <w:rFonts w:hint="eastAsia" w:ascii="仿宋" w:hAnsi="仿宋" w:eastAsia="仿宋" w:cs="仿宋"/>
          <w:sz w:val="32"/>
          <w:szCs w:val="32"/>
          <w:u w:val="none"/>
        </w:rPr>
        <w:t>万元，财政拨款结转结余</w:t>
      </w:r>
      <w:r>
        <w:rPr>
          <w:rFonts w:hint="eastAsia" w:ascii="仿宋" w:hAnsi="仿宋" w:eastAsia="仿宋" w:cs="仿宋"/>
          <w:sz w:val="32"/>
          <w:szCs w:val="32"/>
          <w:u w:val="none"/>
        </w:rPr>
        <w:tab/>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万元，财政专户管理资金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万元，单位资金</w:t>
      </w:r>
      <w:r>
        <w:rPr>
          <w:rFonts w:hint="eastAsia" w:ascii="仿宋" w:hAnsi="仿宋" w:eastAsia="仿宋" w:cs="仿宋"/>
          <w:sz w:val="32"/>
          <w:szCs w:val="32"/>
          <w:u w:val="none"/>
          <w:lang w:val="en-US" w:eastAsia="zh-CN"/>
        </w:rPr>
        <w:t>150.62</w:t>
      </w:r>
      <w:r>
        <w:rPr>
          <w:rFonts w:hint="eastAsia" w:ascii="仿宋" w:hAnsi="仿宋" w:eastAsia="仿宋" w:cs="仿宋"/>
          <w:sz w:val="32"/>
          <w:szCs w:val="32"/>
          <w:u w:val="none"/>
        </w:rPr>
        <w:t>万元。</w:t>
      </w:r>
    </w:p>
    <w:p w14:paraId="52BBA7EA">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14:paraId="58866C6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lang w:val="en-US"/>
        </w:rPr>
      </w:pPr>
      <w:r>
        <w:rPr>
          <w:rFonts w:hint="eastAsia" w:ascii="仿宋" w:hAnsi="仿宋" w:eastAsia="仿宋" w:cs="仿宋"/>
          <w:sz w:val="32"/>
          <w:szCs w:val="32"/>
          <w:u w:val="none"/>
          <w:lang w:val="en-US" w:eastAsia="zh-CN"/>
        </w:rPr>
        <w:t>交通运输局2026</w:t>
      </w:r>
      <w:r>
        <w:rPr>
          <w:rFonts w:hint="eastAsia" w:ascii="仿宋" w:hAnsi="仿宋" w:eastAsia="仿宋" w:cs="仿宋"/>
          <w:sz w:val="32"/>
          <w:szCs w:val="32"/>
          <w:u w:val="none"/>
        </w:rPr>
        <w:t>年度机构运行经费预算支出</w:t>
      </w:r>
      <w:r>
        <w:rPr>
          <w:rFonts w:hint="eastAsia" w:ascii="仿宋" w:hAnsi="仿宋" w:eastAsia="仿宋" w:cs="仿宋"/>
          <w:sz w:val="32"/>
          <w:szCs w:val="32"/>
          <w:u w:val="none"/>
          <w:lang w:val="en-US" w:eastAsia="zh-CN"/>
        </w:rPr>
        <w:t>98.9083.54</w:t>
      </w:r>
      <w:r>
        <w:rPr>
          <w:rFonts w:hint="eastAsia" w:ascii="仿宋" w:hAnsi="仿宋" w:eastAsia="仿宋" w:cs="仿宋"/>
          <w:sz w:val="32"/>
          <w:szCs w:val="32"/>
          <w:u w:val="none"/>
        </w:rPr>
        <w:t>万元，</w:t>
      </w:r>
      <w:r>
        <w:rPr>
          <w:rFonts w:hint="eastAsia" w:ascii="仿宋" w:hAnsi="仿宋" w:eastAsia="仿宋" w:cs="仿宋"/>
          <w:color w:val="000000" w:themeColor="text1"/>
          <w:sz w:val="32"/>
          <w:szCs w:val="32"/>
          <w:u w:val="none"/>
          <w14:textFill>
            <w14:solidFill>
              <w14:schemeClr w14:val="tx1"/>
            </w14:solidFill>
          </w14:textFill>
        </w:rPr>
        <w:t>与</w:t>
      </w:r>
      <w:r>
        <w:rPr>
          <w:rFonts w:hint="eastAsia" w:ascii="仿宋" w:hAnsi="仿宋" w:eastAsia="仿宋" w:cs="仿宋"/>
          <w:sz w:val="32"/>
          <w:szCs w:val="32"/>
          <w:u w:val="none"/>
        </w:rPr>
        <w:t>上年相比</w:t>
      </w:r>
      <w:r>
        <w:rPr>
          <w:rFonts w:hint="eastAsia" w:ascii="仿宋" w:hAnsi="仿宋" w:eastAsia="仿宋" w:cs="仿宋"/>
          <w:sz w:val="32"/>
          <w:szCs w:val="32"/>
          <w:u w:val="none"/>
          <w:lang w:val="en-US" w:eastAsia="zh-CN"/>
        </w:rPr>
        <w:t>增加15.36</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增长18.39</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本年度日常活动增加，公用经费相对增加。</w:t>
      </w:r>
    </w:p>
    <w:p w14:paraId="2A2F64DA">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14:paraId="2C2E66B4">
      <w:pPr>
        <w:spacing w:line="60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交通运输局2026</w:t>
      </w:r>
      <w:r>
        <w:rPr>
          <w:rFonts w:hint="eastAsia" w:ascii="仿宋" w:hAnsi="仿宋" w:eastAsia="仿宋" w:cs="仿宋"/>
          <w:sz w:val="32"/>
          <w:szCs w:val="32"/>
          <w:u w:val="none"/>
        </w:rPr>
        <w:t>年度政府采购支出预算总额</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万元，其中：拟采购货物支出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万元、拟采购工程支出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万元、拟购买服务支出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w:t>
      </w:r>
    </w:p>
    <w:p w14:paraId="7CF2A71A">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14:paraId="18ED1C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w:t>
      </w:r>
      <w:r>
        <w:rPr>
          <w:rFonts w:hint="eastAsia" w:ascii="仿宋" w:hAnsi="仿宋" w:eastAsia="仿宋" w:cs="仿宋"/>
          <w:sz w:val="32"/>
          <w:szCs w:val="32"/>
          <w:u w:val="none"/>
        </w:rPr>
        <w:t>共有车辆</w:t>
      </w:r>
      <w:r>
        <w:rPr>
          <w:rFonts w:hint="eastAsia" w:ascii="仿宋" w:hAnsi="仿宋" w:eastAsia="仿宋" w:cs="仿宋"/>
          <w:sz w:val="32"/>
          <w:szCs w:val="32"/>
          <w:u w:val="none"/>
          <w:lang w:val="en-US" w:eastAsia="zh-CN"/>
        </w:rPr>
        <w:t>21</w:t>
      </w:r>
      <w:r>
        <w:rPr>
          <w:rFonts w:hint="eastAsia" w:ascii="仿宋" w:hAnsi="仿宋" w:eastAsia="仿宋" w:cs="仿宋"/>
          <w:sz w:val="32"/>
          <w:szCs w:val="32"/>
          <w:u w:val="none"/>
        </w:rPr>
        <w:t>辆，其中，一般公务用车</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辆、执法执勤用车</w:t>
      </w:r>
      <w:r>
        <w:rPr>
          <w:rFonts w:hint="eastAsia" w:ascii="仿宋" w:hAnsi="仿宋" w:eastAsia="仿宋" w:cs="仿宋"/>
          <w:sz w:val="32"/>
          <w:szCs w:val="32"/>
          <w:u w:val="none"/>
          <w:lang w:val="en-US" w:eastAsia="zh-CN"/>
        </w:rPr>
        <w:t>11</w:t>
      </w:r>
      <w:r>
        <w:rPr>
          <w:rFonts w:hint="eastAsia" w:ascii="仿宋" w:hAnsi="仿宋" w:eastAsia="仿宋" w:cs="仿宋"/>
          <w:sz w:val="32"/>
          <w:szCs w:val="32"/>
          <w:u w:val="none"/>
        </w:rPr>
        <w:t>辆、特种专业技术用车</w:t>
      </w:r>
      <w:r>
        <w:rPr>
          <w:rFonts w:hint="eastAsia" w:ascii="仿宋" w:hAnsi="仿宋" w:eastAsia="仿宋" w:cs="仿宋"/>
          <w:sz w:val="32"/>
          <w:szCs w:val="32"/>
          <w:u w:val="none"/>
          <w:lang w:val="en-US" w:eastAsia="zh-CN"/>
        </w:rPr>
        <w:t>7</w:t>
      </w:r>
      <w:r>
        <w:rPr>
          <w:rFonts w:hint="eastAsia" w:ascii="仿宋" w:hAnsi="仿宋" w:eastAsia="仿宋" w:cs="仿宋"/>
          <w:sz w:val="32"/>
          <w:szCs w:val="32"/>
          <w:u w:val="none"/>
        </w:rPr>
        <w:t>辆、业务用车</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辆、其他用车</w:t>
      </w:r>
      <w:r>
        <w:rPr>
          <w:rFonts w:hint="eastAsia" w:ascii="仿宋" w:hAnsi="仿宋" w:eastAsia="仿宋" w:cs="仿宋"/>
          <w:sz w:val="32"/>
          <w:szCs w:val="32"/>
          <w:u w:val="none"/>
          <w:lang w:val="en-US" w:eastAsia="zh-CN"/>
        </w:rPr>
        <w:t>3</w:t>
      </w:r>
      <w:r>
        <w:rPr>
          <w:rFonts w:hint="eastAsia" w:ascii="仿宋" w:hAnsi="仿宋" w:eastAsia="仿宋" w:cs="仿宋"/>
          <w:sz w:val="32"/>
          <w:szCs w:val="32"/>
          <w:u w:val="none"/>
        </w:rPr>
        <w:t>辆等。单价50万元（含）以上的通用设备</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台（套），单价100万元（含）以上的专用设备</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台（套）。</w:t>
      </w:r>
    </w:p>
    <w:p w14:paraId="5A406E26">
      <w:pPr>
        <w:spacing w:line="600" w:lineRule="exact"/>
        <w:ind w:firstLine="640" w:firstLineChars="200"/>
        <w:outlineLvl w:val="2"/>
        <w:rPr>
          <w:rFonts w:eastAsia="黑体" w:cs="黑体"/>
          <w:sz w:val="32"/>
          <w:szCs w:val="36"/>
        </w:rPr>
      </w:pPr>
      <w:r>
        <w:rPr>
          <w:rFonts w:hint="eastAsia" w:eastAsia="黑体" w:cs="黑体"/>
          <w:sz w:val="32"/>
          <w:szCs w:val="36"/>
        </w:rPr>
        <w:t>十四、项目绩效目标情况说</w:t>
      </w:r>
      <w:bookmarkStart w:id="4" w:name="_GoBack"/>
      <w:bookmarkEnd w:id="4"/>
      <w:r>
        <w:rPr>
          <w:rFonts w:hint="eastAsia" w:eastAsia="黑体" w:cs="黑体"/>
          <w:sz w:val="32"/>
          <w:szCs w:val="36"/>
        </w:rPr>
        <w:t xml:space="preserve">明 </w:t>
      </w:r>
    </w:p>
    <w:p w14:paraId="7316C010">
      <w:pPr>
        <w:spacing w:line="600" w:lineRule="exact"/>
        <w:ind w:firstLine="640" w:firstLineChars="200"/>
        <w:rPr>
          <w:rFonts w:eastAsia="仿宋_GB2312" w:cstheme="minorBidi"/>
          <w:sz w:val="32"/>
          <w:szCs w:val="32"/>
        </w:rPr>
      </w:pPr>
      <w:r>
        <w:rPr>
          <w:rFonts w:hint="eastAsia" w:ascii="仿宋" w:hAnsi="仿宋" w:eastAsia="仿宋" w:cs="仿宋"/>
          <w:sz w:val="32"/>
          <w:szCs w:val="32"/>
          <w:u w:val="none"/>
          <w:lang w:val="en-US" w:eastAsia="zh-CN"/>
        </w:rPr>
        <w:t>交通运输局</w:t>
      </w:r>
      <w:r>
        <w:rPr>
          <w:rFonts w:hint="eastAsia" w:ascii="仿宋_GB2312" w:hAnsi="仿宋_GB2312" w:eastAsia="仿宋_GB2312" w:cs="仿宋"/>
          <w:sz w:val="32"/>
          <w:szCs w:val="32"/>
          <w:lang w:val="en-US" w:eastAsia="zh-CN"/>
        </w:rPr>
        <w:t>2026</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lang w:val="en-US" w:eastAsia="zh-CN"/>
        </w:rPr>
        <w:t>56</w:t>
      </w:r>
      <w:r>
        <w:rPr>
          <w:rFonts w:hint="eastAsia" w:eastAsia="仿宋_GB2312" w:cstheme="minorBidi"/>
          <w:sz w:val="32"/>
          <w:szCs w:val="32"/>
        </w:rPr>
        <w:t>个，公开项目</w:t>
      </w:r>
      <w:r>
        <w:rPr>
          <w:rFonts w:hint="eastAsia" w:eastAsia="仿宋_GB2312" w:cstheme="minorBidi"/>
          <w:sz w:val="32"/>
          <w:szCs w:val="32"/>
          <w:u w:val="none"/>
          <w:lang w:val="en-US" w:eastAsia="zh-CN"/>
        </w:rPr>
        <w:t>56</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none"/>
        </w:rPr>
        <w:t xml:space="preserve"> </w:t>
      </w:r>
      <w:r>
        <w:rPr>
          <w:rFonts w:hint="eastAsia" w:eastAsia="仿宋_GB2312" w:cstheme="minorBidi"/>
          <w:sz w:val="32"/>
          <w:szCs w:val="32"/>
          <w:u w:val="none"/>
          <w:lang w:val="en-US" w:eastAsia="zh-CN"/>
        </w:rPr>
        <w:t>1762.12</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14:paraId="28C2E83C">
      <w:pPr>
        <w:pStyle w:val="2"/>
        <w:spacing w:after="0" w:line="600" w:lineRule="exact"/>
        <w:rPr>
          <w:rFonts w:hint="default" w:ascii="方正小标宋简体" w:hAnsi="方正小标宋简体" w:eastAsia="方正小标宋简体" w:cs="方正小标宋简体"/>
          <w:sz w:val="36"/>
          <w:szCs w:val="36"/>
        </w:rPr>
      </w:pPr>
    </w:p>
    <w:p w14:paraId="1B3E3ABD">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507868FA">
      <w:pPr>
        <w:rPr>
          <w:sz w:val="36"/>
          <w:szCs w:val="36"/>
        </w:rPr>
      </w:pPr>
    </w:p>
    <w:p w14:paraId="173D1935">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6AD7899F">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7E789C12">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4D52DAB5">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528A4561">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69DD2CA0">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7528ECD6">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55F322B5">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5FB60F7E">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6964F859">
      <w:pPr>
        <w:spacing w:line="600" w:lineRule="exact"/>
        <w:jc w:val="center"/>
        <w:rPr>
          <w:rFonts w:ascii="方正小标宋简体" w:hAnsi="方正小标宋简体" w:eastAsia="方正小标宋简体" w:cs="方正小标宋简体"/>
          <w:sz w:val="36"/>
          <w:szCs w:val="36"/>
        </w:rPr>
      </w:pPr>
    </w:p>
    <w:p w14:paraId="250E6D1E">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4DC26A0D">
      <w:pPr>
        <w:snapToGrid w:val="0"/>
        <w:spacing w:line="600" w:lineRule="exact"/>
        <w:rPr>
          <w:rFonts w:ascii="方正小标宋简体" w:hAnsi="方正小标宋简体" w:eastAsia="方正小标宋简体" w:cs="方正小标宋简体"/>
          <w:sz w:val="36"/>
          <w:szCs w:val="36"/>
        </w:rPr>
      </w:pPr>
    </w:p>
    <w:p w14:paraId="619A896B">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506FF6A4">
      <w:pPr>
        <w:snapToGrid w:val="0"/>
        <w:spacing w:line="600" w:lineRule="exact"/>
        <w:ind w:firstLine="640" w:firstLineChars="200"/>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周艳彤</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15049079026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4B5D415-012F-4D17-B2F0-0037097883C1}"/>
  </w:font>
  <w:font w:name="黑体">
    <w:panose1 w:val="02010609060101010101"/>
    <w:charset w:val="86"/>
    <w:family w:val="auto"/>
    <w:pitch w:val="default"/>
    <w:sig w:usb0="800002BF" w:usb1="38CF7CFA" w:usb2="00000016" w:usb3="00000000" w:csb0="00040001" w:csb1="00000000"/>
    <w:embedRegular r:id="rId2" w:fontKey="{B3EBBA56-245D-4F11-97A2-4D93CC49133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6E8BFE61-E374-4FDF-890D-6DAF4F5AAF25}"/>
  </w:font>
  <w:font w:name="Calibri">
    <w:panose1 w:val="020F0502020204030204"/>
    <w:charset w:val="00"/>
    <w:family w:val="swiss"/>
    <w:pitch w:val="default"/>
    <w:sig w:usb0="E4002EFF" w:usb1="C000247B" w:usb2="00000009" w:usb3="00000000" w:csb0="200001FF" w:csb1="00000000"/>
    <w:embedRegular r:id="rId4" w:fontKey="{7DA3D088-8945-4730-9FA0-46645E142C61}"/>
  </w:font>
  <w:font w:name="方正小标宋简体">
    <w:panose1 w:val="02010600010101010101"/>
    <w:charset w:val="86"/>
    <w:family w:val="auto"/>
    <w:pitch w:val="default"/>
    <w:sig w:usb0="00000001" w:usb1="080E0000" w:usb2="00000000" w:usb3="00000000" w:csb0="00040000" w:csb1="00000000"/>
    <w:embedRegular r:id="rId5" w:fontKey="{26E35E36-AADF-42A5-BC41-F731C298757B}"/>
  </w:font>
  <w:font w:name="仿宋_GB2312">
    <w:panose1 w:val="02010609030101010101"/>
    <w:charset w:val="86"/>
    <w:family w:val="modern"/>
    <w:pitch w:val="default"/>
    <w:sig w:usb0="00000001" w:usb1="080E0000" w:usb2="00000000" w:usb3="00000000" w:csb0="00040000" w:csb1="00000000"/>
    <w:embedRegular r:id="rId6" w:fontKey="{4FBFABE0-C9C2-41B2-AFE0-8582014A8D0D}"/>
  </w:font>
  <w:font w:name="仿宋">
    <w:panose1 w:val="02010609060101010101"/>
    <w:charset w:val="86"/>
    <w:family w:val="modern"/>
    <w:pitch w:val="default"/>
    <w:sig w:usb0="800002BF" w:usb1="38CF7CFA" w:usb2="00000016" w:usb3="00000000" w:csb0="00040001" w:csb1="00000000"/>
    <w:embedRegular r:id="rId7" w:fontKey="{1230DE9B-198A-4C8D-B52E-6A27C892126D}"/>
  </w:font>
  <w:font w:name="楷体">
    <w:panose1 w:val="02010609060101010101"/>
    <w:charset w:val="86"/>
    <w:family w:val="modern"/>
    <w:pitch w:val="default"/>
    <w:sig w:usb0="800002BF" w:usb1="38CF7CFA" w:usb2="00000016" w:usb3="00000000" w:csb0="00040001" w:csb1="00000000"/>
    <w:embedRegular r:id="rId8" w:fontKey="{EAF8FB23-4BA0-4322-93E9-C3204520C312}"/>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B9E1B">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285F4B">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63285F4B">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4E2EB90F">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29CAF">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19184F"/>
    <w:multiLevelType w:val="singleLevel"/>
    <w:tmpl w:val="A619184F"/>
    <w:lvl w:ilvl="0" w:tentative="0">
      <w:start w:val="1"/>
      <w:numFmt w:val="chineseCounting"/>
      <w:suff w:val="nothing"/>
      <w:lvlText w:val="（%1）"/>
      <w:lvlJc w:val="left"/>
      <w:rPr>
        <w:rFonts w:hint="eastAsia"/>
      </w:rPr>
    </w:lvl>
  </w:abstractNum>
  <w:abstractNum w:abstractNumId="1">
    <w:nsid w:val="3265B7C3"/>
    <w:multiLevelType w:val="singleLevel"/>
    <w:tmpl w:val="3265B7C3"/>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0749E3"/>
    <w:rsid w:val="00557349"/>
    <w:rsid w:val="00565A38"/>
    <w:rsid w:val="00690340"/>
    <w:rsid w:val="00881992"/>
    <w:rsid w:val="0093089F"/>
    <w:rsid w:val="00A019D6"/>
    <w:rsid w:val="00CE0BEC"/>
    <w:rsid w:val="00F846C7"/>
    <w:rsid w:val="01823145"/>
    <w:rsid w:val="046074DC"/>
    <w:rsid w:val="07FD4AB4"/>
    <w:rsid w:val="0D7C0B15"/>
    <w:rsid w:val="0F130CAE"/>
    <w:rsid w:val="0F7E5404"/>
    <w:rsid w:val="11653561"/>
    <w:rsid w:val="116F4F22"/>
    <w:rsid w:val="12DA5F0C"/>
    <w:rsid w:val="16E71FC1"/>
    <w:rsid w:val="18F51424"/>
    <w:rsid w:val="192341E3"/>
    <w:rsid w:val="193E287A"/>
    <w:rsid w:val="1DD71A40"/>
    <w:rsid w:val="1F2722DE"/>
    <w:rsid w:val="27FB619E"/>
    <w:rsid w:val="29FD7CA4"/>
    <w:rsid w:val="2E234550"/>
    <w:rsid w:val="337B5E5D"/>
    <w:rsid w:val="34AF2977"/>
    <w:rsid w:val="3BDF1D94"/>
    <w:rsid w:val="3D3D3216"/>
    <w:rsid w:val="3D5F13DF"/>
    <w:rsid w:val="3E217F49"/>
    <w:rsid w:val="3E3C34CE"/>
    <w:rsid w:val="3E505E23"/>
    <w:rsid w:val="3EE67811"/>
    <w:rsid w:val="42A864CE"/>
    <w:rsid w:val="435117C9"/>
    <w:rsid w:val="47C85DD2"/>
    <w:rsid w:val="49936196"/>
    <w:rsid w:val="4B4E0500"/>
    <w:rsid w:val="4DD55F7E"/>
    <w:rsid w:val="4E8E3ADE"/>
    <w:rsid w:val="524310E1"/>
    <w:rsid w:val="53DC1D4A"/>
    <w:rsid w:val="54A973A5"/>
    <w:rsid w:val="553E3286"/>
    <w:rsid w:val="57DE3CBA"/>
    <w:rsid w:val="5A8F0D5B"/>
    <w:rsid w:val="5BCD6F3B"/>
    <w:rsid w:val="5C62639E"/>
    <w:rsid w:val="6142679E"/>
    <w:rsid w:val="644972CC"/>
    <w:rsid w:val="671916A1"/>
    <w:rsid w:val="72181DE7"/>
    <w:rsid w:val="74D130CE"/>
    <w:rsid w:val="76943D98"/>
    <w:rsid w:val="76E45ED5"/>
    <w:rsid w:val="78A25253"/>
    <w:rsid w:val="78CC583F"/>
    <w:rsid w:val="7AD93877"/>
    <w:rsid w:val="7B0A1C83"/>
    <w:rsid w:val="7D211C66"/>
    <w:rsid w:val="7FE54C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3"/>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15"/>
    <w:qFormat/>
    <w:uiPriority w:val="0"/>
    <w:pPr>
      <w:ind w:firstLine="420"/>
      <w:jc w:val="left"/>
    </w:pPr>
    <w:rPr>
      <w:rFonts w:hint="eastAsia" w:ascii="宋体" w:hAnsi="宋体" w:eastAsia="宋体"/>
      <w:kern w:val="0"/>
      <w:sz w:val="24"/>
      <w:szCs w:val="24"/>
    </w:rPr>
  </w:style>
  <w:style w:type="paragraph" w:styleId="3">
    <w:name w:val="Body Text Indent"/>
    <w:basedOn w:val="1"/>
    <w:link w:val="14"/>
    <w:semiHidden/>
    <w:unhideWhenUsed/>
    <w:qFormat/>
    <w:uiPriority w:val="99"/>
    <w:pPr>
      <w:spacing w:after="120"/>
      <w:ind w:left="420" w:leftChars="200"/>
    </w:pPr>
  </w:style>
  <w:style w:type="paragraph" w:styleId="5">
    <w:name w:val="Body Text"/>
    <w:basedOn w:val="1"/>
    <w:link w:val="16"/>
    <w:unhideWhenUsed/>
    <w:qFormat/>
    <w:uiPriority w:val="1"/>
    <w:pPr>
      <w:spacing w:after="120"/>
    </w:pPr>
  </w:style>
  <w:style w:type="paragraph" w:styleId="6">
    <w:name w:val="footer"/>
    <w:basedOn w:val="1"/>
    <w:link w:val="17"/>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rPr>
      <w:sz w:val="24"/>
    </w:rPr>
  </w:style>
  <w:style w:type="paragraph" w:styleId="9">
    <w:name w:val="Title"/>
    <w:basedOn w:val="1"/>
    <w:next w:val="1"/>
    <w:qFormat/>
    <w:uiPriority w:val="10"/>
    <w:pPr>
      <w:spacing w:before="240" w:after="60"/>
      <w:jc w:val="center"/>
      <w:outlineLvl w:val="0"/>
    </w:pPr>
    <w:rPr>
      <w:rFonts w:ascii="Arial" w:hAnsi="Arial"/>
      <w:b/>
      <w:sz w:val="32"/>
    </w:rPr>
  </w:style>
  <w:style w:type="table" w:styleId="11">
    <w:name w:val="Table Grid"/>
    <w:basedOn w:val="10"/>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标题 2 Char"/>
    <w:basedOn w:val="12"/>
    <w:link w:val="4"/>
    <w:qFormat/>
    <w:uiPriority w:val="1"/>
    <w:rPr>
      <w:rFonts w:ascii="Arial" w:hAnsi="Arial" w:eastAsia="Symbol" w:cs="Times New Roman"/>
      <w:b/>
      <w:bCs/>
      <w:sz w:val="32"/>
      <w:szCs w:val="32"/>
    </w:rPr>
  </w:style>
  <w:style w:type="character" w:customStyle="1" w:styleId="14">
    <w:name w:val="正文文本缩进 Char"/>
    <w:basedOn w:val="12"/>
    <w:link w:val="3"/>
    <w:semiHidden/>
    <w:qFormat/>
    <w:uiPriority w:val="99"/>
    <w:rPr>
      <w:rFonts w:ascii="Times New Roman" w:hAnsi="Times New Roman" w:eastAsia="Courier New" w:cs="Times New Roman"/>
      <w:szCs w:val="21"/>
    </w:rPr>
  </w:style>
  <w:style w:type="character" w:customStyle="1" w:styleId="15">
    <w:name w:val="正文首行缩进 2 Char"/>
    <w:basedOn w:val="14"/>
    <w:link w:val="2"/>
    <w:qFormat/>
    <w:uiPriority w:val="0"/>
    <w:rPr>
      <w:rFonts w:ascii="宋体" w:hAnsi="宋体" w:eastAsia="宋体" w:cs="Times New Roman"/>
      <w:kern w:val="0"/>
      <w:sz w:val="24"/>
      <w:szCs w:val="24"/>
    </w:rPr>
  </w:style>
  <w:style w:type="character" w:customStyle="1" w:styleId="16">
    <w:name w:val="正文文本 Char"/>
    <w:basedOn w:val="12"/>
    <w:link w:val="5"/>
    <w:qFormat/>
    <w:uiPriority w:val="1"/>
    <w:rPr>
      <w:rFonts w:ascii="Times New Roman" w:hAnsi="Times New Roman" w:eastAsia="Courier New" w:cs="Times New Roman"/>
      <w:szCs w:val="21"/>
    </w:rPr>
  </w:style>
  <w:style w:type="character" w:customStyle="1" w:styleId="17">
    <w:name w:val="页脚 Char"/>
    <w:basedOn w:val="12"/>
    <w:link w:val="6"/>
    <w:qFormat/>
    <w:uiPriority w:val="99"/>
    <w:rPr>
      <w:sz w:val="18"/>
      <w:szCs w:val="18"/>
    </w:rPr>
  </w:style>
  <w:style w:type="character" w:customStyle="1" w:styleId="18">
    <w:name w:val="页眉 Char"/>
    <w:basedOn w:val="12"/>
    <w:link w:val="7"/>
    <w:qFormat/>
    <w:uiPriority w:val="99"/>
    <w:rPr>
      <w:rFonts w:ascii="Times New Roman" w:hAnsi="Times New Roman" w:eastAsia="Courier New" w:cs="Times New Roman"/>
      <w:sz w:val="18"/>
      <w:szCs w:val="18"/>
    </w:rPr>
  </w:style>
  <w:style w:type="paragraph" w:customStyle="1" w:styleId="19">
    <w:name w:val="p"/>
    <w:basedOn w:val="1"/>
    <w:autoRedefine/>
    <w:qFormat/>
    <w:uiPriority w:val="0"/>
    <w:pPr>
      <w:spacing w:before="100" w:beforeLines="0" w:beforeAutospacing="1" w:after="100" w:afterLines="0" w:afterAutospacing="1"/>
      <w:jc w:val="left"/>
    </w:pPr>
    <w:rPr>
      <w:rFonts w:hint="eastAsia" w:ascii="宋体" w:hAnsi="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Administrator\Desktop\&#26032;&#24314;%20XLSX%20&#24037;&#20316;&#34920;.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26032;&#24314;%20XLSX%20&#24037;&#20316;&#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收入预算</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Lbls>
            <c:delete val="1"/>
          </c:dLbls>
          <c:cat>
            <c:strRef>
              <c:f>'[新建 XLSX 工作表.xlsx]Sheet1'!$A$2:$A$15</c:f>
              <c:strCache>
                <c:ptCount val="14"/>
                <c:pt idx="0">
                  <c:v>本年一般公共预算收入</c:v>
                </c:pt>
                <c:pt idx="1">
                  <c:v>本年政府性基金预算收入</c:v>
                </c:pt>
                <c:pt idx="2">
                  <c:v>本年国有资本经营预算收入</c:v>
                </c:pt>
                <c:pt idx="3">
                  <c:v>本年财政专户管理资金</c:v>
                </c:pt>
                <c:pt idx="4">
                  <c:v>本年事业收入</c:v>
                </c:pt>
                <c:pt idx="5">
                  <c:v>本年事业单位经营收入</c:v>
                </c:pt>
                <c:pt idx="6">
                  <c:v>本年上级补助收入</c:v>
                </c:pt>
                <c:pt idx="7">
                  <c:v>本年附属单位上缴收入</c:v>
                </c:pt>
                <c:pt idx="8">
                  <c:v>本年其他收入</c:v>
                </c:pt>
                <c:pt idx="9">
                  <c:v>上年结转结余的一般公共预算收入</c:v>
                </c:pt>
                <c:pt idx="10">
                  <c:v>上年结转结余的政府性基金预算收入</c:v>
                </c:pt>
                <c:pt idx="11">
                  <c:v>上年结转结余的国有资本经营预算收入</c:v>
                </c:pt>
                <c:pt idx="12">
                  <c:v>上年结转结余的财政专户管理资金</c:v>
                </c:pt>
                <c:pt idx="13">
                  <c:v>上年结转结余的单位资金</c:v>
                </c:pt>
              </c:strCache>
            </c:strRef>
          </c:cat>
          <c:val>
            <c:numRef>
              <c:f>'[新建 XLSX 工作表.xlsx]Sheet1'!$B$2:$B$15</c:f>
              <c:numCache>
                <c:formatCode>General</c:formatCode>
                <c:ptCount val="14"/>
                <c:pt idx="0">
                  <c:v>1536.74</c:v>
                </c:pt>
                <c:pt idx="1">
                  <c:v>225.38</c:v>
                </c:pt>
                <c:pt idx="2">
                  <c:v>0</c:v>
                </c:pt>
                <c:pt idx="3">
                  <c:v>0</c:v>
                </c:pt>
                <c:pt idx="4">
                  <c:v>0</c:v>
                </c:pt>
                <c:pt idx="5">
                  <c:v>0</c:v>
                </c:pt>
                <c:pt idx="6">
                  <c:v>0</c:v>
                </c:pt>
                <c:pt idx="7">
                  <c:v>0</c:v>
                </c:pt>
                <c:pt idx="8">
                  <c:v>0</c:v>
                </c:pt>
                <c:pt idx="9">
                  <c:v>150.62</c:v>
                </c:pt>
                <c:pt idx="10">
                  <c:v>0</c:v>
                </c:pt>
                <c:pt idx="11">
                  <c:v>0</c:v>
                </c:pt>
                <c:pt idx="12">
                  <c:v>0</c:v>
                </c:pt>
                <c:pt idx="13">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bcc2999-6d71-4718-a28e-1c6ccef8fe9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支出预算</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elete val="1"/>
          </c:dLbls>
          <c:cat>
            <c:strRef>
              <c:f>'[新建 XLSX 工作表.xlsx]Sheet1'!$K$2:$K$6</c:f>
              <c:strCache>
                <c:ptCount val="5"/>
                <c:pt idx="0">
                  <c:v>基本支出</c:v>
                </c:pt>
                <c:pt idx="1">
                  <c:v>项目支出</c:v>
                </c:pt>
                <c:pt idx="2">
                  <c:v>事业单位经522营支出 </c:v>
                </c:pt>
                <c:pt idx="3">
                  <c:v>上缴上级支出</c:v>
                </c:pt>
                <c:pt idx="4">
                  <c:v>对附属单位补助支出</c:v>
                </c:pt>
              </c:strCache>
            </c:strRef>
          </c:cat>
          <c:val>
            <c:numRef>
              <c:f>'[新建 XLSX 工作表.xlsx]Sheet1'!$L$2:$L$6</c:f>
              <c:numCache>
                <c:formatCode>General</c:formatCode>
                <c:ptCount val="5"/>
                <c:pt idx="0">
                  <c:v>1390.74</c:v>
                </c:pt>
                <c:pt idx="1">
                  <c:v>522</c:v>
                </c:pt>
                <c:pt idx="2">
                  <c:v>0</c:v>
                </c:pt>
                <c:pt idx="3">
                  <c:v>0</c:v>
                </c:pt>
                <c:pt idx="4">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ed0c5f31-a5e3-46de-bebb-651c5710f42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21</Pages>
  <Words>8495</Words>
  <Characters>9438</Characters>
  <Lines>48</Lines>
  <Paragraphs>13</Paragraphs>
  <TotalTime>9</TotalTime>
  <ScaleCrop>false</ScaleCrop>
  <LinksUpToDate>false</LinksUpToDate>
  <CharactersWithSpaces>9526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Tnxx</cp:lastModifiedBy>
  <dcterms:modified xsi:type="dcterms:W3CDTF">2026-02-06T07:46:03Z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eyJoZGlkIjoiYTEzOTcwNjY4NzM5MDAzZGJmM2E2OTNjODdhMWUxZDMiLCJ1c2VySWQiOiI0MjQyNjI2NTkifQ==</vt:lpwstr>
  </property>
  <property fmtid="{D5CDD505-2E9C-101B-9397-08002B2CF9AE}" pid="3" name="KSOProductBuildVer">
    <vt:lpwstr>2052-12.1.0.25225</vt:lpwstr>
  </property>
  <property fmtid="{D5CDD505-2E9C-101B-9397-08002B2CF9AE}" pid="4" name="ICV">
    <vt:lpwstr>25DD7E90E447463E82DAB673584DD6F7_12</vt:lpwstr>
  </property>
</Properties>
</file>