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68284">
      <w:pPr>
        <w:pageBreakBefore w:val="0"/>
        <w:widowControl/>
        <w:suppressAutoHyphens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auto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auto"/>
          <w:kern w:val="0"/>
          <w:sz w:val="44"/>
          <w:szCs w:val="44"/>
          <w:lang w:val="en-US" w:eastAsia="zh-CN" w:bidi="ar-SA"/>
        </w:rPr>
        <w:t>2024年开展重大政策和重点项目绩效评价情况</w:t>
      </w:r>
    </w:p>
    <w:p w14:paraId="05760F48">
      <w:pPr>
        <w:widowControl/>
        <w:spacing w:line="360" w:lineRule="auto"/>
        <w:ind w:firstLine="480"/>
        <w:jc w:val="both"/>
        <w:rPr>
          <w:rFonts w:hint="eastAsia" w:ascii="黑体" w:hAnsi="黑体" w:eastAsia="黑体" w:cs="黑体"/>
          <w:color w:val="2B2B2B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黑体"/>
          <w:color w:val="2B2B2B"/>
          <w:kern w:val="0"/>
          <w:sz w:val="32"/>
          <w:szCs w:val="32"/>
          <w:shd w:val="clear" w:color="auto" w:fill="FFFFFF"/>
          <w:lang w:bidi="ar"/>
        </w:rPr>
        <w:t xml:space="preserve"> </w:t>
      </w:r>
    </w:p>
    <w:p w14:paraId="5009F150">
      <w:pPr>
        <w:widowControl/>
        <w:spacing w:line="360" w:lineRule="auto"/>
        <w:ind w:firstLine="480"/>
        <w:jc w:val="both"/>
        <w:rPr>
          <w:rFonts w:ascii="黑体" w:hAnsi="黑体" w:eastAsia="黑体" w:cs="黑体"/>
          <w:color w:val="2B2B2B"/>
          <w:sz w:val="32"/>
          <w:szCs w:val="32"/>
        </w:rPr>
      </w:pPr>
      <w:r>
        <w:rPr>
          <w:rFonts w:hint="eastAsia" w:ascii="黑体" w:hAnsi="黑体" w:eastAsia="黑体" w:cs="黑体"/>
          <w:color w:val="2B2B2B"/>
          <w:kern w:val="0"/>
          <w:sz w:val="32"/>
          <w:szCs w:val="32"/>
          <w:shd w:val="clear" w:color="auto" w:fill="FFFFFF"/>
          <w:lang w:bidi="ar"/>
        </w:rPr>
        <w:t>一、基本情况</w:t>
      </w:r>
    </w:p>
    <w:p w14:paraId="05702791">
      <w:pPr>
        <w:widowControl/>
        <w:spacing w:line="360" w:lineRule="auto"/>
        <w:ind w:firstLine="640" w:firstLineChars="200"/>
        <w:jc w:val="both"/>
        <w:rPr>
          <w:rFonts w:hint="eastAsia" w:ascii="仿宋" w:hAnsi="仿宋" w:eastAsia="仿宋_GB2312" w:cs="仿宋"/>
          <w:color w:val="2B2B2B"/>
          <w:kern w:val="0"/>
          <w:sz w:val="32"/>
          <w:szCs w:val="32"/>
          <w:shd w:val="clear" w:color="auto" w:fill="FFFFFF"/>
          <w:lang w:eastAsia="zh-CN" w:bidi="ar"/>
        </w:rPr>
      </w:pP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shd w:val="clear" w:color="auto" w:fill="FFFFFF"/>
          <w:lang w:bidi="ar"/>
        </w:rPr>
        <w:t>为加强财政资金管理，提高资金使用效益，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优化财政资金配置，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shd w:val="clear" w:color="auto" w:fill="FFFFFF"/>
          <w:lang w:bidi="ar"/>
        </w:rPr>
        <w:t>按照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《中共中央  国务院关于全面实施预算绩效管理的意见》（中发〔2018〕34号）、《内蒙古自治区关于全面实施预算绩效管理的实施意见》（内财监〔2019〕1343）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《内蒙古自治区项目支出绩效评价管理办法》（内政办发〔2021〕5号）的相关要求，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莫旗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财政局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委托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第三方机构</w:t>
      </w:r>
      <w:r>
        <w:rPr>
          <w:rFonts w:hint="default" w:ascii="Times New Roman" w:hAnsi="Times New Roman" w:eastAsia="仿宋_GB2312" w:cs="Times New Roman"/>
          <w:color w:val="2B2B2B"/>
          <w:kern w:val="0"/>
          <w:sz w:val="32"/>
          <w:szCs w:val="32"/>
          <w:shd w:val="clear" w:color="auto" w:fill="FFFFFF"/>
          <w:lang w:bidi="ar"/>
        </w:rPr>
        <w:t>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旗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本级财政支出项目开展重点绩效评价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工作，现将评价结果汇总如下</w:t>
      </w:r>
      <w:r>
        <w:rPr>
          <w:rFonts w:hint="eastAsia" w:ascii="Times New Roman" w:hAnsi="Times New Roman" w:eastAsia="仿宋_GB2312" w:cs="Times New Roman"/>
          <w:color w:val="2B2B2B"/>
          <w:kern w:val="0"/>
          <w:sz w:val="32"/>
          <w:szCs w:val="32"/>
          <w:shd w:val="clear" w:color="auto" w:fill="FFFFFF"/>
          <w:lang w:eastAsia="zh-CN" w:bidi="ar"/>
        </w:rPr>
        <w:t>：</w:t>
      </w:r>
    </w:p>
    <w:p w14:paraId="4E3CFAF1">
      <w:pPr>
        <w:widowControl/>
        <w:spacing w:line="360" w:lineRule="auto"/>
        <w:ind w:firstLine="640" w:firstLineChars="200"/>
        <w:jc w:val="both"/>
        <w:rPr>
          <w:rFonts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val="en-US" w:eastAsia="zh-CN" w:bidi="ar"/>
        </w:rPr>
        <w:t>莫旗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财政局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val="en-US" w:eastAsia="zh-CN" w:bidi="ar"/>
        </w:rPr>
        <w:t>2024年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共选取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eastAsia="zh-CN" w:bidi="ar"/>
        </w:rPr>
        <w:t>“</w:t>
      </w:r>
      <w:r>
        <w:rPr>
          <w:rFonts w:hint="eastAsia" w:ascii="仿宋" w:hAnsi="仿宋" w:eastAsia="仿宋" w:cs="宋体"/>
          <w:sz w:val="32"/>
          <w:szCs w:val="32"/>
        </w:rPr>
        <w:t>制种大县奖励资金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项目”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、“呼伦贝尔市财政局、教育局关于提前下达2024年义务教育薄弱环节改善与能力提升补助资金项目”、“2024年就业补助资金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项目”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、“莫力达瓦达斡尔族自治旗2处地质灾害隐患治理项目”、“登特克镇农村牧区人居环境综合治理示范试点项目”、“2024年新型农业经营主体培育（粮油单产提升）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项目”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等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val="en-US" w:eastAsia="zh-CN" w:bidi="ar"/>
        </w:rPr>
        <w:t>13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个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val="en-US" w:eastAsia="zh-CN" w:bidi="ar"/>
        </w:rPr>
        <w:t>财政重点支出、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社会关注度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val="en-US" w:eastAsia="zh-CN" w:bidi="ar"/>
        </w:rPr>
        <w:t>较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高的项目进行重点评价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eastAsia="zh-CN" w:bidi="ar"/>
        </w:rPr>
        <w:t>，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涉及资金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34,097.61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val="en-US" w:eastAsia="zh-CN" w:bidi="ar"/>
        </w:rPr>
        <w:t>万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元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eastAsia="zh-CN" w:bidi="ar"/>
        </w:rPr>
        <w:t>；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覆盖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val="en-US" w:eastAsia="zh-CN" w:bidi="ar"/>
        </w:rPr>
        <w:t>莫旗财政局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经贸股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eastAsia="zh-CN" w:bidi="ar"/>
        </w:rPr>
        <w:t>、教科文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val="en-US" w:eastAsia="zh-CN" w:bidi="ar"/>
        </w:rPr>
        <w:t>股、社会保障股、自然资源和生态环境股、农牧业股、债务办</w:t>
      </w:r>
      <w:r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  <w:t>。</w:t>
      </w:r>
    </w:p>
    <w:p w14:paraId="09DE5E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黑体" w:hAnsi="黑体" w:eastAsia="黑体" w:cs="黑体"/>
          <w:color w:val="2B2B2B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黑体"/>
          <w:color w:val="2B2B2B"/>
          <w:kern w:val="0"/>
          <w:sz w:val="32"/>
          <w:szCs w:val="32"/>
          <w:shd w:val="clear" w:color="auto" w:fill="FFFFFF"/>
          <w:lang w:bidi="ar"/>
        </w:rPr>
        <w:t xml:space="preserve">    二、绩效评价结果</w:t>
      </w:r>
    </w:p>
    <w:p w14:paraId="37075F71">
      <w:pPr>
        <w:keepNext w:val="0"/>
        <w:keepLines w:val="0"/>
        <w:pageBreakBefore w:val="0"/>
        <w:widowControl w:val="0"/>
        <w:kinsoku/>
        <w:wordWrap w:val="0"/>
        <w:overflowPunct w:val="0"/>
        <w:topLinePunct/>
        <w:autoSpaceDE/>
        <w:autoSpaceDN/>
        <w:bidi w:val="0"/>
        <w:adjustRightInd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color w:val="2B2B2B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财政支出重点</w:t>
      </w:r>
      <w:r>
        <w:rPr>
          <w:rFonts w:hint="eastAsia" w:ascii="仿宋" w:hAnsi="仿宋" w:eastAsia="仿宋" w:cs="仿宋"/>
          <w:b/>
          <w:bCs/>
          <w:color w:val="2B2B2B"/>
          <w:kern w:val="0"/>
          <w:sz w:val="28"/>
          <w:szCs w:val="28"/>
          <w:shd w:val="clear" w:color="auto" w:fill="FFFFFF"/>
          <w:lang w:bidi="ar"/>
        </w:rPr>
        <w:t>绩效评价结果明细表</w:t>
      </w:r>
    </w:p>
    <w:tbl>
      <w:tblPr>
        <w:tblStyle w:val="6"/>
        <w:tblW w:w="992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262"/>
        <w:gridCol w:w="930"/>
        <w:gridCol w:w="2385"/>
        <w:gridCol w:w="2400"/>
        <w:gridCol w:w="1020"/>
        <w:gridCol w:w="773"/>
        <w:gridCol w:w="546"/>
      </w:tblGrid>
      <w:tr w14:paraId="50443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C7F9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2024年财政重点项目绩效评价明细表</w:t>
            </w:r>
          </w:p>
        </w:tc>
      </w:tr>
      <w:tr w14:paraId="7D028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A43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righ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单位：万元</w:t>
            </w:r>
          </w:p>
        </w:tc>
      </w:tr>
      <w:tr w14:paraId="4C866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F504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CA8E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业务股室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4C79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F831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C3D7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资金项目名称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6BC7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E93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得分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4C4C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等级</w:t>
            </w:r>
          </w:p>
        </w:tc>
      </w:tr>
      <w:tr w14:paraId="196CF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EA431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4E9F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经贸股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237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农科局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402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呼财贸（2023）1302号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呼财贸（2024）341号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662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制种大县奖励资金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869F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1,000.0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BF9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92.45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BEF8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优</w:t>
            </w:r>
          </w:p>
        </w:tc>
      </w:tr>
      <w:tr w14:paraId="17D6D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6926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56A61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教科文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E816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教育局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F363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呼财教（2023）1428号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E883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呼伦贝尔市财政局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教育局关于提前下达2024年义务教育薄弱环节改善与能力提升补助资金项目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2D71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4,451.0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62DD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91.95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AEEB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优</w:t>
            </w:r>
          </w:p>
        </w:tc>
      </w:tr>
      <w:tr w14:paraId="3AC4C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1DC41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88787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社会保障股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18A2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殡葬服务中心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2A9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呼财社〔202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〕1274号、呼财社〔2024〕446号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753E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2024年殡葬基本服务补助资金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2102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4750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83.78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3008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良</w:t>
            </w:r>
          </w:p>
        </w:tc>
      </w:tr>
      <w:tr w14:paraId="662C1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B077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AB5E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社会保障股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D9E4E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就业服务中心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58EBC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呼财社〔202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〕1372号、呼财社〔202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〕1375号、呼财社〔2024〕458号、呼财社〔2024〕459号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BC64F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2024年就业补助资金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8C143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1,857.49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04E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84.82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FE95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良</w:t>
            </w:r>
          </w:p>
        </w:tc>
      </w:tr>
      <w:tr w14:paraId="58321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85B2A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0BE5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自然资源和生态环境股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BF9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自然</w:t>
            </w:r>
          </w:p>
          <w:p w14:paraId="79899F0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资源局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7575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呼财资环〔2024〕202号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9C19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莫力达瓦达斡尔族自治旗2处地质灾害隐患治理项目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2A6E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891.17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A5C0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91.12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3D27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优</w:t>
            </w:r>
          </w:p>
        </w:tc>
      </w:tr>
      <w:tr w14:paraId="608E6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52CA1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3D13D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自然资源和生态环境股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336B0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登特科</w:t>
            </w:r>
          </w:p>
          <w:p w14:paraId="2DDAFD7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政府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931A6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呼财资环〔2024〕329号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35EC2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登特克镇农村牧区人居环境综合治理示范试点项目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DFF3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1,280.40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1576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93.71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D51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优</w:t>
            </w:r>
          </w:p>
        </w:tc>
      </w:tr>
      <w:tr w14:paraId="64F0F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B6CF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1971F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农牧业股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FC2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农科局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F636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呼财农〔202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〕927号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3D1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2024年新型农业经营主体培育（粮油单产提升）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E31D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976.00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CAD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92.91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A895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优</w:t>
            </w:r>
          </w:p>
        </w:tc>
      </w:tr>
      <w:tr w14:paraId="306DB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BDB09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0235A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农牧业股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F9844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农科局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B95DA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呼财农〔202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〕662号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C6E7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2024年中央农业防灾减灾和水利救灾资金（一喷多促）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5F1A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977.00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169F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93.65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F746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优</w:t>
            </w:r>
          </w:p>
        </w:tc>
      </w:tr>
      <w:tr w14:paraId="3D74F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DE5D6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DE5A9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农牧业股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4F6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农科局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536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呼财债〔202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〕501号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B04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巴彦东方红农场等4处人饮巩固提升项目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6623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157.00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27B4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82.53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C59F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良</w:t>
            </w:r>
          </w:p>
        </w:tc>
      </w:tr>
      <w:tr w14:paraId="12803E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74136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CF814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农牧业股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281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农村经营指导与产业服务中心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933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呼财农〔2023〕1365号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5889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2024年呼伦贝尔市莫旗西瓦尔图镇东向阳村1.0万亩旱作高标准农田建设项目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844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2,571.07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1C7E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83.92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D694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良</w:t>
            </w:r>
          </w:p>
        </w:tc>
      </w:tr>
      <w:tr w14:paraId="293D0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1BD06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C2600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农牧业股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BA0B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民族事务委员会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1763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呼财农〔2023〕1211号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8C14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衔接资金-莫旗登特科镇郭尼村街道水泥路硬化项目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9F13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7AFA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97.64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BC62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优</w:t>
            </w:r>
          </w:p>
        </w:tc>
      </w:tr>
      <w:tr w14:paraId="10468A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9BB80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B286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农牧业股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DBBD4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水利局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51EA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呼财农〔2023〕1423号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AF95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莫旗西瓦尔图河河道治理工程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39FC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4,513.00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B2A3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81.69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E99A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良</w:t>
            </w:r>
          </w:p>
        </w:tc>
      </w:tr>
      <w:tr w14:paraId="4753B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F998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A916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债务办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14E6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莫旗工信局（城投公司）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BCF8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呼财债〔2023〕699号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E8B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智能化冷链物流配送</w:t>
            </w:r>
          </w:p>
          <w:p w14:paraId="550D20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B2D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15,235.48 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AE1D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84.87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BBE5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良</w:t>
            </w:r>
          </w:p>
        </w:tc>
      </w:tr>
      <w:tr w14:paraId="2888E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974F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D287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016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9AB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</w:tr>
    </w:tbl>
    <w:p w14:paraId="7600CB80">
      <w:pPr>
        <w:widowControl/>
        <w:spacing w:line="240" w:lineRule="auto"/>
        <w:ind w:firstLine="643" w:firstLineChars="200"/>
      </w:pPr>
      <w:r>
        <w:rPr>
          <w:rFonts w:hint="eastAsia" w:ascii="黑体" w:hAnsi="黑体" w:eastAsia="黑体" w:cs="黑体"/>
          <w:b/>
          <w:bCs/>
          <w:color w:val="000000"/>
          <w:sz w:val="32"/>
          <w:szCs w:val="32"/>
        </w:rPr>
        <w:t>注：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绩效评价共分4个等级：综合得分90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-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100分为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“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优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”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；综合得分80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-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89分为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“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良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”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；综合得分60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-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79分为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“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中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”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；综合得分0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-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59分为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“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差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”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。</w:t>
      </w:r>
    </w:p>
    <w:p w14:paraId="07001896">
      <w:pPr>
        <w:widowControl/>
        <w:numPr>
          <w:ilvl w:val="0"/>
          <w:numId w:val="0"/>
        </w:numPr>
        <w:spacing w:line="400" w:lineRule="atLeast"/>
        <w:ind w:firstLine="640" w:firstLineChars="200"/>
        <w:jc w:val="left"/>
        <w:rPr>
          <w:rFonts w:ascii="黑体" w:hAnsi="黑体" w:eastAsia="黑体" w:cs="楷体"/>
          <w:sz w:val="32"/>
          <w:szCs w:val="32"/>
        </w:rPr>
      </w:pPr>
      <w:r>
        <w:rPr>
          <w:rFonts w:hint="eastAsia" w:ascii="黑体" w:hAnsi="黑体" w:eastAsia="黑体" w:cs="楷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楷体"/>
          <w:sz w:val="32"/>
          <w:szCs w:val="32"/>
        </w:rPr>
        <w:t>存在问题</w:t>
      </w:r>
    </w:p>
    <w:p w14:paraId="52CEE8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本次出具的13份绩效评价报告，共指出预算项目存在的问题29个，经过分析发现主要集中在预算资金管理方面、项目组织实施等方面。主要问题如下：</w:t>
      </w:r>
    </w:p>
    <w:p w14:paraId="33170F7C">
      <w:pPr>
        <w:keepNext/>
        <w:keepLines/>
        <w:pageBreakBefore w:val="0"/>
        <w:widowControl w:val="0"/>
        <w:tabs>
          <w:tab w:val="right" w:pos="8201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firstLine="641"/>
        <w:textAlignment w:val="auto"/>
        <w:outlineLvl w:val="9"/>
        <w:rPr>
          <w:rFonts w:hint="eastAsia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  <w:t>（一）预算资金管理方面</w:t>
      </w:r>
      <w:r>
        <w:rPr>
          <w:rFonts w:hint="eastAsia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  <w:tab/>
      </w:r>
    </w:p>
    <w:p w14:paraId="0EA845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kern w:val="2"/>
          <w:sz w:val="32"/>
          <w:szCs w:val="32"/>
          <w:lang w:val="en-US" w:eastAsia="zh-CN" w:bidi="ar-SA"/>
        </w:rPr>
        <w:t>预算编制不合理，预算资金与实际支出不匹配。</w:t>
      </w:r>
      <w:r>
        <w:rPr>
          <w:rFonts w:hint="eastAsia" w:ascii="仿宋" w:hAnsi="仿宋" w:eastAsia="仿宋" w:cs="仿宋"/>
          <w:b w:val="0"/>
          <w:bCs/>
          <w:kern w:val="2"/>
          <w:sz w:val="32"/>
          <w:szCs w:val="32"/>
          <w:lang w:val="en-US" w:eastAsia="zh-CN" w:bidi="ar-SA"/>
        </w:rPr>
        <w:t>莫力达瓦达斡尔族自治旗2处地质灾害隐患治理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项目最初预计支出891.17万元，而实际执行过程中，实际使用资金为812.167739万元，实际支出较预计支出减少了79.002261万元，偏差率为8.87%，预算资金高于实际所需。这种资金规模上的差异，反映出预算编制在前期测算环节缺乏对实际需求的精准把握，导致预算资金存在虚高</w:t>
      </w:r>
      <w:bookmarkStart w:id="0" w:name="_GoBack"/>
      <w:bookmarkEnd w:id="0"/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现象，未能实现资金规划与实际支出的合理匹配；</w:t>
      </w:r>
    </w:p>
    <w:p w14:paraId="1DED5C0D">
      <w:pPr>
        <w:keepNext/>
        <w:keepLines/>
        <w:pageBreakBefore w:val="0"/>
        <w:widowControl w:val="0"/>
        <w:tabs>
          <w:tab w:val="right" w:pos="8201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firstLine="641"/>
        <w:textAlignment w:val="auto"/>
        <w:outlineLvl w:val="9"/>
        <w:rPr>
          <w:rFonts w:hint="default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  <w:t>（二）</w:t>
      </w:r>
      <w:r>
        <w:rPr>
          <w:rFonts w:hint="default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  <w:t>项目组织实施方面</w:t>
      </w:r>
    </w:p>
    <w:p w14:paraId="004D5D6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643" w:firstLineChars="200"/>
        <w:textAlignment w:val="auto"/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kern w:val="2"/>
          <w:sz w:val="32"/>
          <w:szCs w:val="32"/>
          <w:lang w:val="en-US" w:eastAsia="zh-CN" w:bidi="ar-SA"/>
        </w:rPr>
        <w:t>1.项目资料管理不健全。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在对</w:t>
      </w:r>
      <w:r>
        <w:rPr>
          <w:rFonts w:hint="default" w:ascii="仿宋" w:hAnsi="仿宋" w:eastAsia="仿宋" w:cs="仿宋"/>
          <w:b w:val="0"/>
          <w:bCs/>
          <w:kern w:val="2"/>
          <w:sz w:val="32"/>
          <w:szCs w:val="32"/>
          <w:lang w:val="en-US" w:eastAsia="zh-CN" w:bidi="ar-SA"/>
        </w:rPr>
        <w:t>呼伦贝尔市财政局</w:t>
      </w:r>
      <w:r>
        <w:rPr>
          <w:rFonts w:hint="eastAsia" w:ascii="仿宋" w:hAnsi="仿宋" w:eastAsia="仿宋" w:cs="仿宋"/>
          <w:b w:val="0"/>
          <w:bCs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仿宋" w:hAnsi="仿宋" w:eastAsia="仿宋" w:cs="仿宋"/>
          <w:b w:val="0"/>
          <w:bCs/>
          <w:kern w:val="2"/>
          <w:sz w:val="32"/>
          <w:szCs w:val="32"/>
          <w:lang w:val="en-US" w:eastAsia="zh-CN" w:bidi="ar-SA"/>
        </w:rPr>
        <w:t>教育局关于提前下达2024年义务教育薄弱环节改善与能力提升补助资金项目</w:t>
      </w:r>
      <w:r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 w:bidi="ar-SA"/>
        </w:rPr>
        <w:t>现有资料进行全面梳理与核查时，发现项目资料管理存在不健全问题。具体表现为：在目前提供的全部资料中，与项目直接关联的2020、2022年绩效目标表、财务及业务管理制度文件均处于缺失状态。作为明确项目预期成果、衡量实施效果的核心依据，绩效目标表的缺失会使项目团队缺乏清晰的工作导向——既无法围绕既定目标有序推进各项任务，也使项目考核与评估失去了参照标准，难以客观评判实施成效。而财务和业务管理制度文件的缺失，则削弱了项目管理的基础保障体系：前者无法为资金使用提供规范指引，增加了财务风险发生的可能性；后者难以对业务流程操作形成有效约束，降低运作效率，最终对项目整体合规性构成影响。</w:t>
      </w:r>
    </w:p>
    <w:p w14:paraId="05E5DA1A">
      <w:pPr>
        <w:pStyle w:val="2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仿宋" w:hAnsi="仿宋" w:eastAsia="仿宋" w:cs="仿宋"/>
          <w:b/>
          <w:bCs w:val="0"/>
          <w:kern w:val="2"/>
          <w:sz w:val="32"/>
          <w:szCs w:val="32"/>
          <w:lang w:val="en-US" w:eastAsia="zh-CN" w:bidi="ar-SA"/>
        </w:rPr>
        <w:t>管理制度体系不完整，覆盖范围有明显缺口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。2024年殡葬基本服务补助资金项目仅制定财务制度，未建立《资产管理制度》和《监督管理制度》，存在资产流失风险，且监督机制缺失。</w:t>
      </w:r>
    </w:p>
    <w:p w14:paraId="1789D7BF">
      <w:pPr>
        <w:widowControl/>
        <w:numPr>
          <w:ilvl w:val="0"/>
          <w:numId w:val="0"/>
        </w:numPr>
        <w:spacing w:line="400" w:lineRule="atLeast"/>
        <w:ind w:firstLine="640" w:firstLineChars="200"/>
        <w:jc w:val="left"/>
        <w:rPr>
          <w:rFonts w:hint="eastAsia" w:ascii="黑体" w:hAnsi="黑体" w:eastAsia="黑体" w:cs="楷体"/>
          <w:sz w:val="32"/>
          <w:szCs w:val="32"/>
          <w:lang w:val="en-US" w:eastAsia="zh-CN"/>
        </w:rPr>
      </w:pPr>
    </w:p>
    <w:p w14:paraId="0B68E2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 w:val="0"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ascii="黑体" w:hAnsi="黑体" w:eastAsia="黑体" w:cs="楷体"/>
          <w:sz w:val="32"/>
          <w:szCs w:val="32"/>
        </w:rPr>
      </w:pPr>
      <w:r>
        <w:rPr>
          <w:rFonts w:hint="eastAsia" w:ascii="黑体" w:hAnsi="黑体" w:eastAsia="黑体" w:cs="楷体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楷体"/>
          <w:sz w:val="32"/>
          <w:szCs w:val="32"/>
        </w:rPr>
        <w:t>相关建议</w:t>
      </w:r>
    </w:p>
    <w:p w14:paraId="600E7ED4">
      <w:pPr>
        <w:keepNext w:val="0"/>
        <w:keepLines w:val="0"/>
        <w:pageBreakBefore w:val="0"/>
        <w:widowControl w:val="0"/>
        <w:kinsoku/>
        <w:wordWrap w:val="0"/>
        <w:overflowPunct w:val="0"/>
        <w:topLinePunct/>
        <w:autoSpaceDE/>
        <w:autoSpaceDN/>
        <w:bidi w:val="0"/>
        <w:adjustRightInd/>
        <w:snapToGrid/>
        <w:spacing w:line="240" w:lineRule="auto"/>
        <w:ind w:firstLine="641"/>
        <w:textAlignment w:val="auto"/>
        <w:outlineLvl w:val="9"/>
        <w:rPr>
          <w:rFonts w:hint="default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  <w:t>（一）强化预算全流程管理，提高预算编制准确性</w:t>
      </w:r>
    </w:p>
    <w:p w14:paraId="2B4852CA">
      <w:pPr>
        <w:keepNext w:val="0"/>
        <w:keepLines w:val="0"/>
        <w:pageBreakBefore w:val="0"/>
        <w:widowControl w:val="0"/>
        <w:kinsoku/>
        <w:wordWrap w:val="0"/>
        <w:overflowPunct w:val="0"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1.强化预算编制的精细化与前瞻性：在编制预算前，对项目各环节进行全面、细致的调研，结合过往类似项目经验及当前实际需求，明确各项支出的具体内容、数量、单价等，确保预算项目与实际执行需求高度匹配。例如，对于设备采购、工程施工等重点支出项，需提前核实市场价格、施工方案等，避免预算编制的笼统性和随意性。</w:t>
      </w:r>
    </w:p>
    <w:p w14:paraId="490C54DC">
      <w:pPr>
        <w:keepNext w:val="0"/>
        <w:keepLines w:val="0"/>
        <w:pageBreakBefore w:val="0"/>
        <w:widowControl w:val="0"/>
        <w:kinsoku/>
        <w:wordWrap w:val="0"/>
        <w:overflowPunct w:val="0"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2.建立预算执行动态监控机制：在项目执行过程中，定期对资金使用情况进行跟踪核查，对比预算计划与实际支出的差异，及时发现未按原计划支出的项目，并分析原因。可借助信息化管理工具，实时记录资金流向，确保每一笔支出都有迹可循，便于及时预警和干预。</w:t>
      </w:r>
    </w:p>
    <w:p w14:paraId="2079255F">
      <w:pPr>
        <w:keepNext w:val="0"/>
        <w:keepLines w:val="0"/>
        <w:pageBreakBefore w:val="0"/>
        <w:widowControl w:val="0"/>
        <w:kinsoku/>
        <w:wordWrap w:val="0"/>
        <w:overflowPunct w:val="0"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3.完善预算调整审批流程：当出现预算项目与实际需求不匹配的情况时，需建立规范的调整审批机制。确需调整的支出项目，要说明调整原因、调整金额及对项目整体的影响，经相关部门审核批准后方可执行，避免随意变更预算，保证预算调整的合理性和严肃性。</w:t>
      </w:r>
    </w:p>
    <w:p w14:paraId="06816316">
      <w:pPr>
        <w:pStyle w:val="2"/>
        <w:keepNext w:val="0"/>
        <w:keepLines w:val="0"/>
        <w:pageBreakBefore w:val="0"/>
        <w:widowControl w:val="0"/>
        <w:kinsoku/>
        <w:wordWrap w:val="0"/>
        <w:overflowPunct w:val="0"/>
        <w:topLinePunct/>
        <w:autoSpaceDE/>
        <w:autoSpaceDN/>
        <w:bidi w:val="0"/>
        <w:adjustRightInd/>
        <w:snapToGrid/>
        <w:spacing w:line="240" w:lineRule="auto"/>
        <w:ind w:left="0" w:leftChars="0" w:firstLine="672" w:firstLineChars="200"/>
        <w:textAlignment w:val="baseline"/>
        <w:outlineLvl w:val="1"/>
        <w:rPr>
          <w:rFonts w:hint="default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楷体_GB2312" w:hAnsi="仿宋" w:eastAsia="楷体_GB2312" w:cs="仿宋"/>
          <w:spacing w:val="8"/>
          <w:kern w:val="0"/>
          <w:sz w:val="32"/>
          <w:szCs w:val="32"/>
          <w:shd w:val="clear" w:color="auto" w:fill="FFFFFF"/>
          <w:lang w:val="en-US" w:eastAsia="zh-CN" w:bidi="ar-SA"/>
        </w:rPr>
        <w:t>（二）加强项目组织实施管理制度</w:t>
      </w:r>
    </w:p>
    <w:p w14:paraId="76DFA41E">
      <w:pPr>
        <w:keepNext w:val="0"/>
        <w:keepLines w:val="0"/>
        <w:pageBreakBefore w:val="0"/>
        <w:widowControl w:val="0"/>
        <w:kinsoku/>
        <w:wordWrap w:val="0"/>
        <w:overflowPunct w:val="0"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及时补充关键资料。组织项目核心团队成员，依据项目立项文件、前期规划以及相关政策要求，尽快编制与项目直接相关的绩效目标表，明确项目的具体目标、衡量指标、完成时限和责任主体等内容，确保目标清晰可量化。同时，梳理项目涉及的财务和业务管理要点，参考行业内类似项目的成熟制度，结合本项目的实际情况，制定专门的财务管理制度和业务管理制度文件，对资金使用流程、审批权限、业务操作规范等进行详细规定，确保制度具有实用性和可操作性。</w:t>
      </w:r>
    </w:p>
    <w:p w14:paraId="432F1FA8">
      <w:pPr>
        <w:keepNext w:val="0"/>
        <w:keepLines w:val="0"/>
        <w:pageBreakBefore w:val="0"/>
        <w:widowControl w:val="0"/>
        <w:kinsoku/>
        <w:wordWrap w:val="0"/>
        <w:overflowPunct w:val="0"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建立资料归档机制。指定专人负责项目资料的收集、整理、归档和保管工作，明确资料归档的范围、标准和时限。在资料补充完善后，及时将绩效目标表、财务和业务管理制度文件等关键资料纳入归档范围，按照类别进行有序存放，并建立资料台账，详细记录资料的名称、形成时间、存放位置等信息，方便查阅和管理。</w:t>
      </w:r>
    </w:p>
    <w:p w14:paraId="325F1294"/>
    <w:sectPr>
      <w:pgSz w:w="11906" w:h="16838"/>
      <w:pgMar w:top="1417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7736BE1-38B6-469B-8D40-717C860B4A2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FDE0E88-B408-4EC2-848D-C935B59BB9AC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B8FF9CA8-6114-499F-9625-D5750FCC1E5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554A190B-0FBA-42E4-9001-BDE5DFDF9D7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5EE399B0-FF9D-4E34-9F15-4BACA7B7ADC6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C3018F43-9A0A-44A4-885A-6826CD79E7B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3E1CE9"/>
    <w:rsid w:val="1B3F107D"/>
    <w:rsid w:val="22976245"/>
    <w:rsid w:val="2F722BD0"/>
    <w:rsid w:val="32F702B8"/>
    <w:rsid w:val="33A90751"/>
    <w:rsid w:val="384D6CD1"/>
    <w:rsid w:val="3EAF1EF2"/>
    <w:rsid w:val="53AD554D"/>
    <w:rsid w:val="56106A21"/>
    <w:rsid w:val="5C567710"/>
    <w:rsid w:val="6423427F"/>
    <w:rsid w:val="7A0533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  <w:rPr>
      <w:rFonts w:ascii="Arial" w:hAnsi="Arial"/>
      <w:kern w:val="0"/>
      <w:sz w:val="20"/>
      <w:szCs w:val="20"/>
    </w:rPr>
  </w:style>
  <w:style w:type="paragraph" w:styleId="3">
    <w:name w:val="Body Text"/>
    <w:basedOn w:val="1"/>
    <w:next w:val="1"/>
    <w:qFormat/>
    <w:uiPriority w:val="0"/>
    <w:rPr>
      <w:rFonts w:ascii="仿宋" w:hAnsi="仿宋" w:eastAsia="仿宋" w:cs="仿宋"/>
      <w:sz w:val="28"/>
      <w:szCs w:val="28"/>
      <w:lang w:val="zh-CN" w:bidi="zh-CN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 2"/>
    <w:basedOn w:val="1"/>
    <w:next w:val="1"/>
    <w:qFormat/>
    <w:uiPriority w:val="0"/>
    <w:pPr>
      <w:ind w:firstLine="420"/>
    </w:p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2921</Words>
  <Characters>3293</Characters>
  <Lines>0</Lines>
  <Paragraphs>0</Paragraphs>
  <TotalTime>52</TotalTime>
  <ScaleCrop>false</ScaleCrop>
  <LinksUpToDate>false</LinksUpToDate>
  <CharactersWithSpaces>3310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2025-08-18T02:46:00Z</dcterms:created>
  <dc:creator>Administrator</dc:creator>
  <cp:lastModifiedBy>fenglina</cp:lastModifiedBy>
  <dcterms:modified xsi:type="dcterms:W3CDTF">2025-09-30T03:03:27Z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8F3FEF6C6EF84F7FA2CFFC432718565C_13</vt:lpwstr>
  </property>
  <property fmtid="{D5CDD505-2E9C-101B-9397-08002B2CF9AE}" pid="4" name="KSOTemplateDocerSaveRecord">
    <vt:lpwstr>eyJoZGlkIjoiZWVlMDUzY2M3YWM3OWJmMGE1MTlmODJhYzc5OTcyNWIiLCJ1c2VySWQiOiIzNzk4ODM4OTEifQ==</vt:lpwstr>
  </property>
</Properties>
</file>