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85A23C">
      <w:pPr>
        <w:spacing w:line="360" w:lineRule="auto"/>
        <w:jc w:val="center"/>
        <w:rPr>
          <w:rFonts w:hint="eastAsia" w:ascii="Times New Roman" w:hAnsi="Times New Roman" w:eastAsia="方正小标宋简体" w:cs="方正小标宋简体"/>
          <w:b w:val="0"/>
          <w:bCs/>
          <w:sz w:val="44"/>
          <w:szCs w:val="44"/>
        </w:rPr>
      </w:pPr>
      <w:r>
        <w:rPr>
          <w:rFonts w:hint="eastAsia" w:ascii="Times New Roman" w:hAnsi="Times New Roman" w:eastAsia="方正小标宋简体" w:cs="方正小标宋简体"/>
          <w:b w:val="0"/>
          <w:bCs/>
          <w:sz w:val="44"/>
          <w:szCs w:val="44"/>
          <w:lang w:eastAsia="zh-CN"/>
        </w:rPr>
        <w:t>莫旗</w:t>
      </w:r>
      <w:r>
        <w:rPr>
          <w:rFonts w:hint="eastAsia" w:ascii="Times New Roman" w:hAnsi="Times New Roman" w:eastAsia="方正小标宋简体" w:cs="方正小标宋简体"/>
          <w:b w:val="0"/>
          <w:bCs/>
          <w:sz w:val="44"/>
          <w:szCs w:val="44"/>
        </w:rPr>
        <w:t>202</w:t>
      </w:r>
      <w:r>
        <w:rPr>
          <w:rFonts w:hint="eastAsia" w:ascii="Times New Roman" w:hAnsi="Times New Roman" w:eastAsia="方正小标宋简体" w:cs="方正小标宋简体"/>
          <w:b w:val="0"/>
          <w:bCs/>
          <w:sz w:val="44"/>
          <w:szCs w:val="44"/>
          <w:lang w:val="en-US" w:eastAsia="zh-CN"/>
        </w:rPr>
        <w:t>4</w:t>
      </w:r>
      <w:r>
        <w:rPr>
          <w:rFonts w:hint="eastAsia" w:ascii="Times New Roman" w:hAnsi="Times New Roman" w:eastAsia="方正小标宋简体" w:cs="方正小标宋简体"/>
          <w:b w:val="0"/>
          <w:bCs/>
          <w:sz w:val="44"/>
          <w:szCs w:val="44"/>
        </w:rPr>
        <w:t>年地方政府债务情况说明</w:t>
      </w:r>
    </w:p>
    <w:p w14:paraId="55448122">
      <w:pPr>
        <w:spacing w:line="360" w:lineRule="auto"/>
        <w:jc w:val="both"/>
        <w:rPr>
          <w:rFonts w:ascii="Times New Roman" w:hAnsi="Times New Roman" w:eastAsia="黑体"/>
          <w:sz w:val="24"/>
        </w:rPr>
      </w:pPr>
    </w:p>
    <w:p w14:paraId="40C86CB7">
      <w:pPr>
        <w:spacing w:line="360" w:lineRule="auto"/>
        <w:ind w:firstLine="640" w:firstLineChars="200"/>
        <w:jc w:val="both"/>
        <w:rPr>
          <w:rFonts w:ascii="Times New Roman" w:hAnsi="Times New Roman" w:eastAsia="黑体"/>
          <w:sz w:val="32"/>
          <w:szCs w:val="32"/>
        </w:rPr>
      </w:pPr>
      <w:r>
        <w:rPr>
          <w:rFonts w:hint="eastAsia" w:ascii="Times New Roman" w:hAnsi="Times New Roman" w:eastAsia="黑体"/>
          <w:sz w:val="32"/>
          <w:szCs w:val="32"/>
        </w:rPr>
        <w:t>一、全</w:t>
      </w:r>
      <w:r>
        <w:rPr>
          <w:rFonts w:hint="eastAsia" w:ascii="Times New Roman" w:hAnsi="Times New Roman" w:eastAsia="黑体"/>
          <w:sz w:val="32"/>
          <w:szCs w:val="32"/>
          <w:lang w:eastAsia="zh-CN"/>
        </w:rPr>
        <w:t>旗</w:t>
      </w:r>
      <w:r>
        <w:rPr>
          <w:rFonts w:hint="eastAsia" w:ascii="Times New Roman" w:hAnsi="Times New Roman" w:eastAsia="黑体"/>
          <w:sz w:val="32"/>
          <w:szCs w:val="32"/>
        </w:rPr>
        <w:t>政府债务有关情况</w:t>
      </w:r>
    </w:p>
    <w:p w14:paraId="0443D8C3">
      <w:pPr>
        <w:spacing w:line="360" w:lineRule="auto"/>
        <w:ind w:firstLine="630" w:firstLineChars="196"/>
        <w:jc w:val="both"/>
        <w:rPr>
          <w:rFonts w:ascii="Times New Roman" w:hAnsi="Times New Roman" w:eastAsia="仿宋_GB2312"/>
          <w:sz w:val="32"/>
          <w:szCs w:val="32"/>
          <w:highlight w:val="none"/>
        </w:rPr>
      </w:pPr>
      <w:r>
        <w:rPr>
          <w:rFonts w:hint="eastAsia" w:ascii="Times New Roman" w:hAnsi="Times New Roman" w:eastAsia="楷体_GB2312" w:cs="楷体_GB2312"/>
          <w:b/>
          <w:sz w:val="32"/>
          <w:szCs w:val="32"/>
          <w:highlight w:val="none"/>
        </w:rPr>
        <w:t>（一）全</w:t>
      </w:r>
      <w:r>
        <w:rPr>
          <w:rFonts w:hint="eastAsia" w:ascii="Times New Roman" w:hAnsi="Times New Roman" w:eastAsia="楷体_GB2312" w:cs="楷体_GB2312"/>
          <w:b/>
          <w:sz w:val="32"/>
          <w:szCs w:val="32"/>
          <w:highlight w:val="none"/>
          <w:lang w:val="en-US" w:eastAsia="zh-CN"/>
        </w:rPr>
        <w:t>旗</w:t>
      </w:r>
      <w:r>
        <w:rPr>
          <w:rFonts w:hint="eastAsia" w:ascii="Times New Roman" w:hAnsi="Times New Roman" w:eastAsia="楷体_GB2312" w:cs="楷体_GB2312"/>
          <w:b/>
          <w:sz w:val="32"/>
          <w:szCs w:val="32"/>
          <w:highlight w:val="none"/>
        </w:rPr>
        <w:t>政府债务限额情况。</w:t>
      </w:r>
      <w:r>
        <w:rPr>
          <w:rFonts w:hint="eastAsia" w:ascii="Times New Roman" w:hAnsi="Times New Roman" w:eastAsia="仿宋_GB2312"/>
          <w:sz w:val="32"/>
          <w:szCs w:val="32"/>
          <w:highlight w:val="none"/>
        </w:rPr>
        <w:t>财政</w:t>
      </w:r>
      <w:r>
        <w:rPr>
          <w:rFonts w:hint="eastAsia" w:ascii="Times New Roman" w:hAnsi="Times New Roman" w:eastAsia="仿宋_GB2312"/>
          <w:sz w:val="32"/>
          <w:szCs w:val="32"/>
          <w:highlight w:val="none"/>
          <w:lang w:val="en-US" w:eastAsia="zh-CN"/>
        </w:rPr>
        <w:t>厅</w:t>
      </w:r>
      <w:r>
        <w:rPr>
          <w:rFonts w:hint="eastAsia" w:ascii="Times New Roman" w:hAnsi="Times New Roman" w:eastAsia="仿宋_GB2312"/>
          <w:sz w:val="32"/>
          <w:szCs w:val="32"/>
          <w:highlight w:val="none"/>
        </w:rPr>
        <w:t>核定下达我</w:t>
      </w:r>
      <w:r>
        <w:rPr>
          <w:rFonts w:hint="eastAsia" w:ascii="Times New Roman" w:hAnsi="Times New Roman" w:eastAsia="仿宋_GB2312"/>
          <w:sz w:val="32"/>
          <w:szCs w:val="32"/>
          <w:highlight w:val="none"/>
          <w:lang w:val="en-US" w:eastAsia="zh-CN"/>
        </w:rPr>
        <w:t>旗</w:t>
      </w:r>
      <w:r>
        <w:rPr>
          <w:rFonts w:ascii="Times New Roman" w:hAnsi="Times New Roman" w:eastAsia="仿宋_GB2312"/>
          <w:sz w:val="32"/>
          <w:szCs w:val="32"/>
          <w:highlight w:val="none"/>
        </w:rPr>
        <w:t>202</w:t>
      </w:r>
      <w:r>
        <w:rPr>
          <w:rFonts w:hint="eastAsia" w:ascii="Times New Roman" w:hAnsi="Times New Roman" w:eastAsia="仿宋_GB2312"/>
          <w:sz w:val="32"/>
          <w:szCs w:val="32"/>
          <w:highlight w:val="none"/>
          <w:lang w:val="en-US" w:eastAsia="zh-CN"/>
        </w:rPr>
        <w:t>4</w:t>
      </w:r>
      <w:r>
        <w:rPr>
          <w:rFonts w:hint="eastAsia" w:ascii="Times New Roman" w:hAnsi="Times New Roman" w:eastAsia="仿宋_GB2312"/>
          <w:sz w:val="32"/>
          <w:szCs w:val="32"/>
          <w:highlight w:val="none"/>
        </w:rPr>
        <w:t>年地方政府债务限额</w:t>
      </w:r>
      <w:r>
        <w:rPr>
          <w:rFonts w:hint="eastAsia" w:ascii="Times New Roman" w:hAnsi="Times New Roman" w:eastAsia="仿宋_GB2312"/>
          <w:sz w:val="32"/>
          <w:szCs w:val="32"/>
          <w:highlight w:val="none"/>
          <w:lang w:val="en-US" w:eastAsia="zh-CN"/>
        </w:rPr>
        <w:t>270,000万</w:t>
      </w:r>
      <w:r>
        <w:rPr>
          <w:rFonts w:hint="eastAsia" w:ascii="Times New Roman" w:hAnsi="Times New Roman" w:eastAsia="仿宋_GB2312"/>
          <w:sz w:val="32"/>
          <w:szCs w:val="32"/>
          <w:highlight w:val="none"/>
        </w:rPr>
        <w:t>元</w:t>
      </w:r>
      <w:r>
        <w:rPr>
          <w:rFonts w:hint="eastAsia" w:ascii="Times New Roman" w:hAnsi="Times New Roman" w:eastAsia="仿宋_GB2312"/>
          <w:sz w:val="32"/>
          <w:szCs w:val="32"/>
          <w:highlight w:val="none"/>
          <w:lang w:eastAsia="zh-CN"/>
        </w:rPr>
        <w:t>。</w:t>
      </w:r>
      <w:r>
        <w:rPr>
          <w:rFonts w:hint="eastAsia" w:ascii="Times New Roman" w:hAnsi="Times New Roman" w:eastAsia="仿宋_GB2312"/>
          <w:sz w:val="32"/>
          <w:szCs w:val="32"/>
          <w:highlight w:val="none"/>
        </w:rPr>
        <w:t>其中：地方政府一般债务限额</w:t>
      </w:r>
      <w:r>
        <w:rPr>
          <w:rFonts w:hint="eastAsia" w:ascii="Times New Roman" w:hAnsi="Times New Roman" w:eastAsia="仿宋_GB2312"/>
          <w:sz w:val="32"/>
          <w:szCs w:val="32"/>
          <w:highlight w:val="none"/>
          <w:lang w:val="en-US" w:eastAsia="zh-CN"/>
        </w:rPr>
        <w:t>172,000万元</w:t>
      </w:r>
      <w:r>
        <w:rPr>
          <w:rFonts w:hint="eastAsia" w:ascii="Times New Roman" w:hAnsi="Times New Roman" w:eastAsia="仿宋_GB2312"/>
          <w:sz w:val="32"/>
          <w:szCs w:val="32"/>
          <w:highlight w:val="none"/>
        </w:rPr>
        <w:t>，地方政府专项债务限额</w:t>
      </w:r>
      <w:r>
        <w:rPr>
          <w:rFonts w:hint="eastAsia" w:ascii="Times New Roman" w:hAnsi="Times New Roman" w:eastAsia="仿宋_GB2312"/>
          <w:sz w:val="32"/>
          <w:szCs w:val="32"/>
          <w:highlight w:val="none"/>
          <w:lang w:val="en-US" w:eastAsia="zh-CN"/>
        </w:rPr>
        <w:t>98,000万元</w:t>
      </w:r>
      <w:r>
        <w:rPr>
          <w:rFonts w:hint="eastAsia" w:ascii="Times New Roman" w:hAnsi="Times New Roman" w:eastAsia="仿宋_GB2312"/>
          <w:sz w:val="32"/>
          <w:szCs w:val="32"/>
          <w:highlight w:val="none"/>
        </w:rPr>
        <w:t>。</w:t>
      </w:r>
    </w:p>
    <w:p w14:paraId="4A7ACFB3">
      <w:pPr>
        <w:spacing w:line="360" w:lineRule="auto"/>
        <w:ind w:firstLine="643" w:firstLineChars="200"/>
        <w:jc w:val="both"/>
        <w:rPr>
          <w:rFonts w:hint="eastAsia" w:ascii="Times New Roman" w:hAnsi="Times New Roman" w:eastAsia="仿宋_GB2312" w:cs="Times New Roman"/>
          <w:sz w:val="32"/>
          <w:szCs w:val="32"/>
          <w:highlight w:val="none"/>
        </w:rPr>
      </w:pPr>
      <w:r>
        <w:rPr>
          <w:rFonts w:hint="eastAsia" w:ascii="Times New Roman" w:hAnsi="Times New Roman" w:eastAsia="楷体_GB2312" w:cs="楷体_GB2312"/>
          <w:b/>
          <w:sz w:val="32"/>
          <w:szCs w:val="32"/>
          <w:highlight w:val="none"/>
        </w:rPr>
        <w:t>（二）全</w:t>
      </w:r>
      <w:r>
        <w:rPr>
          <w:rFonts w:hint="eastAsia" w:ascii="Times New Roman" w:hAnsi="Times New Roman" w:eastAsia="楷体_GB2312" w:cs="楷体_GB2312"/>
          <w:b/>
          <w:sz w:val="32"/>
          <w:szCs w:val="32"/>
          <w:highlight w:val="none"/>
          <w:lang w:val="en-US" w:eastAsia="zh-CN"/>
        </w:rPr>
        <w:t>旗</w:t>
      </w:r>
      <w:r>
        <w:rPr>
          <w:rFonts w:hint="eastAsia" w:ascii="Times New Roman" w:hAnsi="Times New Roman" w:eastAsia="楷体_GB2312" w:cs="楷体_GB2312"/>
          <w:b/>
          <w:sz w:val="32"/>
          <w:szCs w:val="32"/>
          <w:highlight w:val="none"/>
        </w:rPr>
        <w:t>政府债务情况。</w:t>
      </w:r>
      <w:r>
        <w:rPr>
          <w:rFonts w:hint="eastAsia" w:ascii="Times New Roman" w:hAnsi="Times New Roman" w:eastAsia="仿宋_GB2312"/>
          <w:sz w:val="32"/>
          <w:szCs w:val="32"/>
          <w:highlight w:val="none"/>
        </w:rPr>
        <w:t>截至</w:t>
      </w:r>
      <w:r>
        <w:rPr>
          <w:rFonts w:ascii="Times New Roman" w:hAnsi="Times New Roman" w:eastAsia="仿宋_GB2312"/>
          <w:sz w:val="32"/>
          <w:szCs w:val="32"/>
          <w:highlight w:val="none"/>
        </w:rPr>
        <w:t>202</w:t>
      </w:r>
      <w:r>
        <w:rPr>
          <w:rFonts w:hint="eastAsia" w:ascii="Times New Roman" w:hAnsi="Times New Roman" w:eastAsia="仿宋_GB2312"/>
          <w:sz w:val="32"/>
          <w:szCs w:val="32"/>
          <w:highlight w:val="none"/>
          <w:lang w:val="en-US" w:eastAsia="zh-CN"/>
        </w:rPr>
        <w:t>4</w:t>
      </w:r>
      <w:r>
        <w:rPr>
          <w:rFonts w:hint="eastAsia" w:ascii="Times New Roman" w:hAnsi="Times New Roman" w:eastAsia="仿宋_GB2312"/>
          <w:sz w:val="32"/>
          <w:szCs w:val="32"/>
          <w:highlight w:val="none"/>
        </w:rPr>
        <w:t>年底，</w:t>
      </w:r>
      <w:r>
        <w:rPr>
          <w:rFonts w:hint="eastAsia" w:ascii="Times New Roman" w:hAnsi="Times New Roman" w:eastAsia="仿宋_GB2312"/>
          <w:sz w:val="32"/>
          <w:szCs w:val="32"/>
          <w:highlight w:val="none"/>
          <w:lang w:val="en-US" w:eastAsia="zh-CN"/>
        </w:rPr>
        <w:t>莫旗</w:t>
      </w:r>
      <w:r>
        <w:rPr>
          <w:rFonts w:hint="eastAsia" w:ascii="Times New Roman" w:hAnsi="Times New Roman" w:eastAsia="仿宋_GB2312"/>
          <w:sz w:val="32"/>
          <w:szCs w:val="32"/>
          <w:highlight w:val="none"/>
        </w:rPr>
        <w:t>政府债务余额为</w:t>
      </w:r>
      <w:r>
        <w:rPr>
          <w:rFonts w:hint="eastAsia" w:ascii="Times New Roman" w:hAnsi="Times New Roman" w:eastAsia="仿宋_GB2312"/>
          <w:sz w:val="32"/>
          <w:szCs w:val="32"/>
          <w:highlight w:val="none"/>
          <w:lang w:val="en-US" w:eastAsia="zh-CN"/>
        </w:rPr>
        <w:t>267,830万元</w:t>
      </w:r>
      <w:r>
        <w:rPr>
          <w:rFonts w:hint="eastAsia" w:ascii="Times New Roman" w:hAnsi="Times New Roman" w:eastAsia="仿宋_GB2312"/>
          <w:sz w:val="32"/>
          <w:szCs w:val="32"/>
          <w:highlight w:val="none"/>
        </w:rPr>
        <w:t>。其中：地方政府一般债务</w:t>
      </w:r>
      <w:r>
        <w:rPr>
          <w:rFonts w:hint="eastAsia" w:ascii="Times New Roman" w:hAnsi="Times New Roman" w:eastAsia="仿宋_GB2312"/>
          <w:sz w:val="32"/>
          <w:szCs w:val="32"/>
          <w:highlight w:val="none"/>
          <w:lang w:val="en-US" w:eastAsia="zh-CN"/>
        </w:rPr>
        <w:t>余额</w:t>
      </w:r>
      <w:r>
        <w:rPr>
          <w:rFonts w:hint="eastAsia" w:ascii="Times New Roman" w:hAnsi="Times New Roman" w:eastAsia="仿宋_GB2312"/>
          <w:sz w:val="32"/>
          <w:szCs w:val="32"/>
          <w:highlight w:val="none"/>
        </w:rPr>
        <w:t>为</w:t>
      </w:r>
      <w:r>
        <w:rPr>
          <w:rFonts w:hint="eastAsia" w:ascii="Times New Roman" w:hAnsi="Times New Roman" w:eastAsia="仿宋_GB2312"/>
          <w:sz w:val="32"/>
          <w:szCs w:val="32"/>
          <w:highlight w:val="none"/>
          <w:lang w:val="en-US" w:eastAsia="zh-CN"/>
        </w:rPr>
        <w:t>171,519万元</w:t>
      </w:r>
      <w:r>
        <w:rPr>
          <w:rFonts w:hint="eastAsia" w:ascii="Times New Roman" w:hAnsi="Times New Roman" w:eastAsia="仿宋_GB2312"/>
          <w:sz w:val="32"/>
          <w:szCs w:val="32"/>
          <w:highlight w:val="none"/>
        </w:rPr>
        <w:t>，地方政府专项债务余额为</w:t>
      </w:r>
      <w:r>
        <w:rPr>
          <w:rFonts w:hint="eastAsia" w:ascii="Times New Roman" w:hAnsi="Times New Roman" w:eastAsia="仿宋_GB2312"/>
          <w:sz w:val="32"/>
          <w:szCs w:val="32"/>
          <w:highlight w:val="none"/>
          <w:lang w:val="en-US" w:eastAsia="zh-CN"/>
        </w:rPr>
        <w:t>96,311万元</w:t>
      </w:r>
      <w:r>
        <w:rPr>
          <w:rFonts w:hint="eastAsia" w:ascii="Times New Roman" w:hAnsi="Times New Roman" w:eastAsia="仿宋_GB2312"/>
          <w:sz w:val="32"/>
          <w:szCs w:val="32"/>
          <w:highlight w:val="none"/>
        </w:rPr>
        <w:t>。</w:t>
      </w:r>
      <w:r>
        <w:rPr>
          <w:rFonts w:hint="eastAsia" w:ascii="Times New Roman" w:hAnsi="Times New Roman" w:eastAsia="仿宋_GB2312" w:cs="Times New Roman"/>
          <w:sz w:val="32"/>
          <w:szCs w:val="32"/>
          <w:highlight w:val="none"/>
        </w:rPr>
        <w:t>主要用于市政建设、科教文卫、土地收储、保障性住房、交通运输、农林水利、生态建设和环境保护等项目，较好地保证了地方经济社会发展的资金需要，推动了民生改善和社会事业发展。</w:t>
      </w:r>
    </w:p>
    <w:p w14:paraId="7130CE41">
      <w:pPr>
        <w:pStyle w:val="7"/>
        <w:ind w:left="0" w:leftChars="0" w:firstLine="640" w:firstLineChars="200"/>
        <w:jc w:val="left"/>
      </w:pPr>
      <w:r>
        <w:rPr>
          <w:rFonts w:hint="eastAsia" w:ascii="Times New Roman" w:hAnsi="Times New Roman" w:eastAsia="仿宋_GB2312"/>
          <w:sz w:val="32"/>
          <w:szCs w:val="32"/>
          <w:highlight w:val="none"/>
          <w:lang w:val="en-US" w:eastAsia="zh-CN"/>
        </w:rPr>
        <w:t>莫旗</w:t>
      </w:r>
      <w:r>
        <w:rPr>
          <w:rFonts w:hint="eastAsia" w:ascii="Times New Roman" w:hAnsi="Times New Roman" w:eastAsia="仿宋_GB2312"/>
          <w:kern w:val="2"/>
          <w:sz w:val="32"/>
          <w:szCs w:val="32"/>
          <w:highlight w:val="none"/>
          <w:lang w:val="en-US" w:eastAsia="zh-CN" w:bidi="ar-SA"/>
        </w:rPr>
        <w:t>2024年偿还系统内债券本金28,288.80万元，全部为一般债券到期本金，其中：使用再融资债券偿还本金25,459万元，自有资金偿还本金2,829.80万元。此外,偿还系统内债务利息7,614万元，其中一般债务付息5,654万元，专项债务付息1,960万元。</w:t>
      </w:r>
    </w:p>
    <w:p w14:paraId="5927BF13">
      <w:pPr>
        <w:spacing w:line="360" w:lineRule="auto"/>
        <w:ind w:firstLine="640" w:firstLineChars="200"/>
        <w:jc w:val="both"/>
        <w:rPr>
          <w:rFonts w:ascii="Times New Roman" w:hAnsi="Times New Roman" w:eastAsia="黑体"/>
          <w:sz w:val="32"/>
          <w:szCs w:val="32"/>
          <w:highlight w:val="none"/>
        </w:rPr>
      </w:pPr>
      <w:r>
        <w:rPr>
          <w:rFonts w:hint="eastAsia" w:ascii="Times New Roman" w:hAnsi="Times New Roman" w:eastAsia="黑体"/>
          <w:sz w:val="32"/>
          <w:szCs w:val="32"/>
          <w:highlight w:val="none"/>
        </w:rPr>
        <w:t>二、全</w:t>
      </w:r>
      <w:r>
        <w:rPr>
          <w:rFonts w:hint="eastAsia" w:ascii="Times New Roman" w:hAnsi="Times New Roman" w:eastAsia="黑体"/>
          <w:sz w:val="32"/>
          <w:szCs w:val="32"/>
          <w:highlight w:val="none"/>
          <w:lang w:eastAsia="zh-CN"/>
        </w:rPr>
        <w:t>旗</w:t>
      </w:r>
      <w:r>
        <w:rPr>
          <w:rFonts w:ascii="Times New Roman" w:hAnsi="Times New Roman" w:eastAsia="黑体"/>
          <w:sz w:val="32"/>
          <w:szCs w:val="32"/>
          <w:highlight w:val="none"/>
        </w:rPr>
        <w:t>202</w:t>
      </w:r>
      <w:r>
        <w:rPr>
          <w:rFonts w:hint="eastAsia" w:ascii="Times New Roman" w:hAnsi="Times New Roman" w:eastAsia="黑体"/>
          <w:sz w:val="32"/>
          <w:szCs w:val="32"/>
          <w:highlight w:val="none"/>
          <w:lang w:val="en-US" w:eastAsia="zh-CN"/>
        </w:rPr>
        <w:t>4</w:t>
      </w:r>
      <w:r>
        <w:rPr>
          <w:rFonts w:hint="eastAsia" w:ascii="Times New Roman" w:hAnsi="Times New Roman" w:eastAsia="黑体"/>
          <w:sz w:val="32"/>
          <w:szCs w:val="32"/>
          <w:highlight w:val="none"/>
        </w:rPr>
        <w:t>年政府债务管理工作具体措施</w:t>
      </w:r>
    </w:p>
    <w:p w14:paraId="6185811E">
      <w:pPr>
        <w:keepNext w:val="0"/>
        <w:keepLines w:val="0"/>
        <w:pageBreakBefore w:val="0"/>
        <w:widowControl w:val="0"/>
        <w:kinsoku/>
        <w:wordWrap/>
        <w:overflowPunct/>
        <w:topLinePunct w:val="0"/>
        <w:autoSpaceDE/>
        <w:autoSpaceDN/>
        <w:bidi w:val="0"/>
        <w:adjustRightInd/>
        <w:snapToGrid/>
        <w:spacing w:beforeAutospacing="0" w:afterAutospacing="0" w:line="576" w:lineRule="exact"/>
        <w:ind w:firstLine="643" w:firstLineChars="200"/>
        <w:jc w:val="both"/>
        <w:textAlignment w:val="baseline"/>
        <w:rPr>
          <w:rStyle w:val="16"/>
          <w:rFonts w:hint="eastAsia" w:ascii="楷体" w:hAnsi="楷体" w:eastAsia="楷体" w:cs="楷体"/>
          <w:b/>
          <w:bCs/>
          <w:i w:val="0"/>
          <w:caps w:val="0"/>
          <w:color w:val="000000" w:themeColor="text1"/>
          <w:spacing w:val="0"/>
          <w:w w:val="100"/>
          <w:kern w:val="2"/>
          <w:sz w:val="32"/>
          <w:szCs w:val="32"/>
          <w:highlight w:val="none"/>
          <w:lang w:val="en-US" w:eastAsia="zh-CN" w:bidi="ar-SA"/>
          <w14:textFill>
            <w14:solidFill>
              <w14:schemeClr w14:val="tx1"/>
            </w14:solidFill>
          </w14:textFill>
        </w:rPr>
      </w:pPr>
      <w:r>
        <w:rPr>
          <w:rStyle w:val="16"/>
          <w:rFonts w:hint="eastAsia" w:ascii="楷体" w:hAnsi="楷体" w:eastAsia="楷体" w:cs="楷体"/>
          <w:b/>
          <w:bCs/>
          <w:i w:val="0"/>
          <w:caps w:val="0"/>
          <w:color w:val="000000" w:themeColor="text1"/>
          <w:spacing w:val="0"/>
          <w:w w:val="100"/>
          <w:kern w:val="2"/>
          <w:sz w:val="32"/>
          <w:szCs w:val="32"/>
          <w:highlight w:val="none"/>
          <w:lang w:val="en-US" w:eastAsia="zh-CN" w:bidi="ar-SA"/>
          <w14:textFill>
            <w14:solidFill>
              <w14:schemeClr w14:val="tx1"/>
            </w14:solidFill>
          </w14:textFill>
        </w:rPr>
        <w:t>（一）强化组织领导，完善制度建设。</w:t>
      </w:r>
    </w:p>
    <w:p w14:paraId="141995D3">
      <w:pPr>
        <w:keepNext w:val="0"/>
        <w:keepLines w:val="0"/>
        <w:pageBreakBefore w:val="0"/>
        <w:widowControl w:val="0"/>
        <w:kinsoku/>
        <w:wordWrap/>
        <w:overflowPunct/>
        <w:topLinePunct w:val="0"/>
        <w:autoSpaceDE/>
        <w:autoSpaceDN/>
        <w:bidi w:val="0"/>
        <w:adjustRightInd/>
        <w:snapToGrid/>
        <w:spacing w:beforeAutospacing="0" w:afterAutospacing="0" w:line="576" w:lineRule="exact"/>
        <w:ind w:firstLine="640" w:firstLineChars="200"/>
        <w:jc w:val="both"/>
        <w:textAlignment w:val="baseline"/>
        <w:rPr>
          <w:rStyle w:val="16"/>
          <w:rFonts w:hint="eastAsia" w:ascii="仿宋_GB2312" w:hAnsi="仿宋_GB2312" w:eastAsia="仿宋_GB2312" w:cs="仿宋_GB2312"/>
          <w:b w:val="0"/>
          <w:i w:val="0"/>
          <w:caps w:val="0"/>
          <w:color w:val="000000" w:themeColor="text1"/>
          <w:spacing w:val="0"/>
          <w:w w:val="100"/>
          <w:kern w:val="2"/>
          <w:sz w:val="32"/>
          <w:szCs w:val="32"/>
          <w:highlight w:val="none"/>
          <w:lang w:val="en-US" w:eastAsia="zh-CN" w:bidi="ar-SA"/>
          <w14:textFill>
            <w14:solidFill>
              <w14:schemeClr w14:val="tx1"/>
            </w14:solidFill>
          </w14:textFill>
        </w:rPr>
      </w:pPr>
      <w:r>
        <w:rPr>
          <w:rFonts w:hint="eastAsia" w:ascii="仿宋" w:hAnsi="仿宋" w:eastAsia="仿宋" w:cs="仿宋"/>
          <w:sz w:val="32"/>
          <w:szCs w:val="32"/>
          <w:lang w:val="en-US" w:eastAsia="zh-CN"/>
        </w:rPr>
        <w:t>进一步调整了规范政府债务管理防范财政金融风险专项工作领导小组，明确了领导小组和各部门职责，上线了地方政府专项债券项目穿透式监测系统，提高了地方政府债务风险动态监测、实时预警的能力，推进了风险防控工作科学化、精细化，切实防范和化解财政金融风险，维护经济安全和社会稳定</w:t>
      </w:r>
      <w:r>
        <w:rPr>
          <w:rStyle w:val="16"/>
          <w:rFonts w:hint="eastAsia" w:ascii="仿宋_GB2312" w:hAnsi="仿宋_GB2312" w:eastAsia="仿宋_GB2312" w:cs="仿宋_GB2312"/>
          <w:b w:val="0"/>
          <w:i w:val="0"/>
          <w:caps w:val="0"/>
          <w:color w:val="000000" w:themeColor="text1"/>
          <w:spacing w:val="0"/>
          <w:w w:val="100"/>
          <w:kern w:val="2"/>
          <w:sz w:val="32"/>
          <w:szCs w:val="32"/>
          <w:highlight w:val="none"/>
          <w:lang w:val="en-US" w:eastAsia="zh-CN" w:bidi="ar-SA"/>
          <w14:textFill>
            <w14:solidFill>
              <w14:schemeClr w14:val="tx1"/>
            </w14:solidFill>
          </w14:textFill>
        </w:rPr>
        <w:t>。</w:t>
      </w:r>
    </w:p>
    <w:p w14:paraId="6F6E267A">
      <w:pPr>
        <w:keepNext w:val="0"/>
        <w:keepLines w:val="0"/>
        <w:pageBreakBefore w:val="0"/>
        <w:widowControl w:val="0"/>
        <w:kinsoku/>
        <w:wordWrap/>
        <w:overflowPunct/>
        <w:topLinePunct w:val="0"/>
        <w:autoSpaceDE/>
        <w:autoSpaceDN/>
        <w:bidi w:val="0"/>
        <w:adjustRightInd/>
        <w:snapToGrid/>
        <w:spacing w:beforeAutospacing="0" w:afterAutospacing="0" w:line="576" w:lineRule="exact"/>
        <w:ind w:firstLine="643" w:firstLineChars="200"/>
        <w:jc w:val="both"/>
        <w:textAlignment w:val="baseline"/>
        <w:rPr>
          <w:rStyle w:val="16"/>
          <w:rFonts w:hint="eastAsia" w:ascii="仿宋_GB2312" w:hAnsi="仿宋_GB2312" w:eastAsia="仿宋_GB2312" w:cs="仿宋_GB2312"/>
          <w:b w:val="0"/>
          <w:i w:val="0"/>
          <w:caps w:val="0"/>
          <w:color w:val="000000" w:themeColor="text1"/>
          <w:spacing w:val="0"/>
          <w:w w:val="100"/>
          <w:kern w:val="2"/>
          <w:sz w:val="32"/>
          <w:szCs w:val="32"/>
          <w:highlight w:val="none"/>
          <w:lang w:val="en-US" w:eastAsia="zh-CN" w:bidi="ar-SA"/>
          <w14:textFill>
            <w14:solidFill>
              <w14:schemeClr w14:val="tx1"/>
            </w14:solidFill>
          </w14:textFill>
        </w:rPr>
      </w:pPr>
      <w:r>
        <w:rPr>
          <w:rStyle w:val="16"/>
          <w:rFonts w:hint="eastAsia" w:ascii="楷体" w:hAnsi="楷体" w:eastAsia="楷体" w:cs="楷体"/>
          <w:b/>
          <w:bCs/>
          <w:i w:val="0"/>
          <w:caps w:val="0"/>
          <w:color w:val="000000" w:themeColor="text1"/>
          <w:spacing w:val="0"/>
          <w:w w:val="100"/>
          <w:kern w:val="2"/>
          <w:sz w:val="32"/>
          <w:szCs w:val="32"/>
          <w:highlight w:val="none"/>
          <w:lang w:val="en-US" w:eastAsia="zh-CN" w:bidi="ar-SA"/>
          <w14:textFill>
            <w14:solidFill>
              <w14:schemeClr w14:val="tx1"/>
            </w14:solidFill>
          </w14:textFill>
        </w:rPr>
        <w:t>（二）实行限额管理，强化风险意识。</w:t>
      </w:r>
      <w:r>
        <w:rPr>
          <w:rStyle w:val="16"/>
          <w:rFonts w:hint="eastAsia" w:ascii="仿宋_GB2312" w:hAnsi="仿宋_GB2312" w:eastAsia="仿宋_GB2312" w:cs="仿宋_GB2312"/>
          <w:b w:val="0"/>
          <w:i w:val="0"/>
          <w:caps w:val="0"/>
          <w:color w:val="000000" w:themeColor="text1"/>
          <w:spacing w:val="0"/>
          <w:w w:val="100"/>
          <w:kern w:val="2"/>
          <w:sz w:val="32"/>
          <w:szCs w:val="32"/>
          <w:highlight w:val="none"/>
          <w:lang w:val="en-US" w:eastAsia="zh-CN" w:bidi="ar-SA"/>
          <w14:textFill>
            <w14:solidFill>
              <w14:schemeClr w14:val="tx1"/>
            </w14:solidFill>
          </w14:textFill>
        </w:rPr>
        <w:t>地方政府债务严格实行限额管理，在自治区财政厅下达的限额内规范举债，杜绝一切违法违规融资担保行为，坚决堵死“后门”。同时，从讲政治的高度重视防范化解政府债务风险工作，一是强化风险意识，全力化解存量控制增量，使债务率控制在安全线以内；二是强化责任意识，依托隐性债务管理平台，建立健全党委、政府、部门联动的高效防控机制，切实履行职责，密切协调配合，抓实抓好政府性债务风险防范和化解工作。</w:t>
      </w:r>
    </w:p>
    <w:p w14:paraId="37FF4EE3">
      <w:pPr>
        <w:keepNext w:val="0"/>
        <w:keepLines w:val="0"/>
        <w:pageBreakBefore w:val="0"/>
        <w:widowControl w:val="0"/>
        <w:kinsoku/>
        <w:wordWrap/>
        <w:overflowPunct/>
        <w:topLinePunct w:val="0"/>
        <w:autoSpaceDE/>
        <w:autoSpaceDN/>
        <w:bidi w:val="0"/>
        <w:adjustRightInd/>
        <w:snapToGrid/>
        <w:spacing w:beforeAutospacing="0" w:afterAutospacing="0" w:line="576" w:lineRule="exact"/>
        <w:ind w:firstLine="643" w:firstLineChars="200"/>
        <w:jc w:val="both"/>
        <w:textAlignment w:val="baseline"/>
        <w:rPr>
          <w:rFonts w:hint="eastAsia" w:ascii="Times New Roman" w:hAnsi="Times New Roman" w:eastAsia="仿宋_GB2312" w:cs="仿宋_GB2312"/>
          <w:spacing w:val="17"/>
          <w:sz w:val="32"/>
          <w:szCs w:val="32"/>
        </w:rPr>
      </w:pPr>
      <w:r>
        <w:rPr>
          <w:rStyle w:val="16"/>
          <w:rFonts w:hint="eastAsia" w:ascii="楷体" w:hAnsi="楷体" w:eastAsia="楷体" w:cs="楷体"/>
          <w:b/>
          <w:bCs/>
          <w:i w:val="0"/>
          <w:caps w:val="0"/>
          <w:color w:val="000000" w:themeColor="text1"/>
          <w:spacing w:val="0"/>
          <w:w w:val="100"/>
          <w:kern w:val="2"/>
          <w:sz w:val="32"/>
          <w:szCs w:val="32"/>
          <w:highlight w:val="none"/>
          <w:lang w:val="en-US" w:eastAsia="zh-CN" w:bidi="ar-SA"/>
          <w14:textFill>
            <w14:solidFill>
              <w14:schemeClr w14:val="tx1"/>
            </w14:solidFill>
          </w14:textFill>
        </w:rPr>
        <w:t>（三）多样措施并重，守住风险底线。</w:t>
      </w:r>
      <w:r>
        <w:rPr>
          <w:rStyle w:val="16"/>
          <w:rFonts w:hint="eastAsia" w:ascii="仿宋_GB2312" w:hAnsi="仿宋_GB2312" w:eastAsia="仿宋_GB2312" w:cs="仿宋_GB2312"/>
          <w:b w:val="0"/>
          <w:i w:val="0"/>
          <w:caps w:val="0"/>
          <w:color w:val="000000" w:themeColor="text1"/>
          <w:spacing w:val="0"/>
          <w:w w:val="100"/>
          <w:kern w:val="2"/>
          <w:sz w:val="32"/>
          <w:szCs w:val="32"/>
          <w:highlight w:val="none"/>
          <w:lang w:val="en-US" w:eastAsia="zh-CN" w:bidi="ar-SA"/>
          <w14:textFill>
            <w14:solidFill>
              <w14:schemeClr w14:val="tx1"/>
            </w14:solidFill>
          </w14:textFill>
        </w:rPr>
        <w:t>一是在保障“三保”基础上，2024年年初预算安排化债资金；二是通过加大盘活存量资金力度，使用盘活存量资金化解政府性债务；三是整合上级专项资金和部门自有资金，化解政府隐性债务；四是申请再融资债券资金，化解政府隐性债务；五是</w:t>
      </w:r>
      <w:r>
        <w:rPr>
          <w:rFonts w:hint="eastAsia" w:ascii="仿宋" w:hAnsi="仿宋" w:eastAsia="仿宋" w:cs="仿宋"/>
          <w:sz w:val="32"/>
          <w:szCs w:val="32"/>
          <w:lang w:val="en-US" w:eastAsia="zh-CN"/>
        </w:rPr>
        <w:t>通过协商债权人主动放弃债务方式核销核减政府隐性债务。截至2024年末，</w:t>
      </w:r>
      <w:r>
        <w:rPr>
          <w:rStyle w:val="16"/>
          <w:rFonts w:hint="eastAsia" w:ascii="仿宋_GB2312" w:hAnsi="仿宋_GB2312" w:eastAsia="仿宋_GB2312"/>
          <w:b w:val="0"/>
          <w:bCs w:val="0"/>
          <w:i w:val="0"/>
          <w:caps w:val="0"/>
          <w:color w:val="000000" w:themeColor="text1"/>
          <w:spacing w:val="0"/>
          <w:w w:val="100"/>
          <w:kern w:val="0"/>
          <w:sz w:val="32"/>
          <w:szCs w:val="32"/>
          <w:lang w:val="en-US" w:eastAsia="zh-CN" w:bidi="ar-SA"/>
          <w14:textFill>
            <w14:solidFill>
              <w14:schemeClr w14:val="tx1"/>
            </w14:solidFill>
          </w14:textFill>
        </w:rPr>
        <w:t>政府债务率</w:t>
      </w:r>
      <w:r>
        <w:rPr>
          <w:rStyle w:val="16"/>
          <w:rFonts w:hint="eastAsia" w:ascii="仿宋_GB2312" w:hAnsi="仿宋_GB2312" w:eastAsia="仿宋_GB2312"/>
          <w:b w:val="0"/>
          <w:bCs w:val="0"/>
          <w:i w:val="0"/>
          <w:caps w:val="0"/>
          <w:color w:val="000000" w:themeColor="text1"/>
          <w:spacing w:val="0"/>
          <w:w w:val="100"/>
          <w:kern w:val="0"/>
          <w:sz w:val="32"/>
          <w:szCs w:val="32"/>
          <w:u w:val="none"/>
          <w:lang w:val="en-US" w:eastAsia="zh-CN" w:bidi="ar-SA"/>
          <w14:textFill>
            <w14:solidFill>
              <w14:schemeClr w14:val="tx1"/>
            </w14:solidFill>
          </w14:textFill>
        </w:rPr>
        <w:t>54%，继续保持安全线以下。</w:t>
      </w:r>
    </w:p>
    <w:p w14:paraId="1BA8E4FF">
      <w:pPr>
        <w:ind w:firstLine="640" w:firstLineChars="200"/>
        <w:jc w:val="both"/>
        <w:rPr>
          <w:rFonts w:hint="eastAsia" w:ascii="Times New Roman" w:hAnsi="Times New Roman" w:eastAsia="仿宋_GB2312" w:cs="Times New Roman"/>
          <w:kern w:val="0"/>
          <w:sz w:val="32"/>
          <w:szCs w:val="32"/>
          <w:highlight w:val="none"/>
          <w:lang w:val="en-US" w:eastAsia="zh-CN" w:bidi="ar"/>
        </w:rPr>
      </w:pPr>
      <w:bookmarkStart w:id="0" w:name="_GoBack"/>
      <w:bookmarkEnd w:id="0"/>
    </w:p>
    <w:p w14:paraId="6B5DC2B5">
      <w:pPr>
        <w:ind w:firstLine="708" w:firstLineChars="200"/>
        <w:jc w:val="both"/>
        <w:rPr>
          <w:rFonts w:hint="eastAsia" w:ascii="Times New Roman" w:hAnsi="Times New Roman" w:eastAsia="仿宋_GB2312" w:cs="仿宋_GB2312"/>
          <w:spacing w:val="17"/>
          <w:sz w:val="32"/>
          <w:szCs w:val="32"/>
        </w:rPr>
      </w:pPr>
    </w:p>
    <w:sectPr>
      <w:footerReference r:id="rId3" w:type="default"/>
      <w:pgSz w:w="11906" w:h="16838"/>
      <w:pgMar w:top="2098" w:right="1588" w:bottom="1985" w:left="1588" w:header="1191" w:footer="1588"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方正舒体"/>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F76B2">
    <w:pPr>
      <w:pStyle w:val="5"/>
      <w:jc w:val="center"/>
      <w:rPr>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C9F8F2">
                          <w:pPr>
                            <w:pStyle w:val="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- 1 -</w:t>
                          </w:r>
                          <w:r>
                            <w:rPr>
                              <w:sz w:val="28"/>
                              <w:szCs w:val="28"/>
                            </w:rPr>
                            <w:fldChar w:fldCharType="end"/>
                          </w:r>
                          <w:r>
                            <w:rPr>
                              <w:sz w:val="28"/>
                              <w:szCs w:val="28"/>
                            </w:rPr>
                            <w:t xml:space="preserve"> —</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14:paraId="71C9F8F2">
                    <w:pPr>
                      <w:pStyle w:val="5"/>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- 1 -</w:t>
                    </w:r>
                    <w:r>
                      <w:rPr>
                        <w:sz w:val="28"/>
                        <w:szCs w:val="28"/>
                      </w:rPr>
                      <w:fldChar w:fldCharType="end"/>
                    </w:r>
                    <w:r>
                      <w:rPr>
                        <w:sz w:val="28"/>
                        <w:szCs w:val="28"/>
                      </w:rPr>
                      <w:t xml:space="preserve"> —</w:t>
                    </w:r>
                  </w:p>
                </w:txbxContent>
              </v:textbox>
            </v:shape>
          </w:pict>
        </mc:Fallback>
      </mc:AlternateContent>
    </w:r>
  </w:p>
  <w:p w14:paraId="1E0B5F0F">
    <w:pPr>
      <w:pStyle w:val="5"/>
      <w:rPr>
        <w:sz w:val="28"/>
        <w:szCs w:val="28"/>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llNzE1NWIyNTg5MWY2YzAxY2I5NGJmYzdhNjI2MjAifQ=="/>
  </w:docVars>
  <w:rsids>
    <w:rsidRoot w:val="00AB4A9E"/>
    <w:rsid w:val="00074351"/>
    <w:rsid w:val="001177DA"/>
    <w:rsid w:val="0021432A"/>
    <w:rsid w:val="00266CCE"/>
    <w:rsid w:val="00271EFA"/>
    <w:rsid w:val="003C079A"/>
    <w:rsid w:val="004C4638"/>
    <w:rsid w:val="005665A0"/>
    <w:rsid w:val="007F1A08"/>
    <w:rsid w:val="00A2114E"/>
    <w:rsid w:val="00A70892"/>
    <w:rsid w:val="00AB4A9E"/>
    <w:rsid w:val="00AD35A5"/>
    <w:rsid w:val="00CF4297"/>
    <w:rsid w:val="00DF27B0"/>
    <w:rsid w:val="00E36D8A"/>
    <w:rsid w:val="00F1496A"/>
    <w:rsid w:val="00F34E3B"/>
    <w:rsid w:val="0A8A36E0"/>
    <w:rsid w:val="0C0847C9"/>
    <w:rsid w:val="33D36D92"/>
    <w:rsid w:val="346352B7"/>
    <w:rsid w:val="3574317A"/>
    <w:rsid w:val="3BDFBC81"/>
    <w:rsid w:val="3F554F75"/>
    <w:rsid w:val="412221D6"/>
    <w:rsid w:val="45F78075"/>
    <w:rsid w:val="4D045271"/>
    <w:rsid w:val="69EA0C90"/>
    <w:rsid w:val="E7FC425B"/>
    <w:rsid w:val="FB7D7A2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6"/>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unhideWhenUsed/>
    <w:qFormat/>
    <w:uiPriority w:val="0"/>
    <w:pPr>
      <w:keepNext/>
      <w:keepLines/>
      <w:spacing w:before="260" w:after="260" w:line="416" w:lineRule="auto"/>
      <w:outlineLvl w:val="1"/>
    </w:pPr>
    <w:rPr>
      <w:rFonts w:ascii="Cambria" w:hAnsi="Cambria" w:eastAsia="宋体" w:cs="Times New Roman"/>
      <w:b/>
      <w:bCs/>
      <w:sz w:val="32"/>
      <w:szCs w:val="32"/>
    </w:rPr>
  </w:style>
  <w:style w:type="character" w:default="1" w:styleId="10">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4">
    <w:name w:val="Balloon Text"/>
    <w:basedOn w:val="1"/>
    <w:link w:val="12"/>
    <w:qFormat/>
    <w:uiPriority w:val="0"/>
    <w:rPr>
      <w:sz w:val="18"/>
      <w:szCs w:val="18"/>
    </w:rPr>
  </w:style>
  <w:style w:type="paragraph" w:styleId="5">
    <w:name w:val="footer"/>
    <w:basedOn w:val="1"/>
    <w:link w:val="13"/>
    <w:qFormat/>
    <w:uiPriority w:val="99"/>
    <w:pPr>
      <w:tabs>
        <w:tab w:val="center" w:pos="4153"/>
        <w:tab w:val="right" w:pos="8306"/>
      </w:tabs>
      <w:snapToGrid w:val="0"/>
      <w:jc w:val="left"/>
    </w:pPr>
    <w:rPr>
      <w:sz w:val="18"/>
      <w:szCs w:val="18"/>
    </w:rPr>
  </w:style>
  <w:style w:type="paragraph" w:styleId="6">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7">
    <w:name w:val="table of figures"/>
    <w:basedOn w:val="1"/>
    <w:next w:val="1"/>
    <w:qFormat/>
    <w:uiPriority w:val="0"/>
    <w:pPr>
      <w:ind w:leftChars="200" w:hanging="200" w:hangingChars="200"/>
    </w:pPr>
  </w:style>
  <w:style w:type="paragraph" w:styleId="8">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1">
    <w:name w:val="page number"/>
    <w:unhideWhenUsed/>
    <w:qFormat/>
    <w:uiPriority w:val="99"/>
    <w:rPr>
      <w:rFonts w:cs="Times New Roman"/>
    </w:rPr>
  </w:style>
  <w:style w:type="character" w:customStyle="1" w:styleId="12">
    <w:name w:val="批注框文本 Char"/>
    <w:link w:val="4"/>
    <w:qFormat/>
    <w:uiPriority w:val="0"/>
    <w:rPr>
      <w:kern w:val="2"/>
      <w:sz w:val="18"/>
      <w:szCs w:val="18"/>
    </w:rPr>
  </w:style>
  <w:style w:type="character" w:customStyle="1" w:styleId="13">
    <w:name w:val="页脚 Char"/>
    <w:link w:val="5"/>
    <w:qFormat/>
    <w:uiPriority w:val="99"/>
    <w:rPr>
      <w:kern w:val="2"/>
      <w:sz w:val="18"/>
      <w:szCs w:val="18"/>
    </w:rPr>
  </w:style>
  <w:style w:type="character" w:customStyle="1" w:styleId="14">
    <w:name w:val="页眉 Char"/>
    <w:link w:val="6"/>
    <w:qFormat/>
    <w:uiPriority w:val="0"/>
    <w:rPr>
      <w:kern w:val="2"/>
      <w:sz w:val="18"/>
      <w:szCs w:val="18"/>
    </w:rPr>
  </w:style>
  <w:style w:type="paragraph" w:customStyle="1" w:styleId="15">
    <w:name w:val="_Style 3"/>
    <w:basedOn w:val="1"/>
    <w:unhideWhenUsed/>
    <w:qFormat/>
    <w:uiPriority w:val="99"/>
    <w:rPr>
      <w:sz w:val="24"/>
    </w:rPr>
  </w:style>
  <w:style w:type="character" w:customStyle="1" w:styleId="16">
    <w:name w:val="NormalCharacter"/>
    <w:link w:val="1"/>
    <w:autoRedefine/>
    <w:qFormat/>
    <w:uiPriority w:val="0"/>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3</Pages>
  <Words>2564</Words>
  <Characters>2817</Characters>
  <Lines>11</Lines>
  <Paragraphs>3</Paragraphs>
  <TotalTime>0</TotalTime>
  <ScaleCrop>false</ScaleCrop>
  <LinksUpToDate>false</LinksUpToDate>
  <CharactersWithSpaces>2817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2021-12-23T09:45:00Z</dcterms:created>
  <dc:creator>王宇东(王宇东:办结)</dc:creator>
  <cp:lastModifiedBy>李晶岩</cp:lastModifiedBy>
  <cp:lastPrinted>2024-07-30T03:33:00Z</cp:lastPrinted>
  <dcterms:modified xsi:type="dcterms:W3CDTF">2025-09-29T07:50:10Z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EF7F93DC19D64EA29345915FC2383AED_13</vt:lpwstr>
  </property>
  <property fmtid="{D5CDD505-2E9C-101B-9397-08002B2CF9AE}" pid="4" name="KSOTemplateDocerSaveRecord">
    <vt:lpwstr>eyJoZGlkIjoiYmZlZDg5NTA2OGY1YjZkYzk5MTg3M2UzYTcwZWE0MWEiLCJ1c2VySWQiOiIzODQ3NTcxNDUifQ==</vt:lpwstr>
  </property>
</Properties>
</file>