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56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年度财政决算的报告</w:t>
      </w:r>
    </w:p>
    <w:p w14:paraId="671AD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6" w:lineRule="exact"/>
        <w:jc w:val="center"/>
        <w:textAlignment w:val="auto"/>
        <w:rPr>
          <w:rFonts w:ascii="黑体" w:hAnsi="黑体" w:eastAsia="黑体"/>
          <w:sz w:val="32"/>
          <w:szCs w:val="32"/>
        </w:rPr>
      </w:pPr>
    </w:p>
    <w:p w14:paraId="389402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6" w:lineRule="exact"/>
        <w:jc w:val="center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——202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5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年</w:t>
      </w:r>
      <w:r>
        <w:rPr>
          <w:rFonts w:hint="default" w:ascii="楷体" w:hAnsi="楷体" w:eastAsia="楷体" w:cs="楷体"/>
          <w:b/>
          <w:bCs/>
          <w:sz w:val="32"/>
          <w:szCs w:val="32"/>
          <w:lang w:val="en-US"/>
        </w:rPr>
        <w:t>9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18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日在莫力达瓦达斡尔族自治旗第十四届</w:t>
      </w:r>
    </w:p>
    <w:p w14:paraId="525DD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6" w:lineRule="exact"/>
        <w:jc w:val="center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人民代表大会常务委员会第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三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十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次会议上</w:t>
      </w:r>
    </w:p>
    <w:p w14:paraId="183FC3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6" w:lineRule="exact"/>
        <w:jc w:val="center"/>
        <w:textAlignment w:val="auto"/>
        <w:rPr>
          <w:rFonts w:hint="eastAsia" w:hAnsi="仿宋_GB2312"/>
          <w:sz w:val="32"/>
          <w:szCs w:val="32"/>
        </w:rPr>
      </w:pPr>
    </w:p>
    <w:p w14:paraId="2293B1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主任、各位副主任、各位委员: </w:t>
      </w:r>
    </w:p>
    <w:p w14:paraId="3CE68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受旗人民政府委托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现将我旗202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年度财政决算情况报告如下，请予审议。</w:t>
      </w:r>
    </w:p>
    <w:p w14:paraId="04149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一、202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sz w:val="32"/>
          <w:szCs w:val="32"/>
        </w:rPr>
        <w:t xml:space="preserve">年财政决算情况 </w:t>
      </w:r>
    </w:p>
    <w:p w14:paraId="395D3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27" w:firstLineChars="196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年是全面贯彻落实党的二十大精神的关键之年，是实现“十四五”规划目标任务的攻坚之年，面对错综复杂的经济形势，我们坚持以习近平新时代中国特色社会主义思想为指导，全面贯彻党的二十届二中、三中全会精神，在旗委的正确领导和旗人大及其常委会的监督指导下，顶住外部压力，克服内部困难，全旗预算收支目标基本完成，财政运行总体平稳。</w:t>
      </w:r>
    </w:p>
    <w:p w14:paraId="7AB71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（一）</w:t>
      </w:r>
      <w:r>
        <w:rPr>
          <w:rFonts w:hint="eastAsia" w:ascii="楷体" w:hAnsi="楷体" w:eastAsia="楷体" w:cs="楷体"/>
          <w:sz w:val="32"/>
          <w:szCs w:val="32"/>
        </w:rPr>
        <w:t>一般公共预算收支决算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情况</w:t>
      </w:r>
    </w:p>
    <w:p w14:paraId="1C3737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27" w:firstLineChars="196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全旗一般公共预算收入完成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750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万元，完成年初预算的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155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81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%，同比增加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860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万元,增长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37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09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%（主要是耕地占用税增加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946万元，防空地下室易地建设费增加1,047万元，国有资产出租处置收入增加3,535万元，其他国有资源有偿使用费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收入增加2,083万元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），加上上级补助收入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509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050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万元，一般债券转贷收入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516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万元，上年结转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133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521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万元，地区间土地统筹指标交易收入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374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万元，调入资金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1,965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万元，调入预算稳定调节基金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12,577万元，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收入总计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726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753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万元，较上年减少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160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170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万元，下降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18.06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%。一般公共预算支出完成6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192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万元，完成调整预算的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98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%，同比减少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794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万元，下降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86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%（主要原因为部分惠农惠牧补贴资金提级发放），加上上解支出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1,534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万元，一般债务还本支出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489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万元,安排预算稳定调节基金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732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万元，调出资金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1,689万元，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年终结转下年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 w:eastAsia="zh-CN"/>
        </w:rPr>
        <w:t>支出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117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万元，支出总计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726,753万元。</w:t>
      </w:r>
    </w:p>
    <w:p w14:paraId="73D35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（二）</w:t>
      </w:r>
      <w:r>
        <w:rPr>
          <w:rFonts w:hint="eastAsia" w:ascii="楷体" w:hAnsi="楷体" w:eastAsia="楷体" w:cs="楷体"/>
          <w:sz w:val="32"/>
          <w:szCs w:val="32"/>
        </w:rPr>
        <w:t>政府性基金收支决算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情况</w:t>
      </w:r>
    </w:p>
    <w:p w14:paraId="015A1C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全旗政府性基金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收入完成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,495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万元，完成年初预算的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71.34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%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与上年基本持平。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加上上级补助收入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5,093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专项债券转贷收入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6,560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，上年结转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,282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调入资金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1,689万元，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收入总计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9,119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万元，较上年增加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112,967万元，增长244.77%（主要原因为超长期特别国债转移支付及专项再融资债券增加等因素）。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政府性基金预算支出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,650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，与上年基本持平。加上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专项债务还本支出32,830万元，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调出资金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1,965万元，年终结转下年支出96,674万元，支出总计159,119万元。</w:t>
      </w:r>
    </w:p>
    <w:p w14:paraId="1F198F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（三）</w:t>
      </w:r>
      <w:r>
        <w:rPr>
          <w:rFonts w:hint="eastAsia" w:ascii="楷体" w:hAnsi="楷体" w:eastAsia="楷体" w:cs="楷体"/>
          <w:sz w:val="32"/>
          <w:szCs w:val="32"/>
        </w:rPr>
        <w:t>国有资本经营收支决算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情况</w:t>
      </w:r>
    </w:p>
    <w:p w14:paraId="11472A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国有资本经营收入总计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万元，完成年初预算的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32.65%，其中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上级补助收入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上年结转9万元。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国有资本经营支出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9万元，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zh-CN"/>
        </w:rPr>
        <w:t>结转下年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7万元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 w14:paraId="4ED1D1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（四）</w:t>
      </w:r>
      <w:r>
        <w:rPr>
          <w:rFonts w:hint="eastAsia" w:ascii="楷体" w:hAnsi="楷体" w:eastAsia="楷体" w:cs="楷体"/>
          <w:sz w:val="32"/>
          <w:szCs w:val="32"/>
        </w:rPr>
        <w:t>社会保险基金收支决算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情况</w:t>
      </w:r>
    </w:p>
    <w:p w14:paraId="7A44F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zh-CN" w:eastAsia="zh-CN"/>
        </w:rPr>
        <w:t>按照社会保险基金预算编制的范围和要求，仅机关事业单位基</w:t>
      </w:r>
      <w:r>
        <w:rPr>
          <w:rFonts w:hint="eastAsia" w:ascii="仿宋_GB2312" w:hAnsi="仿宋_GB2312" w:eastAsia="仿宋_GB2312" w:cs="仿宋_GB2312"/>
          <w:color w:val="000000"/>
          <w:spacing w:val="-6"/>
          <w:kern w:val="0"/>
          <w:sz w:val="32"/>
          <w:szCs w:val="32"/>
          <w:highlight w:val="none"/>
          <w:lang w:val="zh-CN" w:eastAsia="zh-CN"/>
        </w:rPr>
        <w:t>本养老保险需本级进行安排，其余社会保险基金均为上级统筹。</w:t>
      </w:r>
    </w:p>
    <w:p w14:paraId="4BBE0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zh-CN"/>
        </w:rPr>
        <w:t>旗本级统筹机关事业单位基本养老保险收入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  <w:t>37,172万元，上年结余188万元，收入总计37,360万元。支出37,337万元，完成年初预算的103.92%，年末滚存结余23万元。</w:t>
      </w:r>
    </w:p>
    <w:p w14:paraId="7BED2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(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五</w:t>
      </w:r>
      <w:r>
        <w:rPr>
          <w:rFonts w:hint="eastAsia" w:ascii="楷体" w:hAnsi="楷体" w:eastAsia="楷体" w:cs="楷体"/>
          <w:sz w:val="32"/>
          <w:szCs w:val="32"/>
        </w:rPr>
        <w:t>)地方政府债务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情况</w:t>
      </w:r>
    </w:p>
    <w:p w14:paraId="6BFC5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2024年，自治区财政厅核定我旗政府债务限额271,317万元（其中：一般债务限额174,657万元、专项债务限额96,660万元），新增政府债务限额41,617万元（一般债务限额5,057万元、专项债务限额36,560万元）。全旗政府债务余额267,830万元（其中：一般债务余额171,519万元、专项债务余额96,311万元），总体控制在自治区财政厅核定我旗限额内。</w:t>
      </w:r>
    </w:p>
    <w:p w14:paraId="4F56772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76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color w:val="000000"/>
          <w:kern w:val="2"/>
          <w:sz w:val="32"/>
          <w:szCs w:val="32"/>
          <w:highlight w:val="none"/>
          <w:lang w:val="en-US" w:eastAsia="zh-CN" w:bidi="ar-SA"/>
        </w:rPr>
        <w:t>年度预算调整情况</w:t>
      </w:r>
    </w:p>
    <w:p w14:paraId="47296B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因预算执行中增加上级转移支付补助、接收上级转贷债券资金,共调整预算两次,分别经我旗第十四届人大常委会第十九次会议、第二十四次会议批准。</w:t>
      </w:r>
    </w:p>
    <w:p w14:paraId="0CC2F9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（七）预算稳定调节基金的使用情况</w:t>
      </w:r>
    </w:p>
    <w:p w14:paraId="6637A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2024年预算执行中调入预算稳定调节基金12,577万元，用于弥补年度预算收支缺口。</w:t>
      </w:r>
    </w:p>
    <w:p w14:paraId="2F0F16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2024年末补充预算稳定调节基金6,732万元，其中：一般公共预算结余资金4,805万元，政府性基金连续结转两年以上的结余资金1,927万元。</w:t>
      </w:r>
    </w:p>
    <w:p w14:paraId="206B36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（八）盘活存量资金使用情况</w:t>
      </w:r>
    </w:p>
    <w:p w14:paraId="609031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2024年累计使用盘活存量资金16,666万元，主要用于消化暂付款、化解隐性债务及拨付以前年度专项资金。</w:t>
      </w:r>
    </w:p>
    <w:p w14:paraId="6C771B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二、财政重点工作开展情况 </w:t>
      </w:r>
    </w:p>
    <w:p w14:paraId="223322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000000"/>
          <w:sz w:val="32"/>
          <w:szCs w:val="32"/>
          <w:highlight w:val="none"/>
          <w:lang w:eastAsia="zh-CN"/>
        </w:rPr>
        <w:t>（一）我们承压奋进稳增长</w:t>
      </w:r>
      <w:r>
        <w:rPr>
          <w:rFonts w:hint="eastAsia" w:ascii="楷体" w:hAnsi="楷体" w:eastAsia="楷体" w:cs="楷体"/>
          <w:b w:val="0"/>
          <w:bCs w:val="0"/>
          <w:color w:val="000000"/>
          <w:sz w:val="32"/>
          <w:szCs w:val="32"/>
          <w:highlight w:val="none"/>
          <w:lang w:val="zh-CN"/>
        </w:rPr>
        <w:t>，</w:t>
      </w:r>
      <w:r>
        <w:rPr>
          <w:rFonts w:hint="eastAsia" w:ascii="楷体" w:hAnsi="楷体" w:eastAsia="楷体" w:cs="楷体"/>
          <w:b w:val="0"/>
          <w:bCs w:val="0"/>
          <w:color w:val="000000"/>
          <w:sz w:val="32"/>
          <w:szCs w:val="32"/>
          <w:highlight w:val="none"/>
          <w:lang w:val="en-US" w:eastAsia="zh-CN"/>
        </w:rPr>
        <w:t>财政保障坚实有力</w:t>
      </w:r>
    </w:p>
    <w:p w14:paraId="463F7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zh-CN"/>
        </w:rPr>
        <w:t>一是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zh-CN"/>
        </w:rPr>
        <w:t>综合运用财税手段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充分挖掘收入潜力。财政、税务部门协调联动，坚决围绕目标任务，“保存量，挖增量”，不断加强税源管控，实时调度收入进度，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zh-CN"/>
        </w:rPr>
        <w:t>高质量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zh-CN"/>
        </w:rPr>
        <w:t>完成了全年收入目标。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eastAsia="zh-CN"/>
        </w:rPr>
        <w:t>全年税收收入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12,547万元，完成年初预算的117.81%；非税收入20,203万元，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eastAsia="zh-CN"/>
        </w:rPr>
        <w:t>完成年初预算的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194.84%。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zh-CN"/>
        </w:rPr>
        <w:t>二是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zh-CN"/>
        </w:rPr>
        <w:t>加强政策谋划和资金争取力度。牢固树立“争政策就是促发展，争资金就是促保障”的理念，创新工作思路，抢抓机遇，用足用好上级政策资金支持。经过全旗各部门的努力，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全年争取上级补助资金602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,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717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zh-CN"/>
        </w:rPr>
        <w:t>万元，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对我旗各类重点项目的实施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提供了强有力的支持。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zh-CN"/>
        </w:rPr>
        <w:t>进一步盘活存量资产。充分挖掘我旗存量资产的市场价值，通过处置和出租行政、事业单位闲置资产的方式，筹集资金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4,122万元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zh-CN"/>
        </w:rPr>
        <w:t>，有效地补充了地方财力，实现了国有资产的保值增值。</w:t>
      </w:r>
    </w:p>
    <w:p w14:paraId="3B532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000000"/>
          <w:sz w:val="32"/>
          <w:szCs w:val="32"/>
          <w:highlight w:val="none"/>
          <w:lang w:val="en-US" w:eastAsia="zh-CN"/>
        </w:rPr>
        <w:t>（二）我们不忘初心促改革，管理能力持续优化</w:t>
      </w:r>
    </w:p>
    <w:p w14:paraId="648D507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firstLine="56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highlight w:val="none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"/>
        </w:rPr>
        <w:t>一是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"/>
        </w:rPr>
        <w:t>全面推动预算绩效管理。更新并发布覆盖18个行业领域的新版绩效指标和标准体系，形成5442条个性指标和17类1019条共性指标，为各类项目提供科学规范的绩效评估依据；全旗范围内自行监控项目1856个，涉及资金433,173万元，重点监控项目54个，金额68,257万元，实现对重要领域和关键环节的动态掌握；完成事前绩效评估2个，重点项目绩效评价达15个，覆盖政府投资基金、政府采购、政府购买服务等多类型项目，有效推动了绩效管理与预算管理的深度融合，为提升财政资金使用效益提供了有力保障。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"/>
        </w:rPr>
        <w:t>二是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"/>
        </w:rPr>
        <w:t>全面加强财会监督。开展2023年度部门预决算公开情况检查，对发现的问题及时督促并整改到位；组织开展2024年会计信息质量检查，对单位存在的突出问题提出合理化建议，帮助被检查单位规范财务管理行为，取得了预期成效；开展代理记账行业专项整治检查工作，对发现的问题责令限期整改并提供指导帮助，全面提升代理记账机构服务水平和质量。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"/>
        </w:rPr>
        <w:t>三是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"/>
        </w:rPr>
        <w:t>全面增强财政评审服务意识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"/>
        </w:rPr>
        <w:t>。落实项目评审应审尽审，提高资金使用效益。2024年审核工程项目预算110个，工程预算送审金额累计61,794万元，审定金额累计56,782万元，核</w:t>
      </w:r>
      <w:r>
        <w:rPr>
          <w:rFonts w:hint="eastAsia" w:ascii="仿宋_GB2312" w:hAnsi="仿宋_GB2312" w:eastAsia="仿宋_GB2312" w:cs="仿宋_GB2312"/>
          <w:spacing w:val="-6"/>
          <w:kern w:val="2"/>
          <w:sz w:val="32"/>
          <w:szCs w:val="32"/>
          <w:highlight w:val="none"/>
          <w:lang w:val="en-US" w:eastAsia="zh-CN" w:bidi="ar"/>
        </w:rPr>
        <w:t>减率8.1%，有效降低财政运行成本。</w:t>
      </w:r>
    </w:p>
    <w:p w14:paraId="48EBB3E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FF0000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" w:hAnsi="楷体" w:eastAsia="楷体" w:cs="楷体"/>
          <w:b w:val="0"/>
          <w:bCs w:val="0"/>
          <w:color w:val="000000"/>
          <w:sz w:val="32"/>
          <w:szCs w:val="32"/>
          <w:lang w:val="en-US" w:eastAsia="zh-CN"/>
        </w:rPr>
        <w:t>（三）我们千方百计惠民生</w:t>
      </w:r>
      <w:r>
        <w:rPr>
          <w:rFonts w:hint="eastAsia" w:ascii="楷体" w:hAnsi="楷体" w:eastAsia="楷体" w:cs="楷体"/>
          <w:b w:val="0"/>
          <w:bCs w:val="0"/>
          <w:color w:val="000000"/>
          <w:sz w:val="32"/>
          <w:szCs w:val="32"/>
          <w:lang w:val="zh-CN"/>
        </w:rPr>
        <w:t>，群众生活愈加美好</w:t>
      </w:r>
    </w:p>
    <w:p w14:paraId="6C325AB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坚持兜牢“三保”底线。持续优化财政支出结构，不断加大对“三保”领域资金投入，依托信息化手段加强库款保障和运行监控，确保“三保”资金精准落实到位。全年“三保”预算支出196,544万元，支出率98.71%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二是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不断提高社保支出标线。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bidi="ar"/>
        </w:rPr>
        <w:t>全年社会保障支出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 w:bidi="ar"/>
        </w:rPr>
        <w:t>70,454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bidi="ar"/>
        </w:rPr>
        <w:t>万元，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 w:bidi="ar"/>
        </w:rPr>
        <w:t>全面落实提高城乡居民基础养老金及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企业、机关事业单位退休人员养老金调标政策；精准落实退役军人优抚及优待政策，补贴资金足额发放，切实保障退役士兵的合法权益；不断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 w:bidi="ar"/>
        </w:rPr>
        <w:t>提高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城乡低保、城乡特困人员救助供养等补助标准，将更多困难群众纳入保障范围，切实保障困难群众生活。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三是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持续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筑牢民生保障主线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lang w:val="en-US" w:eastAsia="zh-CN" w:bidi="ar"/>
        </w:rPr>
        <w:t>通过内蒙古财政民生信息平台发放各类惠农惠民补贴资金259,500万元，发放578447人次。坚持做到心里有数、手中有策、肩上有责，让利好利民的政策从“纸上”落到“地上”、落到群众的心坎上。</w:t>
      </w:r>
    </w:p>
    <w:p w14:paraId="3D79AAE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56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（四）我们始终如一守底线，财政运行稳中向好</w:t>
      </w:r>
    </w:p>
    <w:p w14:paraId="0A0E5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 w:bidi="ar"/>
        </w:rPr>
        <w:t>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bidi="ar"/>
        </w:rPr>
        <w:t>是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 w:bidi="ar"/>
        </w:rPr>
        <w:t>加强债务风险源头管理。严堵“后门”，坚决遏制违法违规举债融资，硬化预算约束，对政府融资平台公司加强治理，遏制新增隐性债务；开好“前门”，合理安排新增地方政府债券，管好用好新增债券资金。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 w:bidi="ar"/>
        </w:rPr>
        <w:t>2024年度我旗争取上级债券资金41,617万元。用于莫旗民族园曲棍球场地升级改造项目、莫旗尼尔基老旧小区供热管网改造项目、莫旗达斡尔民族博物馆布展提升改造项目、莫旗尼尔基镇第二热源厂扩建58MW热水锅炉及管网建设项目、农村公路及安防工程等，对重点领域的基础设施建设提供了有力的资金支持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 w:bidi="ar"/>
        </w:rPr>
        <w:t>二是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 w:bidi="ar"/>
        </w:rPr>
        <w:t>持续化解地方政府债务。合理测算当年还本付息支出资金规模，科学编制年度预算，通过非经营性国有资产处置、争取再融资债券资金等方式有序推进债务化解工作，2024年度累计化解政府性债务100,089万元，其中化解隐性债务71,800万元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 w:bidi="ar"/>
        </w:rPr>
        <w:t>三是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 w:bidi="ar"/>
        </w:rPr>
        <w:t>实时监测评估风险。构建全口径地方债务监管体系，整合各部门数据资源，运用债务监测平台系统实现对地方政府债务的实时、动态监测；定期开展债务风险自评和风险预判，做到风险早发现、早提示、早处置，确保政府债务规模合理、风险安全可控。</w:t>
      </w:r>
    </w:p>
    <w:p w14:paraId="79DF79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eastAsia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主任、各位副主任、各位委员，我们将在旗委的坚强领导和旗人大及其常委会的有力监督下，坚持尽力而为，量力而行，扎扎实实把民生工作做好做实，进一步增强人民群众的获得感、幸福感、安全感，为经济社会高质量发展提供更为坚实的保障。</w:t>
      </w:r>
    </w:p>
    <w:p w14:paraId="7C89006E">
      <w:pPr>
        <w:spacing w:line="600" w:lineRule="exact"/>
        <w:jc w:val="both"/>
        <w:outlineLvl w:val="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zh-CN"/>
        </w:rPr>
        <w:t>附表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/>
        </w:rPr>
        <w:t>1</w:t>
      </w:r>
    </w:p>
    <w:tbl>
      <w:tblPr>
        <w:tblStyle w:val="11"/>
        <w:tblW w:w="10464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14"/>
        <w:gridCol w:w="839"/>
        <w:gridCol w:w="3944"/>
        <w:gridCol w:w="1967"/>
      </w:tblGrid>
      <w:tr w14:paraId="686A3EF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jc w:val="center"/>
        </w:trPr>
        <w:tc>
          <w:tcPr>
            <w:tcW w:w="104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7C6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2024年一般公共预算收支决算表</w:t>
            </w:r>
          </w:p>
        </w:tc>
      </w:tr>
      <w:tr w14:paraId="23A7E79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104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F65CF6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B2BA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  <w:jc w:val="center"/>
        </w:trPr>
        <w:tc>
          <w:tcPr>
            <w:tcW w:w="104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A276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单位:万元</w:t>
            </w:r>
          </w:p>
        </w:tc>
      </w:tr>
      <w:tr w14:paraId="3C4A0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7E2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预算科目</w:t>
            </w:r>
          </w:p>
        </w:tc>
        <w:tc>
          <w:tcPr>
            <w:tcW w:w="83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CFE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决算数</w:t>
            </w:r>
          </w:p>
        </w:tc>
        <w:tc>
          <w:tcPr>
            <w:tcW w:w="394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F2A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预算科目</w:t>
            </w:r>
          </w:p>
        </w:tc>
        <w:tc>
          <w:tcPr>
            <w:tcW w:w="196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68D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决算数</w:t>
            </w:r>
          </w:p>
        </w:tc>
      </w:tr>
      <w:tr w14:paraId="47D8B3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17D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E179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32,750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721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076C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673,192 </w:t>
            </w:r>
          </w:p>
        </w:tc>
      </w:tr>
      <w:tr w14:paraId="7D5042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7F0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税收收入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A16F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12,547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392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一般公共服务支出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242F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30,957 </w:t>
            </w:r>
          </w:p>
        </w:tc>
      </w:tr>
      <w:tr w14:paraId="0991E1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0EB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增值税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7EA4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1,913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1A0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国防支出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DC3C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128 </w:t>
            </w:r>
          </w:p>
        </w:tc>
      </w:tr>
      <w:tr w14:paraId="448CB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099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企业所得税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DF8D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679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DEB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公共安全支出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3DB7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10,208 </w:t>
            </w:r>
          </w:p>
        </w:tc>
      </w:tr>
      <w:tr w14:paraId="6493D7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E49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个人所得税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C93F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457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1E2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教育支出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BBF4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56,553 </w:t>
            </w:r>
          </w:p>
        </w:tc>
      </w:tr>
      <w:tr w14:paraId="596B94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946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资源税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3712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166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5A2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科学技术支出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A015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558 </w:t>
            </w:r>
          </w:p>
        </w:tc>
      </w:tr>
      <w:tr w14:paraId="363E4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175E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城市维护建设税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9ED0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210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415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文化旅游体育与传媒支出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4B75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8,901 </w:t>
            </w:r>
          </w:p>
        </w:tc>
      </w:tr>
      <w:tr w14:paraId="3CCFA6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493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房产税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BC24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224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736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社会保障和就业支出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7F20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70,454 </w:t>
            </w:r>
          </w:p>
        </w:tc>
      </w:tr>
      <w:tr w14:paraId="6E7971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9C3B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印花税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F30F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163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D94A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卫生健康支出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3E8D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33,844 </w:t>
            </w:r>
          </w:p>
        </w:tc>
      </w:tr>
      <w:tr w14:paraId="24C8B3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4248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城镇土地使用税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82C7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146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37AE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节能环保支出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75C4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5,933 </w:t>
            </w:r>
          </w:p>
        </w:tc>
      </w:tr>
      <w:tr w14:paraId="5327B9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513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土地增值税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2E32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1,782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744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城乡社区支出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6C90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21,918 </w:t>
            </w:r>
          </w:p>
        </w:tc>
      </w:tr>
      <w:tr w14:paraId="418A80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93CE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车船税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B8F2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1,010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5AD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农林水支出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A3D0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397,545 </w:t>
            </w:r>
          </w:p>
        </w:tc>
      </w:tr>
      <w:tr w14:paraId="73787E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217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耕地占用税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40CA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3,188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DF9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交通运输支出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7637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9,886 </w:t>
            </w:r>
          </w:p>
        </w:tc>
      </w:tr>
      <w:tr w14:paraId="568970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1362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契税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93F6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2,441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0D04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资源勘探工业信息等支出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E7AC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1,085 </w:t>
            </w:r>
          </w:p>
        </w:tc>
      </w:tr>
      <w:tr w14:paraId="26939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1D4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环境保护税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204C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168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3C8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商业服务业等支出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1569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559 </w:t>
            </w:r>
          </w:p>
        </w:tc>
      </w:tr>
      <w:tr w14:paraId="317034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838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非税收入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EAF4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20,203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AC6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自然资源海洋气象等支出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2C10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2,751 </w:t>
            </w:r>
          </w:p>
        </w:tc>
      </w:tr>
      <w:tr w14:paraId="465501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29E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专项收入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0DBB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893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1E8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住房保障支出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7AED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11,488 </w:t>
            </w:r>
          </w:p>
        </w:tc>
      </w:tr>
      <w:tr w14:paraId="0765D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00E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行政事业性收费收入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54B7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4,113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B05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粮油物资储备支出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16B9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</w:tr>
      <w:tr w14:paraId="5E4F63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7D6C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罚没收入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C575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2,966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9C8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灾害防治及应急管理支出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DC66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3,215 </w:t>
            </w:r>
          </w:p>
        </w:tc>
      </w:tr>
      <w:tr w14:paraId="783D9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D0E6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国有资源(资产)有偿使用收入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21C9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10,824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061A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其他支出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3B41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1,441 </w:t>
            </w:r>
          </w:p>
        </w:tc>
      </w:tr>
      <w:tr w14:paraId="082FE3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49C9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其他收入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E0F7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1,407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072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债务付息支出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8322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5,654 </w:t>
            </w:r>
          </w:p>
        </w:tc>
      </w:tr>
      <w:tr w14:paraId="6A5E06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636E20E"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C76B45">
            <w:pP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BD61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债务发行费用支出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37F6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 </w:t>
            </w:r>
          </w:p>
        </w:tc>
      </w:tr>
      <w:tr w14:paraId="44A0DBB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6D4B1C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上级补助收入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C9BF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509,050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04F2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补助下级支出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F34250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DDFE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3D9D8D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返还性收入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702A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4,707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66C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返还性支出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6F9D74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A770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E51CDF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一般性转移支付收入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6A67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483,412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BD19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一般性转移支付支出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313145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1D01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7573A5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专项转移支付收入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7788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20,931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0D4C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专项转移支付支出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E1BC02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F3AA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E3C438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下级上解收入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6707DE">
            <w:pP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D18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上解上级支出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AEAB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1,534 </w:t>
            </w:r>
          </w:p>
        </w:tc>
      </w:tr>
      <w:tr w14:paraId="42B671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F0DF8F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专项上解收入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A6DF5F">
            <w:pP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B7C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专项上解支出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CAA7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1,534 </w:t>
            </w:r>
          </w:p>
        </w:tc>
      </w:tr>
      <w:tr w14:paraId="4CD6E5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8157C88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上年结余收入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C0F3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133,521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D07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调出资金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E7BD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1,689 </w:t>
            </w:r>
          </w:p>
        </w:tc>
      </w:tr>
      <w:tr w14:paraId="483685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A2D6A3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调入资金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A7A5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1,965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EFB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其他调出资金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AFDE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1,689 </w:t>
            </w:r>
          </w:p>
        </w:tc>
      </w:tr>
      <w:tr w14:paraId="7A0A77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79FDD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从政府性基金预算调入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55ED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1,965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396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债务还本支出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808A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30,489 </w:t>
            </w:r>
          </w:p>
        </w:tc>
      </w:tr>
      <w:tr w14:paraId="116A6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4D7502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债务转贷收入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21BF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30,516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1AA1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地方政府一般债务还本支出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5F0A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30,489 </w:t>
            </w:r>
          </w:p>
        </w:tc>
      </w:tr>
      <w:tr w14:paraId="2FC450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72F2FF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地方政府一般债券转贷收入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D319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30,516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73F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地方政府一般债券还本支出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ACFC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28,289 </w:t>
            </w:r>
          </w:p>
        </w:tc>
      </w:tr>
      <w:tr w14:paraId="03A72A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AFA739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地方政府其他一般债务转贷收入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936EAD">
            <w:pP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736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地方政府其他一般债务还本支出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C190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2,200 </w:t>
            </w:r>
          </w:p>
        </w:tc>
      </w:tr>
      <w:tr w14:paraId="18AAE3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362127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动用预算稳定调节基金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09CE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12,577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B66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安排预算稳定调节基金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BF92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6,732 </w:t>
            </w:r>
          </w:p>
        </w:tc>
      </w:tr>
      <w:tr w14:paraId="27C43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89A3E4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区域间转移性收入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10A1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6,374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62A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年终结余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F064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13,117 </w:t>
            </w:r>
          </w:p>
        </w:tc>
      </w:tr>
      <w:tr w14:paraId="2DE983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2B1D3D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土地指标调剂转移性收入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2AAD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6,374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2E92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结转下年支出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D9DE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13,117 </w:t>
            </w:r>
          </w:p>
        </w:tc>
      </w:tr>
      <w:tr w14:paraId="35A400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371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829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　　入　　总　　计　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C27E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726,753 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864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　　出　　总　　计　</w:t>
            </w:r>
          </w:p>
        </w:tc>
        <w:tc>
          <w:tcPr>
            <w:tcW w:w="196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0C7C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726,753 </w:t>
            </w:r>
          </w:p>
        </w:tc>
      </w:tr>
    </w:tbl>
    <w:p w14:paraId="0E71BF82">
      <w:pPr>
        <w:spacing w:line="600" w:lineRule="exact"/>
        <w:jc w:val="both"/>
        <w:outlineLvl w:val="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/>
        </w:rPr>
      </w:pPr>
    </w:p>
    <w:p w14:paraId="0B7B920A">
      <w:pPr>
        <w:pStyle w:val="2"/>
        <w:rPr>
          <w:rFonts w:hint="eastAsia"/>
        </w:rPr>
      </w:pPr>
    </w:p>
    <w:p w14:paraId="55AA5B7B">
      <w:pPr>
        <w:rPr>
          <w:rFonts w:hint="eastAsia"/>
        </w:rPr>
      </w:pPr>
    </w:p>
    <w:p w14:paraId="45F48D59">
      <w:pPr>
        <w:pStyle w:val="2"/>
        <w:rPr>
          <w:rFonts w:hint="eastAsia"/>
        </w:rPr>
      </w:pPr>
    </w:p>
    <w:p w14:paraId="1E93C45D">
      <w:pPr>
        <w:rPr>
          <w:rFonts w:hint="eastAsia"/>
        </w:rPr>
      </w:pPr>
    </w:p>
    <w:p w14:paraId="308E0D80">
      <w:pPr>
        <w:pStyle w:val="2"/>
        <w:rPr>
          <w:rFonts w:hint="eastAsia"/>
        </w:rPr>
      </w:pPr>
    </w:p>
    <w:p w14:paraId="63EC050E">
      <w:pPr>
        <w:rPr>
          <w:rFonts w:hint="eastAsia"/>
        </w:rPr>
      </w:pPr>
    </w:p>
    <w:p w14:paraId="18A57FC3">
      <w:pPr>
        <w:pStyle w:val="2"/>
        <w:rPr>
          <w:rFonts w:hint="eastAsia"/>
        </w:rPr>
      </w:pPr>
    </w:p>
    <w:p w14:paraId="621EEF2A">
      <w:pPr>
        <w:rPr>
          <w:rFonts w:hint="eastAsia"/>
        </w:rPr>
      </w:pPr>
    </w:p>
    <w:p w14:paraId="38A1279F">
      <w:pPr>
        <w:pStyle w:val="2"/>
        <w:rPr>
          <w:rFonts w:hint="eastAsia"/>
        </w:rPr>
      </w:pPr>
    </w:p>
    <w:p w14:paraId="7664D384">
      <w:pPr>
        <w:rPr>
          <w:rFonts w:hint="eastAsia"/>
        </w:rPr>
      </w:pPr>
    </w:p>
    <w:p w14:paraId="39518B24">
      <w:pPr>
        <w:pStyle w:val="2"/>
        <w:rPr>
          <w:rFonts w:hint="eastAsia"/>
        </w:rPr>
      </w:pPr>
    </w:p>
    <w:p w14:paraId="798F7AB7">
      <w:pPr>
        <w:rPr>
          <w:rFonts w:hint="eastAsia"/>
        </w:rPr>
      </w:pPr>
    </w:p>
    <w:p w14:paraId="16F4D2AC">
      <w:pPr>
        <w:pStyle w:val="2"/>
        <w:rPr>
          <w:rFonts w:hint="eastAsia"/>
        </w:rPr>
      </w:pPr>
    </w:p>
    <w:p w14:paraId="28F96695">
      <w:pPr>
        <w:rPr>
          <w:rFonts w:hint="eastAsia"/>
        </w:rPr>
      </w:pPr>
    </w:p>
    <w:p w14:paraId="57D2C680">
      <w:pPr>
        <w:pStyle w:val="2"/>
        <w:rPr>
          <w:rFonts w:hint="eastAsia"/>
        </w:rPr>
      </w:pPr>
    </w:p>
    <w:p w14:paraId="61CC92F4">
      <w:pPr>
        <w:rPr>
          <w:rFonts w:hint="eastAsia"/>
        </w:rPr>
      </w:pPr>
    </w:p>
    <w:p w14:paraId="2CEFA504">
      <w:pPr>
        <w:pStyle w:val="2"/>
        <w:rPr>
          <w:rFonts w:hint="eastAsia"/>
        </w:rPr>
      </w:pPr>
    </w:p>
    <w:p w14:paraId="2E507C73">
      <w:pPr>
        <w:rPr>
          <w:rFonts w:hint="eastAsia"/>
        </w:rPr>
      </w:pPr>
    </w:p>
    <w:p w14:paraId="2DDABC23">
      <w:pPr>
        <w:pStyle w:val="2"/>
        <w:rPr>
          <w:rFonts w:hint="eastAsia"/>
        </w:rPr>
      </w:pPr>
    </w:p>
    <w:p w14:paraId="469F559A">
      <w:pPr>
        <w:rPr>
          <w:rFonts w:hint="eastAsia"/>
        </w:rPr>
      </w:pPr>
    </w:p>
    <w:p w14:paraId="7231CF3A">
      <w:pPr>
        <w:rPr>
          <w:rFonts w:hint="eastAsia"/>
        </w:rPr>
      </w:pPr>
    </w:p>
    <w:p w14:paraId="632BC025">
      <w:pPr>
        <w:rPr>
          <w:rFonts w:hint="eastAsia"/>
        </w:rPr>
      </w:pPr>
    </w:p>
    <w:p w14:paraId="43616476">
      <w:pPr>
        <w:rPr>
          <w:rFonts w:hint="eastAsia"/>
        </w:rPr>
      </w:pPr>
    </w:p>
    <w:p w14:paraId="782418F4">
      <w:pPr>
        <w:rPr>
          <w:rFonts w:hint="eastAsia"/>
        </w:rPr>
      </w:pPr>
    </w:p>
    <w:p w14:paraId="17FDA3F5">
      <w:pPr>
        <w:spacing w:line="600" w:lineRule="exact"/>
        <w:jc w:val="both"/>
        <w:outlineLvl w:val="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zh-CN"/>
        </w:rPr>
        <w:t>附表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 xml:space="preserve">  </w:t>
      </w:r>
    </w:p>
    <w:tbl>
      <w:tblPr>
        <w:tblStyle w:val="11"/>
        <w:tblW w:w="10425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92"/>
        <w:gridCol w:w="1233"/>
        <w:gridCol w:w="3221"/>
        <w:gridCol w:w="1279"/>
      </w:tblGrid>
      <w:tr w14:paraId="4A9CDD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jc w:val="center"/>
        </w:trPr>
        <w:tc>
          <w:tcPr>
            <w:tcW w:w="10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BD8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2024年政府性基金预算收支决算表</w:t>
            </w:r>
          </w:p>
        </w:tc>
      </w:tr>
      <w:tr w14:paraId="210484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10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D70E73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F362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  <w:jc w:val="center"/>
        </w:trPr>
        <w:tc>
          <w:tcPr>
            <w:tcW w:w="10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B499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单位：万元</w:t>
            </w:r>
          </w:p>
        </w:tc>
      </w:tr>
      <w:tr w14:paraId="352C2D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74A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123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540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决算数</w:t>
            </w:r>
          </w:p>
        </w:tc>
        <w:tc>
          <w:tcPr>
            <w:tcW w:w="3221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A0F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127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880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决算数</w:t>
            </w:r>
          </w:p>
        </w:tc>
      </w:tr>
      <w:tr w14:paraId="31D372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9B04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政府性基金预算收入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4A88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16,495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1194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政府性基金预算支出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5126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27,650 </w:t>
            </w:r>
          </w:p>
        </w:tc>
      </w:tr>
      <w:tr w14:paraId="0CB8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6B2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国有土地使用权出让收入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0FD1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15,216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4B1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文化旅游体育传媒支出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BA6B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 </w:t>
            </w:r>
          </w:p>
        </w:tc>
      </w:tr>
      <w:tr w14:paraId="4A6E548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93D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城市基础设施配套费收入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AD7C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789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20F0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城乡社区支出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F746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17,812 </w:t>
            </w:r>
          </w:p>
        </w:tc>
      </w:tr>
      <w:tr w14:paraId="41BF9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F31D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污水处理费收入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2501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319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83F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农林水支出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C270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1,112 </w:t>
            </w:r>
          </w:p>
        </w:tc>
      </w:tr>
      <w:tr w14:paraId="0691F5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6E16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其他政府性基金专项债务对应项目专项收入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2FF7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171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542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其他支出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1075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6,726 </w:t>
            </w:r>
          </w:p>
        </w:tc>
      </w:tr>
      <w:tr w14:paraId="32D66F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67CFC8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F805BF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19E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债务付息支出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503B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1,960 </w:t>
            </w:r>
          </w:p>
        </w:tc>
      </w:tr>
      <w:tr w14:paraId="51C7C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836642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A195CF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6DF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债务发行费用支出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7182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38 </w:t>
            </w:r>
          </w:p>
        </w:tc>
      </w:tr>
      <w:tr w14:paraId="6CE97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E7B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政府性基金预算上级补助收入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1DE2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95,093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3995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政府性基金预算补助下级支出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AA9E05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3764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EB3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政府性基金预算上年结余收入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F612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9,282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0C9931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888CF4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8DD2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F5D8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政府性基金预算调入资金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0082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1,689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220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政府性基金预算调出资金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8EBA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1,965 </w:t>
            </w:r>
          </w:p>
        </w:tc>
      </w:tr>
      <w:tr w14:paraId="182C6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3948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其他调入政府性基金预算资金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74CA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1,440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5DC79D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B9CE21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1A4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12D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债务转贷收入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CCB8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36,560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7A3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债务还本支出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97C6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32,830 </w:t>
            </w:r>
          </w:p>
        </w:tc>
      </w:tr>
      <w:tr w14:paraId="51DE32A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7C6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地方政府专项债务转贷收入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A3DF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36,560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FC0B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地方政府专项债务还本支出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CBAD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32,830 </w:t>
            </w:r>
          </w:p>
        </w:tc>
      </w:tr>
      <w:tr w14:paraId="29262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CDDC61"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7A12B5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CFA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政府性基金预算年终结余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9027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96,674 </w:t>
            </w:r>
          </w:p>
        </w:tc>
      </w:tr>
      <w:tr w14:paraId="30A88F9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7FD372"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8CBA2E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6BF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结转下年支出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C078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96,674 </w:t>
            </w:r>
          </w:p>
        </w:tc>
      </w:tr>
      <w:tr w14:paraId="7DF16D38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469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59D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　　入　　总　　计　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ECD9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159,119 </w:t>
            </w:r>
          </w:p>
        </w:tc>
        <w:tc>
          <w:tcPr>
            <w:tcW w:w="322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E57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　　出　　总　　计　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23D5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159,119 </w:t>
            </w:r>
          </w:p>
        </w:tc>
      </w:tr>
    </w:tbl>
    <w:p w14:paraId="61C8BF72">
      <w:pPr>
        <w:spacing w:line="600" w:lineRule="exact"/>
        <w:jc w:val="both"/>
        <w:outlineLvl w:val="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zh-CN"/>
        </w:rPr>
      </w:pPr>
    </w:p>
    <w:p w14:paraId="132CA2E0">
      <w:pPr>
        <w:spacing w:line="600" w:lineRule="exact"/>
        <w:jc w:val="both"/>
        <w:outlineLvl w:val="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zh-CN"/>
        </w:rPr>
        <w:t>附表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/>
        </w:rPr>
        <w:t>3</w:t>
      </w:r>
    </w:p>
    <w:tbl>
      <w:tblPr>
        <w:tblStyle w:val="11"/>
        <w:tblW w:w="9590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63"/>
        <w:gridCol w:w="742"/>
        <w:gridCol w:w="3570"/>
        <w:gridCol w:w="2415"/>
      </w:tblGrid>
      <w:tr w14:paraId="627A0F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jc w:val="center"/>
        </w:trPr>
        <w:tc>
          <w:tcPr>
            <w:tcW w:w="95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2B62C8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</w:p>
        </w:tc>
      </w:tr>
      <w:tr w14:paraId="518CE5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jc w:val="center"/>
        </w:trPr>
        <w:tc>
          <w:tcPr>
            <w:tcW w:w="95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8E7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Style w:val="18"/>
                <w:lang w:val="en-US" w:eastAsia="zh-CN" w:bidi="ar"/>
              </w:rPr>
              <w:t>2024年国有资本经营预算收支决算表</w:t>
            </w:r>
          </w:p>
        </w:tc>
      </w:tr>
      <w:tr w14:paraId="611E92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FFEEC7C"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8A633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D415A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ADA19E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B11C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2863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687B7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876F5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0E60E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4316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单位:万元</w:t>
            </w:r>
          </w:p>
        </w:tc>
      </w:tr>
      <w:tr w14:paraId="4FA3D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1D8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预算科目</w:t>
            </w:r>
          </w:p>
        </w:tc>
        <w:tc>
          <w:tcPr>
            <w:tcW w:w="74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52D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决算数</w:t>
            </w:r>
          </w:p>
        </w:tc>
        <w:tc>
          <w:tcPr>
            <w:tcW w:w="35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EAB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预算科目</w:t>
            </w:r>
          </w:p>
        </w:tc>
        <w:tc>
          <w:tcPr>
            <w:tcW w:w="24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F77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决算数</w:t>
            </w:r>
          </w:p>
        </w:tc>
      </w:tr>
      <w:tr w14:paraId="1A616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02B6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利润收入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57A82A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239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解决历史遗留问题及改革成本支出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9FD6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 </w:t>
            </w:r>
          </w:p>
        </w:tc>
      </w:tr>
      <w:tr w14:paraId="32666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56E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股利、股息收入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657F4B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F8C3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国有企业资本金注入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5010A9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5317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AF4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产权转让收入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79A724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76D9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国有企业政策性补贴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498EA9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0968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B716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清算收入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52DF84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E2D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其他国有资本经营预算支出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9D506D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DD9F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26B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其他国有资本经营预算收入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42EFB5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6BC148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7A799D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6824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130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 年 收 入 合 计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5C81D1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26E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 年 支 出 合 计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6954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 </w:t>
            </w:r>
          </w:p>
        </w:tc>
      </w:tr>
      <w:tr w14:paraId="4B10B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5BD0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上级补助收入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6204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C378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上解上级支出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6B6B91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ABD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4CF4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上年结余收入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F796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C08367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3569B9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A5F1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604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省补助计划单列市收入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B9AAC1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9AC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计划单列市上解省支出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838592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C617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D38AFB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2A557B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72D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调出资金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5AF058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11C8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EE4491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2514BE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602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年终结余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2F61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 </w:t>
            </w:r>
          </w:p>
        </w:tc>
      </w:tr>
      <w:tr w14:paraId="74EB26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286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793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　　入　　总　　计　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D421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DF1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　　出　　总　　计　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8007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 </w:t>
            </w:r>
          </w:p>
        </w:tc>
      </w:tr>
    </w:tbl>
    <w:p w14:paraId="79579AEA">
      <w:pPr>
        <w:pStyle w:val="2"/>
        <w:rPr>
          <w:rFonts w:hint="eastAsia"/>
          <w:lang w:val="en-US" w:eastAsia="zh-CN"/>
        </w:rPr>
      </w:pPr>
    </w:p>
    <w:p w14:paraId="3EEE6C12">
      <w:pPr>
        <w:spacing w:line="600" w:lineRule="exact"/>
        <w:jc w:val="both"/>
        <w:outlineLvl w:val="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zh-CN"/>
        </w:rPr>
      </w:pPr>
    </w:p>
    <w:p w14:paraId="55ABF318">
      <w:pPr>
        <w:spacing w:line="600" w:lineRule="exact"/>
        <w:jc w:val="both"/>
        <w:outlineLvl w:val="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zh-CN"/>
        </w:rPr>
      </w:pPr>
    </w:p>
    <w:p w14:paraId="612069EF">
      <w:pPr>
        <w:spacing w:line="600" w:lineRule="exact"/>
        <w:jc w:val="both"/>
        <w:outlineLvl w:val="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zh-CN"/>
        </w:rPr>
      </w:pPr>
    </w:p>
    <w:p w14:paraId="42B9EDE0">
      <w:pPr>
        <w:spacing w:line="600" w:lineRule="exact"/>
        <w:jc w:val="both"/>
        <w:outlineLvl w:val="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zh-CN"/>
        </w:rPr>
        <w:t>附表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/>
        </w:rPr>
        <w:t>4</w:t>
      </w:r>
    </w:p>
    <w:tbl>
      <w:tblPr>
        <w:tblStyle w:val="11"/>
        <w:tblW w:w="8575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76"/>
        <w:gridCol w:w="854"/>
        <w:gridCol w:w="1971"/>
        <w:gridCol w:w="3674"/>
      </w:tblGrid>
      <w:tr w14:paraId="3363E0E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jc w:val="center"/>
        </w:trPr>
        <w:tc>
          <w:tcPr>
            <w:tcW w:w="85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7D8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2024年社保基金预算收支总表</w:t>
            </w:r>
          </w:p>
        </w:tc>
      </w:tr>
      <w:tr w14:paraId="70474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416D3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27216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8DF2B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6F1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单位：万元 </w:t>
            </w:r>
          </w:p>
        </w:tc>
      </w:tr>
      <w:tr w14:paraId="69632A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jc w:val="center"/>
        </w:trPr>
        <w:tc>
          <w:tcPr>
            <w:tcW w:w="2076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712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        目</w:t>
            </w:r>
          </w:p>
        </w:tc>
        <w:tc>
          <w:tcPr>
            <w:tcW w:w="85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F0B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决算数</w:t>
            </w:r>
          </w:p>
        </w:tc>
        <w:tc>
          <w:tcPr>
            <w:tcW w:w="1971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B85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        目</w:t>
            </w:r>
          </w:p>
        </w:tc>
        <w:tc>
          <w:tcPr>
            <w:tcW w:w="367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656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决算数</w:t>
            </w:r>
          </w:p>
        </w:tc>
      </w:tr>
      <w:tr w14:paraId="6E4C24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E85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基本养老保险费收入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CB3C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16,352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6516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基本养老金支出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AEA6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37,307 </w:t>
            </w:r>
          </w:p>
        </w:tc>
      </w:tr>
      <w:tr w14:paraId="70CC7D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3D2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财政补贴收入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93C5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20,268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BE23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转移支出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AAE6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 </w:t>
            </w:r>
          </w:p>
        </w:tc>
      </w:tr>
      <w:tr w14:paraId="3F1707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6B9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利息收入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351E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C6D3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其他支出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444F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 </w:t>
            </w:r>
          </w:p>
        </w:tc>
      </w:tr>
      <w:tr w14:paraId="26D2F0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76B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转移收入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74E4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535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F7A6DE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F3625E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674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32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其他收入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528C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867CEC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AD6F61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FF42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2642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本年收入小计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CAB6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37,172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FCD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本年支出小计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B8A9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37,337 </w:t>
            </w:r>
          </w:p>
        </w:tc>
      </w:tr>
      <w:tr w14:paraId="46E72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477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上级补助收入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EA6D5C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275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补助下级支出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7E7C9C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E5D4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E9C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下级上解收入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BB4048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A5B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上解上级支出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6A9C1A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FE75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8BE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本年收入合计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B160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37,172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9F85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本年支出合计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030F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37,337 </w:t>
            </w:r>
          </w:p>
        </w:tc>
      </w:tr>
      <w:tr w14:paraId="336A0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2B9F11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E6116C">
            <w:pPr>
              <w:jc w:val="righ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39E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本年收支结余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0977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-165 </w:t>
            </w:r>
          </w:p>
        </w:tc>
      </w:tr>
      <w:tr w14:paraId="7E460F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002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上年结余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F4DA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188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4BA7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年末滚存结余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38CD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 </w:t>
            </w:r>
          </w:p>
        </w:tc>
      </w:tr>
      <w:tr w14:paraId="004E6E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A8F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 　入 　总　 计　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95D2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37,360 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AD0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 　出 　总　 计　</w:t>
            </w:r>
          </w:p>
        </w:tc>
        <w:tc>
          <w:tcPr>
            <w:tcW w:w="367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3297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37,360 </w:t>
            </w:r>
          </w:p>
        </w:tc>
      </w:tr>
      <w:tr w14:paraId="7598B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C5E086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2E89CF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A95303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CC5E32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D044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D9C0E6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068044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A5195C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CEE99D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CAAE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1CF11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397F2A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CECF1E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99FD3A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0F02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701" w:right="1474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122C7E1-499E-4FC9-8A8F-73A78F9FA21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369FCF0-B5A2-46D5-A630-6A18A1D6A951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599E42C6-58BD-4A02-8134-1B8814DAE40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0D938E2B-25D0-49F7-A4BA-511C7B7FDA5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8DC23BA8-32BA-4C0C-8F8C-E322B615DC7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D8477BC8-03AC-4B9C-998E-7EC90FA381C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E0CC03">
    <w:pPr>
      <w:pStyle w:val="5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-168910</wp:posOffset>
              </wp:positionV>
              <wp:extent cx="450850" cy="405765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0" cy="40576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F30509E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upright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-13.3pt;height:31.95pt;width:35.5pt;mso-position-horizontal:outside;mso-position-horizontal-relative:margin;z-index:251659264;mso-width-relative:page;mso-height-relative:page;" filled="f" stroked="f" coordsize="21600,21600" o:gfxdata="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qEES6dgAAAAGAQAADwAAAAAAAAABACAA&#10;AAAiAAAAZHJzL2Rvd25yZXYueG1sUEsBAhQAFAAAAAgAh07iQPhe6VTUAQAAmwMAAA4AAAAAAAAA&#10;AQAgAAAAJw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F30509E">
                    <w:pPr>
                      <w:pStyle w:val="5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2B1958"/>
    <w:multiLevelType w:val="singleLevel"/>
    <w:tmpl w:val="8B2B1958"/>
    <w:lvl w:ilvl="0" w:tentative="0">
      <w:start w:val="6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3BD07E8"/>
    <w:multiLevelType w:val="multilevel"/>
    <w:tmpl w:val="33BD07E8"/>
    <w:lvl w:ilvl="0" w:tentative="0">
      <w:start w:val="1"/>
      <w:numFmt w:val="decimal"/>
      <w:pStyle w:val="14"/>
      <w:lvlText w:val="%1."/>
      <w:lvlJc w:val="left"/>
      <w:pPr>
        <w:tabs>
          <w:tab w:val="left" w:pos="907"/>
        </w:tabs>
        <w:ind w:left="907" w:hanging="453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yN2Q4Yzc0YTMzMTIwMjNhZWFlNjA5MmZkMDdhOWMifQ=="/>
  </w:docVars>
  <w:rsids>
    <w:rsidRoot w:val="00000000"/>
    <w:rsid w:val="00031BB3"/>
    <w:rsid w:val="00A26597"/>
    <w:rsid w:val="017F3735"/>
    <w:rsid w:val="018D4E38"/>
    <w:rsid w:val="018E6CC7"/>
    <w:rsid w:val="01BD5A20"/>
    <w:rsid w:val="020970B9"/>
    <w:rsid w:val="023F45CE"/>
    <w:rsid w:val="02BD54F6"/>
    <w:rsid w:val="02CB3E87"/>
    <w:rsid w:val="03277F28"/>
    <w:rsid w:val="035E2E6D"/>
    <w:rsid w:val="04E300AE"/>
    <w:rsid w:val="05021877"/>
    <w:rsid w:val="051A3DA2"/>
    <w:rsid w:val="06EE06AA"/>
    <w:rsid w:val="07B643A9"/>
    <w:rsid w:val="0896086D"/>
    <w:rsid w:val="08E1073B"/>
    <w:rsid w:val="08EEE461"/>
    <w:rsid w:val="094C0D97"/>
    <w:rsid w:val="094F5DB1"/>
    <w:rsid w:val="09B6497B"/>
    <w:rsid w:val="0A274A74"/>
    <w:rsid w:val="0A573559"/>
    <w:rsid w:val="0AEB02D1"/>
    <w:rsid w:val="0B7E0018"/>
    <w:rsid w:val="0B9C246A"/>
    <w:rsid w:val="0BD76240"/>
    <w:rsid w:val="0BE8194C"/>
    <w:rsid w:val="0C4E2ABB"/>
    <w:rsid w:val="0D9D7E28"/>
    <w:rsid w:val="0DA80E2C"/>
    <w:rsid w:val="0E093E1B"/>
    <w:rsid w:val="0E475BA5"/>
    <w:rsid w:val="0E64099C"/>
    <w:rsid w:val="0E8B45A5"/>
    <w:rsid w:val="0E9B2CCD"/>
    <w:rsid w:val="0EA32058"/>
    <w:rsid w:val="0F5818F9"/>
    <w:rsid w:val="0F5C2825"/>
    <w:rsid w:val="0F7A223F"/>
    <w:rsid w:val="0FBF7355"/>
    <w:rsid w:val="1029092F"/>
    <w:rsid w:val="10696B21"/>
    <w:rsid w:val="10756983"/>
    <w:rsid w:val="10B94F65"/>
    <w:rsid w:val="113379C5"/>
    <w:rsid w:val="11666661"/>
    <w:rsid w:val="11B658C6"/>
    <w:rsid w:val="121A71B0"/>
    <w:rsid w:val="144212AC"/>
    <w:rsid w:val="144E6CF2"/>
    <w:rsid w:val="145B7F0F"/>
    <w:rsid w:val="14672FBA"/>
    <w:rsid w:val="147C0262"/>
    <w:rsid w:val="14C96874"/>
    <w:rsid w:val="15197084"/>
    <w:rsid w:val="15423B5E"/>
    <w:rsid w:val="15703F12"/>
    <w:rsid w:val="15CF5E75"/>
    <w:rsid w:val="160B14A2"/>
    <w:rsid w:val="167D2593"/>
    <w:rsid w:val="168B1086"/>
    <w:rsid w:val="16BB3A7C"/>
    <w:rsid w:val="17EB2421"/>
    <w:rsid w:val="182B4CB7"/>
    <w:rsid w:val="18587915"/>
    <w:rsid w:val="18D05E62"/>
    <w:rsid w:val="194B5E3B"/>
    <w:rsid w:val="19906F8D"/>
    <w:rsid w:val="1A151CFA"/>
    <w:rsid w:val="1AFF5F55"/>
    <w:rsid w:val="1C186535"/>
    <w:rsid w:val="1C354C2E"/>
    <w:rsid w:val="1C5B4927"/>
    <w:rsid w:val="1CBE6A2F"/>
    <w:rsid w:val="1CF604B6"/>
    <w:rsid w:val="1E29764F"/>
    <w:rsid w:val="1F0B73C4"/>
    <w:rsid w:val="1F381B0B"/>
    <w:rsid w:val="1F9A1299"/>
    <w:rsid w:val="1FAD502B"/>
    <w:rsid w:val="1FCF0A4F"/>
    <w:rsid w:val="2361318A"/>
    <w:rsid w:val="23C871F7"/>
    <w:rsid w:val="23D74548"/>
    <w:rsid w:val="23E51143"/>
    <w:rsid w:val="23F01B92"/>
    <w:rsid w:val="23FA14CF"/>
    <w:rsid w:val="24067463"/>
    <w:rsid w:val="2421539A"/>
    <w:rsid w:val="2440641E"/>
    <w:rsid w:val="244F3883"/>
    <w:rsid w:val="251930E5"/>
    <w:rsid w:val="258A1091"/>
    <w:rsid w:val="25E43107"/>
    <w:rsid w:val="26ED28DC"/>
    <w:rsid w:val="27034C82"/>
    <w:rsid w:val="270C275B"/>
    <w:rsid w:val="2715040A"/>
    <w:rsid w:val="273A78EF"/>
    <w:rsid w:val="27755A1D"/>
    <w:rsid w:val="27C43EAF"/>
    <w:rsid w:val="27C72496"/>
    <w:rsid w:val="296F1FBA"/>
    <w:rsid w:val="298301A7"/>
    <w:rsid w:val="29E07B28"/>
    <w:rsid w:val="2A4F09A4"/>
    <w:rsid w:val="2A701B2F"/>
    <w:rsid w:val="2A983520"/>
    <w:rsid w:val="2AFF5B26"/>
    <w:rsid w:val="2B4956D7"/>
    <w:rsid w:val="2BF40FF1"/>
    <w:rsid w:val="2D3221D6"/>
    <w:rsid w:val="2D38058E"/>
    <w:rsid w:val="2D7E1D9F"/>
    <w:rsid w:val="2DA55A2A"/>
    <w:rsid w:val="2DDB2E87"/>
    <w:rsid w:val="2E6C71ED"/>
    <w:rsid w:val="2F59279D"/>
    <w:rsid w:val="2FC00679"/>
    <w:rsid w:val="2FFD2B93"/>
    <w:rsid w:val="300C2034"/>
    <w:rsid w:val="307B1C8B"/>
    <w:rsid w:val="30D817FF"/>
    <w:rsid w:val="311A6083"/>
    <w:rsid w:val="313540BA"/>
    <w:rsid w:val="31AB46CF"/>
    <w:rsid w:val="33000A67"/>
    <w:rsid w:val="33062189"/>
    <w:rsid w:val="334C4534"/>
    <w:rsid w:val="339009A3"/>
    <w:rsid w:val="339510EF"/>
    <w:rsid w:val="33D87251"/>
    <w:rsid w:val="342F685A"/>
    <w:rsid w:val="3455463E"/>
    <w:rsid w:val="34AC4C75"/>
    <w:rsid w:val="34B04036"/>
    <w:rsid w:val="3567007C"/>
    <w:rsid w:val="35C66DC8"/>
    <w:rsid w:val="362F65D5"/>
    <w:rsid w:val="369E5F7B"/>
    <w:rsid w:val="36D56C56"/>
    <w:rsid w:val="38870F7D"/>
    <w:rsid w:val="391D2CB1"/>
    <w:rsid w:val="39582720"/>
    <w:rsid w:val="39B97D24"/>
    <w:rsid w:val="39D51254"/>
    <w:rsid w:val="39D6159F"/>
    <w:rsid w:val="3A0073BC"/>
    <w:rsid w:val="3A1151D7"/>
    <w:rsid w:val="3A435E92"/>
    <w:rsid w:val="3A456A34"/>
    <w:rsid w:val="3A9A347E"/>
    <w:rsid w:val="3B2A4D8B"/>
    <w:rsid w:val="3C4269E5"/>
    <w:rsid w:val="3C5C134E"/>
    <w:rsid w:val="3CA72841"/>
    <w:rsid w:val="3D3A2E88"/>
    <w:rsid w:val="3DCFD1E0"/>
    <w:rsid w:val="3DD639C5"/>
    <w:rsid w:val="3DF58F9A"/>
    <w:rsid w:val="3EEC1A9A"/>
    <w:rsid w:val="3EF946B3"/>
    <w:rsid w:val="3F007A21"/>
    <w:rsid w:val="3F2D17BB"/>
    <w:rsid w:val="3FAC484B"/>
    <w:rsid w:val="3FC44F62"/>
    <w:rsid w:val="40300997"/>
    <w:rsid w:val="40747B43"/>
    <w:rsid w:val="40D137F1"/>
    <w:rsid w:val="41387D57"/>
    <w:rsid w:val="41B8284D"/>
    <w:rsid w:val="422E35C2"/>
    <w:rsid w:val="42D9200F"/>
    <w:rsid w:val="42F50452"/>
    <w:rsid w:val="43015659"/>
    <w:rsid w:val="43483080"/>
    <w:rsid w:val="44273D26"/>
    <w:rsid w:val="44461F0F"/>
    <w:rsid w:val="444A4F2B"/>
    <w:rsid w:val="44875404"/>
    <w:rsid w:val="45221CA2"/>
    <w:rsid w:val="45B70710"/>
    <w:rsid w:val="46AE0F03"/>
    <w:rsid w:val="47D04A59"/>
    <w:rsid w:val="480E5E9A"/>
    <w:rsid w:val="49AA1C33"/>
    <w:rsid w:val="49AC2ED7"/>
    <w:rsid w:val="49D477BF"/>
    <w:rsid w:val="49DD0BD5"/>
    <w:rsid w:val="49DE69E4"/>
    <w:rsid w:val="4A486FE9"/>
    <w:rsid w:val="4B883991"/>
    <w:rsid w:val="4BD35DBF"/>
    <w:rsid w:val="4CA762E0"/>
    <w:rsid w:val="4D2330B5"/>
    <w:rsid w:val="4D834C75"/>
    <w:rsid w:val="4D9621D9"/>
    <w:rsid w:val="4DA34A61"/>
    <w:rsid w:val="4DDA647A"/>
    <w:rsid w:val="4E021A95"/>
    <w:rsid w:val="4F1E6F65"/>
    <w:rsid w:val="4F6A67B2"/>
    <w:rsid w:val="50871B62"/>
    <w:rsid w:val="50A53858"/>
    <w:rsid w:val="50D745CC"/>
    <w:rsid w:val="51AD54E9"/>
    <w:rsid w:val="51F21818"/>
    <w:rsid w:val="52475401"/>
    <w:rsid w:val="52D602D1"/>
    <w:rsid w:val="53F033E9"/>
    <w:rsid w:val="540B5226"/>
    <w:rsid w:val="54100B16"/>
    <w:rsid w:val="5427438C"/>
    <w:rsid w:val="550B4AE6"/>
    <w:rsid w:val="55442DB9"/>
    <w:rsid w:val="55BB25CB"/>
    <w:rsid w:val="56972206"/>
    <w:rsid w:val="569F3588"/>
    <w:rsid w:val="571075AA"/>
    <w:rsid w:val="57314FDA"/>
    <w:rsid w:val="574076F5"/>
    <w:rsid w:val="578A7E24"/>
    <w:rsid w:val="579E7077"/>
    <w:rsid w:val="59290258"/>
    <w:rsid w:val="59313166"/>
    <w:rsid w:val="59855932"/>
    <w:rsid w:val="5A2E4BE2"/>
    <w:rsid w:val="5A556314"/>
    <w:rsid w:val="5A6F6F80"/>
    <w:rsid w:val="5B93500D"/>
    <w:rsid w:val="5C723912"/>
    <w:rsid w:val="5CC94C08"/>
    <w:rsid w:val="5D061D46"/>
    <w:rsid w:val="5D641BE9"/>
    <w:rsid w:val="5E6AE031"/>
    <w:rsid w:val="5E775CF2"/>
    <w:rsid w:val="5EEA3F84"/>
    <w:rsid w:val="5EFEC94F"/>
    <w:rsid w:val="5F050D06"/>
    <w:rsid w:val="5F6F300A"/>
    <w:rsid w:val="5FD92AB4"/>
    <w:rsid w:val="5FFE30CE"/>
    <w:rsid w:val="600F3AF6"/>
    <w:rsid w:val="60192B8D"/>
    <w:rsid w:val="61793816"/>
    <w:rsid w:val="619B12DB"/>
    <w:rsid w:val="64C0193B"/>
    <w:rsid w:val="64CF1FEB"/>
    <w:rsid w:val="64D3245B"/>
    <w:rsid w:val="64FD05BC"/>
    <w:rsid w:val="65530738"/>
    <w:rsid w:val="658A22F1"/>
    <w:rsid w:val="65A21E2C"/>
    <w:rsid w:val="65E6750A"/>
    <w:rsid w:val="67302761"/>
    <w:rsid w:val="674D653A"/>
    <w:rsid w:val="675A7F05"/>
    <w:rsid w:val="678D5878"/>
    <w:rsid w:val="67A26200"/>
    <w:rsid w:val="687A248B"/>
    <w:rsid w:val="69BE7135"/>
    <w:rsid w:val="69C049E1"/>
    <w:rsid w:val="6A705283"/>
    <w:rsid w:val="6A7519A2"/>
    <w:rsid w:val="6A783A58"/>
    <w:rsid w:val="6AB71247"/>
    <w:rsid w:val="6B323536"/>
    <w:rsid w:val="6D660138"/>
    <w:rsid w:val="6D6D4BA2"/>
    <w:rsid w:val="6D856F70"/>
    <w:rsid w:val="6E362AB6"/>
    <w:rsid w:val="6FD11A4A"/>
    <w:rsid w:val="6FFB00FD"/>
    <w:rsid w:val="70087987"/>
    <w:rsid w:val="71E149A6"/>
    <w:rsid w:val="721366DE"/>
    <w:rsid w:val="729B1E8A"/>
    <w:rsid w:val="72AC6E66"/>
    <w:rsid w:val="732E4011"/>
    <w:rsid w:val="73376C67"/>
    <w:rsid w:val="733B71FD"/>
    <w:rsid w:val="7342436D"/>
    <w:rsid w:val="74186B91"/>
    <w:rsid w:val="74321FD8"/>
    <w:rsid w:val="74350107"/>
    <w:rsid w:val="744F6885"/>
    <w:rsid w:val="74566390"/>
    <w:rsid w:val="75000732"/>
    <w:rsid w:val="75115B31"/>
    <w:rsid w:val="75824E78"/>
    <w:rsid w:val="761B2C5E"/>
    <w:rsid w:val="76B56DB6"/>
    <w:rsid w:val="76FA7F0A"/>
    <w:rsid w:val="776D5EE2"/>
    <w:rsid w:val="77815FD8"/>
    <w:rsid w:val="77EB5715"/>
    <w:rsid w:val="78055217"/>
    <w:rsid w:val="780B31E9"/>
    <w:rsid w:val="787170B0"/>
    <w:rsid w:val="789661E1"/>
    <w:rsid w:val="78E24A70"/>
    <w:rsid w:val="78FF6C92"/>
    <w:rsid w:val="790D0FFB"/>
    <w:rsid w:val="792A66E3"/>
    <w:rsid w:val="796B6112"/>
    <w:rsid w:val="798B3508"/>
    <w:rsid w:val="7A4B23A9"/>
    <w:rsid w:val="7A5778D3"/>
    <w:rsid w:val="7A5B4207"/>
    <w:rsid w:val="7A7FA20B"/>
    <w:rsid w:val="7AA6242D"/>
    <w:rsid w:val="7B0F292D"/>
    <w:rsid w:val="7BFBBA8D"/>
    <w:rsid w:val="7BFF40B9"/>
    <w:rsid w:val="7C6A057A"/>
    <w:rsid w:val="7CFA4211"/>
    <w:rsid w:val="7D2A0F22"/>
    <w:rsid w:val="7D817B88"/>
    <w:rsid w:val="7DA61CCA"/>
    <w:rsid w:val="7E2952B7"/>
    <w:rsid w:val="7E4C1D27"/>
    <w:rsid w:val="7E5DBFBA"/>
    <w:rsid w:val="7E697C4E"/>
    <w:rsid w:val="7EDBEECF"/>
    <w:rsid w:val="7F59F1BD"/>
    <w:rsid w:val="7F7E7CC4"/>
    <w:rsid w:val="7F7FE988"/>
    <w:rsid w:val="7F8D6121"/>
    <w:rsid w:val="89B7C109"/>
    <w:rsid w:val="9E4EDCC1"/>
    <w:rsid w:val="ABFDE9A8"/>
    <w:rsid w:val="BCF1CFC2"/>
    <w:rsid w:val="CBF90DE3"/>
    <w:rsid w:val="DED8FD9F"/>
    <w:rsid w:val="DF1F6FF7"/>
    <w:rsid w:val="DFFFC810"/>
    <w:rsid w:val="E7FFD169"/>
    <w:rsid w:val="EA3D6A83"/>
    <w:rsid w:val="ECFFFE13"/>
    <w:rsid w:val="EE91B75C"/>
    <w:rsid w:val="F265ECD7"/>
    <w:rsid w:val="FA910DAE"/>
    <w:rsid w:val="FDBFC7BA"/>
    <w:rsid w:val="FDFD7F69"/>
    <w:rsid w:val="FDFF8DED"/>
    <w:rsid w:val="FE7FCAE0"/>
    <w:rsid w:val="FF312444"/>
    <w:rsid w:val="FF7F81DA"/>
    <w:rsid w:val="FFFEDB3D"/>
    <w:rsid w:val="FFFFF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7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6"/>
    <w:basedOn w:val="1"/>
    <w:next w:val="1"/>
    <w:qFormat/>
    <w:uiPriority w:val="0"/>
    <w:pPr>
      <w:keepNext/>
      <w:keepLines/>
      <w:spacing w:before="240" w:after="64" w:line="320" w:lineRule="atLeast"/>
      <w:outlineLvl w:val="5"/>
    </w:pPr>
    <w:rPr>
      <w:rFonts w:ascii="Arial" w:hAnsi="Arial" w:eastAsia="黑体"/>
      <w:b/>
      <w:bCs/>
    </w:rPr>
  </w:style>
  <w:style w:type="character" w:default="1" w:styleId="13">
    <w:name w:val="Default Paragraph Font"/>
    <w:link w:val="14"/>
    <w:qFormat/>
    <w:uiPriority w:val="0"/>
    <w:rPr>
      <w:sz w:val="24"/>
      <w:szCs w:val="24"/>
    </w:rPr>
  </w:style>
  <w:style w:type="table" w:default="1" w:styleId="11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qFormat/>
    <w:uiPriority w:val="99"/>
    <w:pPr>
      <w:widowControl w:val="0"/>
      <w:adjustRightInd/>
      <w:snapToGrid/>
      <w:spacing w:after="120" w:line="480" w:lineRule="auto"/>
      <w:jc w:val="both"/>
    </w:pPr>
    <w:rPr>
      <w:rFonts w:ascii="Calibri" w:hAnsi="Calibri"/>
      <w:kern w:val="2"/>
      <w:sz w:val="24"/>
      <w:szCs w:val="24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9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10">
    <w:name w:val="Body Text First Indent 2"/>
    <w:basedOn w:val="4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Char"/>
    <w:basedOn w:val="1"/>
    <w:link w:val="13"/>
    <w:qFormat/>
    <w:uiPriority w:val="0"/>
    <w:pPr>
      <w:numPr>
        <w:ilvl w:val="0"/>
        <w:numId w:val="1"/>
      </w:numPr>
    </w:pPr>
    <w:rPr>
      <w:sz w:val="24"/>
      <w:szCs w:val="24"/>
    </w:rPr>
  </w:style>
  <w:style w:type="character" w:styleId="15">
    <w:name w:val="Strong"/>
    <w:qFormat/>
    <w:uiPriority w:val="0"/>
    <w:rPr>
      <w:b/>
    </w:rPr>
  </w:style>
  <w:style w:type="character" w:styleId="16">
    <w:name w:val="page number"/>
    <w:basedOn w:val="13"/>
    <w:qFormat/>
    <w:uiPriority w:val="0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17">
    <w:name w:val="NormalCharacter"/>
    <w:link w:val="1"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customStyle="1" w:styleId="18">
    <w:name w:val="font31"/>
    <w:basedOn w:val="13"/>
    <w:qFormat/>
    <w:uiPriority w:val="0"/>
    <w:rPr>
      <w:rFonts w:hint="eastAsia" w:ascii="宋体" w:hAnsi="宋体" w:eastAsia="宋体" w:cs="宋体"/>
      <w:b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4420</Words>
  <Characters>5327</Characters>
  <Paragraphs>135</Paragraphs>
  <TotalTime>6</TotalTime>
  <ScaleCrop>false</ScaleCrop>
  <LinksUpToDate>false</LinksUpToDate>
  <CharactersWithSpaces>5858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2021-11-15T13:11:00Z</dcterms:created>
  <dc:creator>鄂黎明</dc:creator>
  <cp:lastModifiedBy>lx</cp:lastModifiedBy>
  <cp:lastPrinted>2025-09-06T19:03:00Z</cp:lastPrinted>
  <dcterms:modified xsi:type="dcterms:W3CDTF">2025-10-01T12:29:39Z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9A74E390DA304CA495492E19F3E599FC_13</vt:lpwstr>
  </property>
</Properties>
</file>