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9CEC2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jc w:val="center"/>
        <w:textAlignment w:val="auto"/>
        <w:outlineLvl w:val="9"/>
        <w:rPr>
          <w:rFonts w:hint="eastAsia" w:ascii="方正小标宋简体" w:hAnsi="方正小标宋简体" w:eastAsia="方正小标宋简体" w:cs="方正小标宋简体"/>
          <w:spacing w:val="0"/>
          <w:sz w:val="44"/>
          <w:szCs w:val="44"/>
          <w:lang w:val="en-US" w:eastAsia="zh-CN"/>
        </w:rPr>
      </w:pPr>
      <w:r>
        <w:rPr>
          <w:rFonts w:hint="eastAsia" w:ascii="方正小标宋简体" w:hAnsi="方正小标宋简体" w:eastAsia="方正小标宋简体" w:cs="方正小标宋简体"/>
          <w:spacing w:val="0"/>
          <w:sz w:val="44"/>
          <w:szCs w:val="44"/>
          <w:lang w:val="en-US" w:eastAsia="zh-CN"/>
        </w:rPr>
        <w:t>莫力达瓦达斡尔族自治旗2025年粮改饲</w:t>
      </w:r>
    </w:p>
    <w:p w14:paraId="1C06B07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jc w:val="center"/>
        <w:textAlignment w:val="auto"/>
        <w:outlineLvl w:val="9"/>
        <w:rPr>
          <w:rFonts w:hint="eastAsia" w:ascii="方正小标宋简体" w:hAnsi="方正小标宋简体" w:eastAsia="方正小标宋简体" w:cs="方正小标宋简体"/>
          <w:spacing w:val="0"/>
          <w:sz w:val="44"/>
          <w:szCs w:val="44"/>
          <w:lang w:val="en-US" w:eastAsia="zh-CN"/>
        </w:rPr>
      </w:pPr>
      <w:r>
        <w:rPr>
          <w:rFonts w:hint="eastAsia" w:ascii="方正小标宋简体" w:hAnsi="方正小标宋简体" w:eastAsia="方正小标宋简体" w:cs="方正小标宋简体"/>
          <w:spacing w:val="0"/>
          <w:sz w:val="44"/>
          <w:szCs w:val="44"/>
          <w:lang w:val="en-US" w:eastAsia="zh-CN"/>
        </w:rPr>
        <w:t>项目实施方案</w:t>
      </w:r>
    </w:p>
    <w:p w14:paraId="33D8E3B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jc w:val="both"/>
        <w:textAlignment w:val="auto"/>
        <w:outlineLvl w:val="9"/>
        <w:rPr>
          <w:rFonts w:hint="eastAsia" w:ascii="方正小标宋简体" w:hAnsi="方正小标宋简体" w:eastAsia="方正小标宋简体" w:cs="方正小标宋简体"/>
          <w:spacing w:val="0"/>
          <w:sz w:val="44"/>
          <w:szCs w:val="44"/>
          <w:lang w:val="en-US" w:eastAsia="zh-CN"/>
        </w:rPr>
      </w:pPr>
    </w:p>
    <w:p w14:paraId="3036C5DF">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根据内蒙古自治区农牧厅《关于印发2025年粮改饲</w:t>
      </w:r>
      <w:bookmarkStart w:id="0" w:name="_GoBack"/>
      <w:bookmarkEnd w:id="0"/>
      <w:r>
        <w:rPr>
          <w:rFonts w:hint="eastAsia" w:ascii="仿宋GB2312" w:hAnsi="仿宋GB2312" w:eastAsia="仿宋GB2312" w:cs="仿宋GB2312"/>
          <w:color w:val="auto"/>
          <w:kern w:val="2"/>
          <w:sz w:val="32"/>
          <w:szCs w:val="32"/>
          <w:lang w:val="en-US" w:eastAsia="zh-CN" w:bidi="ar-SA"/>
        </w:rPr>
        <w:t>项目实施方案的通知》（内农牧饲发〔2025〕424号）、呼伦贝尔市农牧局《关于印发2025年粮改饲项目实施方案的通知》（呼农牧办发〔2025〕182号）要求，为组织实施好2025年莫旗粮改饲项目工作，加快推动种植结构调整和现代饲草产业发展，保障我旗优质饲草料供给能力，通过为养而种、种养结合，结合我旗工作实际，制定本方案。</w:t>
      </w:r>
    </w:p>
    <w:p w14:paraId="14372182">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一、实施区域</w:t>
      </w:r>
    </w:p>
    <w:p w14:paraId="62C2DC5B">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根据我旗畜牧业发展规划、土地资源、水资源条件和现有种植养殖基础，确定项目实施区域。</w:t>
      </w:r>
    </w:p>
    <w:p w14:paraId="3A688101">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二、任务目标</w:t>
      </w:r>
    </w:p>
    <w:p w14:paraId="579EF94A">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扩大青贮玉米等饲草料种植面积，提高饲草料收贮能力，实现饲草料就地转化、就近供应，全面提升草食家畜生产效率和养殖效益。2025年我旗粮改饲项目将在全旗15个乡镇推进实施，粮改饲结构调整面积0.6万亩，收储量达1.79万吨以上。</w:t>
      </w:r>
    </w:p>
    <w:p w14:paraId="54662A8B">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三、补贴内容、补贴方式、补贴对象、补贴标准、种植品种、青贮方式、青贮技术</w:t>
      </w:r>
    </w:p>
    <w:p w14:paraId="17D4B20F">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（一）补贴内容</w:t>
      </w:r>
    </w:p>
    <w:p w14:paraId="248DD3FF">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补贴资金用于青贮玉米收储。</w:t>
      </w:r>
    </w:p>
    <w:p w14:paraId="2299DCFD">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（二）补贴方式</w:t>
      </w:r>
    </w:p>
    <w:p w14:paraId="587A8831">
      <w:pPr>
        <w:keepNext w:val="0"/>
        <w:keepLines w:val="0"/>
        <w:pageBreakBefore w:val="0"/>
        <w:widowControl w:val="0"/>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采取先储后补。</w:t>
      </w:r>
    </w:p>
    <w:p w14:paraId="4B5253EC">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（三）补贴对象</w:t>
      </w:r>
    </w:p>
    <w:p w14:paraId="5A60919B">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承担牛羊标准化基地建设任务量大的整乡整村种养结合专业养殖户；家庭牧场、农牧民合作社和规模养殖场；专业青贮饲料收贮合作社等新型农业经营主体。</w:t>
      </w:r>
    </w:p>
    <w:p w14:paraId="49080BBF">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（四）补贴标准</w:t>
      </w:r>
    </w:p>
    <w:p w14:paraId="75D067D4">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每吨青贮玉米补助50元。</w:t>
      </w:r>
    </w:p>
    <w:p w14:paraId="34266AE8">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四、实施程序</w:t>
      </w:r>
    </w:p>
    <w:p w14:paraId="177E831E">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（一）核查拨付补贴资金</w:t>
      </w:r>
    </w:p>
    <w:p w14:paraId="1FD8085A">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落实到各乡镇政府，由各乡镇负责调查摸底、确定收储对象、核实青贮数量。旗农牧和科技局负责核查验收。</w:t>
      </w:r>
    </w:p>
    <w:p w14:paraId="5BE5E23D">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（二）核查验收和绩效考核</w:t>
      </w:r>
    </w:p>
    <w:p w14:paraId="0B5F58E5">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项目实施乡镇组织实施核查验收工作。</w:t>
      </w:r>
    </w:p>
    <w:p w14:paraId="4A040E24">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五、工作措施</w:t>
      </w:r>
    </w:p>
    <w:p w14:paraId="1D04BEEC">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（一）加强组织领导</w:t>
      </w:r>
    </w:p>
    <w:p w14:paraId="01E26F91">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乡镇人民政府负责任务落实，旗农牧和科技局负责核实、验收工作及技术指导。按照组织计划到位、监督管理到位、跟踪调度到位、宣传引导服务到位、考核评估到位的要求，狠抓项目落实，形成自上而下的联动工作机制。</w:t>
      </w:r>
    </w:p>
    <w:p w14:paraId="339F0E91">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（二）细化实施方案</w:t>
      </w:r>
    </w:p>
    <w:p w14:paraId="1FE1808B">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旗农牧和科技局根据项目任务编制粮改饲补贴实施方案和技术操作标准，明确补贴对象、补贴标准、实施程序、作业标准、实施进度、核查验收、资金拨付、数据汇总、工作总结、监督检查、绩效考评等内容。</w:t>
      </w:r>
    </w:p>
    <w:p w14:paraId="179FCC84">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（三）强化精准管理</w:t>
      </w:r>
    </w:p>
    <w:p w14:paraId="064CE997">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旗农牧和科技局安排专人负责数据信息上报。青贮完成后，按照及时、准确、完整和精准到场到户的要求及时上报收储数据信息。上报数据信息要经旗农牧和科技局领导签字确认，并留档备查。</w:t>
      </w:r>
    </w:p>
    <w:p w14:paraId="14FA1624">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楷体" w:hAnsi="楷体" w:eastAsia="楷体" w:cs="楷体"/>
          <w:color w:val="auto"/>
          <w:kern w:val="2"/>
          <w:sz w:val="32"/>
          <w:szCs w:val="32"/>
          <w:lang w:val="en-US" w:eastAsia="zh-CN" w:bidi="ar-SA"/>
        </w:rPr>
      </w:pPr>
      <w:r>
        <w:rPr>
          <w:rFonts w:hint="eastAsia" w:ascii="楷体" w:hAnsi="楷体" w:eastAsia="楷体" w:cs="楷体"/>
          <w:color w:val="auto"/>
          <w:kern w:val="2"/>
          <w:sz w:val="32"/>
          <w:szCs w:val="32"/>
          <w:lang w:val="en-US" w:eastAsia="zh-CN" w:bidi="ar-SA"/>
        </w:rPr>
        <w:t>（四）加强培训宣传</w:t>
      </w:r>
    </w:p>
    <w:p w14:paraId="170E2920">
      <w:pPr>
        <w:keepNext w:val="0"/>
        <w:keepLines w:val="0"/>
        <w:pageBreakBefore w:val="0"/>
        <w:widowControl w:val="0"/>
        <w:kinsoku/>
        <w:wordWrap/>
        <w:overflowPunct/>
        <w:topLinePunct w:val="0"/>
        <w:autoSpaceDE/>
        <w:autoSpaceDN/>
        <w:bidi w:val="0"/>
        <w:adjustRightInd/>
        <w:snapToGrid/>
        <w:spacing w:line="578" w:lineRule="exact"/>
        <w:ind w:left="0" w:leftChars="0" w:right="0" w:rightChars="0" w:firstLine="640" w:firstLineChars="200"/>
        <w:jc w:val="both"/>
        <w:textAlignment w:val="auto"/>
        <w:outlineLvl w:val="9"/>
        <w:rPr>
          <w:rFonts w:hint="eastAsia" w:ascii="仿宋GB2312" w:hAnsi="仿宋GB2312" w:eastAsia="仿宋GB2312" w:cs="仿宋GB2312"/>
          <w:color w:val="auto"/>
          <w:kern w:val="2"/>
          <w:sz w:val="32"/>
          <w:szCs w:val="32"/>
          <w:lang w:val="en-US" w:eastAsia="zh-CN" w:bidi="ar-SA"/>
        </w:rPr>
      </w:pPr>
      <w:r>
        <w:rPr>
          <w:rFonts w:hint="eastAsia" w:ascii="仿宋GB2312" w:hAnsi="仿宋GB2312" w:eastAsia="仿宋GB2312" w:cs="仿宋GB2312"/>
          <w:color w:val="auto"/>
          <w:kern w:val="2"/>
          <w:sz w:val="32"/>
          <w:szCs w:val="32"/>
          <w:lang w:val="en-US" w:eastAsia="zh-CN" w:bidi="ar-SA"/>
        </w:rPr>
        <w:t>充分利用职业农牧民培训机构，广播电视、报刊杂志、互联网等媒体，开展主题突出、形式多样的宣传报道，形成推进粮改饲的良好工作局面和舆论氛围。注重总结推广各地开展试点工作的好做法、好经验，好典型，帮助种养主体提高认识，掌握技术，提高收益。</w:t>
      </w:r>
    </w:p>
    <w:sectPr>
      <w:footerReference r:id="rId3" w:type="default"/>
      <w:pgSz w:w="11906" w:h="16838"/>
      <w:pgMar w:top="2098" w:right="1531" w:bottom="1984"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A86430E-9C7C-4B8F-AF2B-FD0231BD1A1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C088E68-618D-440D-B4A7-EA999CBE0538}"/>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3" w:fontKey="{96B6EA0A-F562-4DF8-B553-9CDAD27C2CAC}"/>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A05F703D-07B9-44F3-8465-4AC264587421}"/>
  </w:font>
  <w:font w:name="仿宋GB2312">
    <w:altName w:val="仿宋"/>
    <w:panose1 w:val="00000000000000000000"/>
    <w:charset w:val="00"/>
    <w:family w:val="auto"/>
    <w:pitch w:val="default"/>
    <w:sig w:usb0="00000000" w:usb1="00000000" w:usb2="00000000" w:usb3="00000000" w:csb0="00040001" w:csb1="00000000"/>
    <w:embedRegular r:id="rId5" w:fontKey="{C2226116-EAC9-4801-A1D7-062E0E1DE7F7}"/>
  </w:font>
  <w:font w:name="方正小标宋简体">
    <w:panose1 w:val="02000000000000000000"/>
    <w:charset w:val="86"/>
    <w:family w:val="auto"/>
    <w:pitch w:val="default"/>
    <w:sig w:usb0="00000001" w:usb1="08000000" w:usb2="00000000" w:usb3="00000000" w:csb0="00040000" w:csb1="00000000"/>
    <w:embedRegular r:id="rId6" w:fontKey="{51515AD9-EB22-468D-A025-AE0C9B94FC4E}"/>
  </w:font>
  <w:font w:name="Impact">
    <w:panose1 w:val="020B0806030902050204"/>
    <w:charset w:val="00"/>
    <w:family w:val="swiss"/>
    <w:pitch w:val="default"/>
    <w:sig w:usb0="00000287" w:usb1="00000000" w:usb2="00000000" w:usb3="00000000" w:csb0="2000009F" w:csb1="DFD70000"/>
    <w:embedRegular r:id="rId7" w:fontKey="{649F03EA-4464-4E93-B7A2-45EB2E743B73}"/>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CAC0C">
    <w:pPr>
      <w:pStyle w:val="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07760">
                          <w:pPr>
                            <w:pStyle w:val="4"/>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4107760">
                    <w:pPr>
                      <w:pStyle w:val="4"/>
                      <w:rPr>
                        <w:rFonts w:hint="eastAsia"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 xml:space="preserve">— </w:t>
                    </w:r>
                    <w:r>
                      <w:rPr>
                        <w:rFonts w:hint="eastAsia" w:asciiTheme="majorEastAsia" w:hAnsiTheme="majorEastAsia" w:eastAsiaTheme="majorEastAsia" w:cstheme="majorEastAsia"/>
                        <w:sz w:val="30"/>
                        <w:szCs w:val="30"/>
                      </w:rPr>
                      <w:fldChar w:fldCharType="begin"/>
                    </w:r>
                    <w:r>
                      <w:rPr>
                        <w:rFonts w:hint="eastAsia" w:asciiTheme="majorEastAsia" w:hAnsiTheme="majorEastAsia" w:eastAsiaTheme="majorEastAsia" w:cstheme="majorEastAsia"/>
                        <w:sz w:val="30"/>
                        <w:szCs w:val="30"/>
                      </w:rPr>
                      <w:instrText xml:space="preserve"> PAGE  \* MERGEFORMAT </w:instrText>
                    </w:r>
                    <w:r>
                      <w:rPr>
                        <w:rFonts w:hint="eastAsia"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8</w:t>
                    </w:r>
                    <w:r>
                      <w:rPr>
                        <w:rFonts w:hint="eastAsia" w:asciiTheme="majorEastAsia" w:hAnsiTheme="majorEastAsia" w:eastAsiaTheme="majorEastAsia" w:cstheme="majorEastAsia"/>
                        <w:sz w:val="30"/>
                        <w:szCs w:val="30"/>
                      </w:rPr>
                      <w:fldChar w:fldCharType="end"/>
                    </w:r>
                    <w:r>
                      <w:rPr>
                        <w:rFonts w:hint="eastAsia" w:asciiTheme="majorEastAsia" w:hAnsiTheme="majorEastAsia" w:eastAsiaTheme="majorEastAsia" w:cstheme="majorEastAsia"/>
                        <w:sz w:val="30"/>
                        <w:szCs w:val="30"/>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5682615</wp:posOffset>
              </wp:positionH>
              <wp:positionV relativeFrom="paragraph">
                <wp:posOffset>67310</wp:posOffset>
              </wp:positionV>
              <wp:extent cx="296545" cy="7423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96545" cy="742315"/>
                      </a:xfrm>
                      <a:prstGeom prst="rect">
                        <a:avLst/>
                      </a:prstGeom>
                      <a:noFill/>
                      <a:ln>
                        <a:noFill/>
                      </a:ln>
                    </wps:spPr>
                    <wps:txbx>
                      <w:txbxContent>
                        <w:p w14:paraId="16E0CA29">
                          <w:pPr>
                            <w:snapToGrid w:val="0"/>
                            <w:rPr>
                              <w:rFonts w:hint="eastAsia"/>
                              <w:sz w:val="18"/>
                            </w:rPr>
                          </w:pPr>
                        </w:p>
                      </w:txbxContent>
                    </wps:txbx>
                    <wps:bodyPr lIns="0" tIns="0" rIns="0" bIns="0" upright="0"/>
                  </wps:wsp>
                </a:graphicData>
              </a:graphic>
            </wp:anchor>
          </w:drawing>
        </mc:Choice>
        <mc:Fallback>
          <w:pict>
            <v:shape id="_x0000_s1026" o:spid="_x0000_s1026" o:spt="202" type="#_x0000_t202" style="position:absolute;left:0pt;margin-left:447.45pt;margin-top:5.3pt;height:58.45pt;width:23.35pt;mso-position-horizontal-relative:margin;z-index:251660288;mso-width-relative:page;mso-height-relative:page;" filled="f" stroked="f" coordsize="21600,21600" o:gfxdata="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Fg29TZAAAACgEAAA8AAAAAAAAAAQAgAAAAIgAAAGRycy9kb3ducmV2LnhtbFBL&#10;AQIUABQAAAAIAIdO4kDhz3D8vAEAAHEDAAAOAAAAAAAAAAEAIAAAACgBAABkcnMvZTJvRG9jLnht&#10;bFBLBQYAAAAABgAGAFkBAABWBQAAAAA=&#10;">
              <v:fill on="f" focussize="0,0"/>
              <v:stroke on="f"/>
              <v:imagedata o:title=""/>
              <o:lock v:ext="edit" aspectratio="f"/>
              <v:textbox inset="0mm,0mm,0mm,0mm">
                <w:txbxContent>
                  <w:p w14:paraId="16E0CA29">
                    <w:pPr>
                      <w:snapToGrid w:val="0"/>
                      <w:rPr>
                        <w:rFonts w:hint="eastAsia"/>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635</wp:posOffset>
              </wp:positionV>
              <wp:extent cx="144780"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44780" cy="230505"/>
                      </a:xfrm>
                      <a:prstGeom prst="rect">
                        <a:avLst/>
                      </a:prstGeom>
                      <a:noFill/>
                      <a:ln>
                        <a:noFill/>
                      </a:ln>
                    </wps:spPr>
                    <wps:txbx>
                      <w:txbxContent>
                        <w:p w14:paraId="260621DC">
                          <w:pPr>
                            <w:snapToGrid w:val="0"/>
                            <w:rPr>
                              <w:rFonts w:ascii="Impact" w:hAnsi="Impact" w:cs="Impact"/>
                              <w:sz w:val="28"/>
                              <w:szCs w:val="28"/>
                            </w:rPr>
                          </w:pPr>
                        </w:p>
                      </w:txbxContent>
                    </wps:txbx>
                    <wps:bodyPr lIns="0" tIns="0" rIns="0" bIns="0" upright="0"/>
                  </wps:wsp>
                </a:graphicData>
              </a:graphic>
            </wp:anchor>
          </w:drawing>
        </mc:Choice>
        <mc:Fallback>
          <w:pict>
            <v:shape id="_x0000_s1026" o:spid="_x0000_s1026" o:spt="202" type="#_x0000_t202" style="position:absolute;left:0pt;margin-top:0.05pt;height:18.15pt;width:11.4pt;mso-position-horizontal:outside;mso-position-horizontal-relative:margin;z-index:251659264;mso-width-relative:page;mso-height-relative:page;" filled="f" stroked="f" coordsize="21600,21600" o:gfxdata="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a0P+jSAAAAAwEAAA8AAAAAAAAAAQAgAAAAIgAAAGRycy9kb3ducmV2LnhtbFBLAQIUABQAAAAI&#10;AIdO4kCTYZnbugEAAHEDAAAOAAAAAAAAAAEAIAAAACEBAABkcnMvZTJvRG9jLnhtbFBLBQYAAAAA&#10;BgAGAFkBAABNBQAAAAA=&#10;">
              <v:fill on="f" focussize="0,0"/>
              <v:stroke on="f"/>
              <v:imagedata o:title=""/>
              <o:lock v:ext="edit" aspectratio="f"/>
              <v:textbox inset="0mm,0mm,0mm,0mm">
                <w:txbxContent>
                  <w:p w14:paraId="260621DC">
                    <w:pPr>
                      <w:snapToGrid w:val="0"/>
                      <w:rPr>
                        <w:rFonts w:ascii="Impact" w:hAnsi="Impact" w:cs="Impact"/>
                        <w:sz w:val="28"/>
                        <w:szCs w:val="28"/>
                      </w:rPr>
                    </w:pPr>
                  </w:p>
                </w:txbxContent>
              </v:textbox>
            </v:shape>
          </w:pict>
        </mc:Fallback>
      </mc:AlternateContent>
    </w:r>
  </w:p>
  <w:p w14:paraId="350D8888">
    <w:pPr>
      <w:pStyle w:val="4"/>
      <w:ind w:right="360"/>
      <w:rPr>
        <w:rFonts w:hint="eastAsia" w:ascii="仿宋_GB2312" w:hAnsi="仿宋_GB2312" w:eastAsia="仿宋_GB2312"/>
        <w:sz w:val="28"/>
      </w:rPr>
    </w:pP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78740</wp:posOffset>
              </wp:positionV>
              <wp:extent cx="533400" cy="258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33400" cy="258445"/>
                      </a:xfrm>
                      <a:prstGeom prst="rect">
                        <a:avLst/>
                      </a:prstGeom>
                      <a:noFill/>
                      <a:ln w="15875">
                        <a:noFill/>
                      </a:ln>
                    </wps:spPr>
                    <wps:txbx>
                      <w:txbxContent>
                        <w:p w14:paraId="270BEFD6">
                          <w:pPr>
                            <w:snapToGrid w:val="0"/>
                            <w:rPr>
                              <w:rFonts w:hint="eastAsia" w:ascii="宋体" w:hAnsi="宋体" w:cs="宋体"/>
                              <w:sz w:val="28"/>
                              <w:szCs w:val="28"/>
                            </w:rPr>
                          </w:pPr>
                        </w:p>
                      </w:txbxContent>
                    </wps:txbx>
                    <wps:bodyPr lIns="0" tIns="0" rIns="0" bIns="0" upright="0"/>
                  </wps:wsp>
                </a:graphicData>
              </a:graphic>
            </wp:anchor>
          </w:drawing>
        </mc:Choice>
        <mc:Fallback>
          <w:pict>
            <v:shape id="_x0000_s1026" o:spid="_x0000_s1026" o:spt="202" type="#_x0000_t202" style="position:absolute;left:0pt;margin-top:6.2pt;height:20.35pt;width:42pt;mso-position-horizontal:outside;mso-position-horizontal-relative:margin;z-index:251661312;mso-width-relative:page;mso-height-relative:page;" filled="f" stroked="f" coordsize="21600,21600" o:gfxdata="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S3HlP1AAAAAUBAAAPAAAAAAAAAAEAIAAAACIAAABkcnMvZG93bnJldi54bWxQ&#10;SwECFAAUAAAACACHTuJAt22H3MIBAAB7AwAADgAAAAAAAAABACAAAAAjAQAAZHJzL2Uyb0RvYy54&#10;bWxQSwUGAAAAAAYABgBZAQAAVwUAAAAA&#10;">
              <v:fill on="f" focussize="0,0"/>
              <v:stroke on="f" weight="1.25pt"/>
              <v:imagedata o:title=""/>
              <o:lock v:ext="edit" aspectratio="f"/>
              <v:textbox inset="0mm,0mm,0mm,0mm">
                <w:txbxContent>
                  <w:p w14:paraId="270BEFD6">
                    <w:pPr>
                      <w:snapToGrid w:val="0"/>
                      <w:rPr>
                        <w:rFonts w:hint="eastAsia" w:ascii="宋体" w:hAnsi="宋体" w:cs="宋体"/>
                        <w:sz w:val="28"/>
                        <w:szCs w:val="2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2499B"/>
    <w:rsid w:val="01E427A6"/>
    <w:rsid w:val="03733BC4"/>
    <w:rsid w:val="04690927"/>
    <w:rsid w:val="04B504A2"/>
    <w:rsid w:val="04BA223F"/>
    <w:rsid w:val="06DB1E9F"/>
    <w:rsid w:val="075C389A"/>
    <w:rsid w:val="07846EA1"/>
    <w:rsid w:val="079D4F22"/>
    <w:rsid w:val="07C52792"/>
    <w:rsid w:val="091639B8"/>
    <w:rsid w:val="0A3B636B"/>
    <w:rsid w:val="0BA3012C"/>
    <w:rsid w:val="0BDD741B"/>
    <w:rsid w:val="0C770174"/>
    <w:rsid w:val="0C8778D2"/>
    <w:rsid w:val="0CA112DE"/>
    <w:rsid w:val="0D5418FB"/>
    <w:rsid w:val="0D903A21"/>
    <w:rsid w:val="0DD96F3B"/>
    <w:rsid w:val="12695058"/>
    <w:rsid w:val="13A237BA"/>
    <w:rsid w:val="140F4372"/>
    <w:rsid w:val="149D7367"/>
    <w:rsid w:val="152F5116"/>
    <w:rsid w:val="16224CA2"/>
    <w:rsid w:val="173D76B7"/>
    <w:rsid w:val="179C2F88"/>
    <w:rsid w:val="17C96E5B"/>
    <w:rsid w:val="18940A9D"/>
    <w:rsid w:val="18C84722"/>
    <w:rsid w:val="19D0438A"/>
    <w:rsid w:val="19FE5F88"/>
    <w:rsid w:val="1A2B5913"/>
    <w:rsid w:val="1C1648A6"/>
    <w:rsid w:val="1C410FFD"/>
    <w:rsid w:val="1C824432"/>
    <w:rsid w:val="1CBD1B33"/>
    <w:rsid w:val="1D292E25"/>
    <w:rsid w:val="1E9108C5"/>
    <w:rsid w:val="1FA12306"/>
    <w:rsid w:val="219C48E5"/>
    <w:rsid w:val="22A57931"/>
    <w:rsid w:val="234556F6"/>
    <w:rsid w:val="23A43C31"/>
    <w:rsid w:val="24B339FC"/>
    <w:rsid w:val="271A07CD"/>
    <w:rsid w:val="27AD6FAC"/>
    <w:rsid w:val="292C1407"/>
    <w:rsid w:val="292C6EF9"/>
    <w:rsid w:val="294623ED"/>
    <w:rsid w:val="29FD5B10"/>
    <w:rsid w:val="2A014344"/>
    <w:rsid w:val="2AC23897"/>
    <w:rsid w:val="2C174B3A"/>
    <w:rsid w:val="2D464A6E"/>
    <w:rsid w:val="2DE958EF"/>
    <w:rsid w:val="2DF31E81"/>
    <w:rsid w:val="2E3D412A"/>
    <w:rsid w:val="2E9774DC"/>
    <w:rsid w:val="2F83492B"/>
    <w:rsid w:val="30FC0E57"/>
    <w:rsid w:val="317D350D"/>
    <w:rsid w:val="31A31039"/>
    <w:rsid w:val="323A0124"/>
    <w:rsid w:val="33425BBF"/>
    <w:rsid w:val="33F342C1"/>
    <w:rsid w:val="344B39DD"/>
    <w:rsid w:val="347E59EA"/>
    <w:rsid w:val="355024DE"/>
    <w:rsid w:val="356D5162"/>
    <w:rsid w:val="37AC72E2"/>
    <w:rsid w:val="37BB2961"/>
    <w:rsid w:val="39174343"/>
    <w:rsid w:val="3A1B3DDC"/>
    <w:rsid w:val="3A7D488A"/>
    <w:rsid w:val="3E1A55DB"/>
    <w:rsid w:val="3F5C1623"/>
    <w:rsid w:val="3F7C6768"/>
    <w:rsid w:val="3FA7527D"/>
    <w:rsid w:val="3FAC3757"/>
    <w:rsid w:val="40052CB4"/>
    <w:rsid w:val="43AA3366"/>
    <w:rsid w:val="44AF66CA"/>
    <w:rsid w:val="454B2B17"/>
    <w:rsid w:val="45AE2F45"/>
    <w:rsid w:val="45BF25C9"/>
    <w:rsid w:val="475A4078"/>
    <w:rsid w:val="49696C81"/>
    <w:rsid w:val="49F75B67"/>
    <w:rsid w:val="4AE30FFF"/>
    <w:rsid w:val="4C5B7928"/>
    <w:rsid w:val="4D1B6D0A"/>
    <w:rsid w:val="4E3F49D6"/>
    <w:rsid w:val="4EB36E60"/>
    <w:rsid w:val="52805200"/>
    <w:rsid w:val="56C344BA"/>
    <w:rsid w:val="56D07EF4"/>
    <w:rsid w:val="570B7350"/>
    <w:rsid w:val="577244F9"/>
    <w:rsid w:val="57753785"/>
    <w:rsid w:val="58B910F1"/>
    <w:rsid w:val="58CC104F"/>
    <w:rsid w:val="58E74C07"/>
    <w:rsid w:val="598374E0"/>
    <w:rsid w:val="5C130185"/>
    <w:rsid w:val="5C3D08CD"/>
    <w:rsid w:val="5C94438B"/>
    <w:rsid w:val="5D425870"/>
    <w:rsid w:val="5DD214BC"/>
    <w:rsid w:val="5E16043B"/>
    <w:rsid w:val="602B5135"/>
    <w:rsid w:val="62750E87"/>
    <w:rsid w:val="62CF10AE"/>
    <w:rsid w:val="63751CD3"/>
    <w:rsid w:val="63964E43"/>
    <w:rsid w:val="63DB77C0"/>
    <w:rsid w:val="649947EF"/>
    <w:rsid w:val="6531165B"/>
    <w:rsid w:val="658E6DF4"/>
    <w:rsid w:val="65C64E7C"/>
    <w:rsid w:val="6909127A"/>
    <w:rsid w:val="69D20235"/>
    <w:rsid w:val="6B6C6297"/>
    <w:rsid w:val="6CA97850"/>
    <w:rsid w:val="6F403C5D"/>
    <w:rsid w:val="721C5D58"/>
    <w:rsid w:val="756744E8"/>
    <w:rsid w:val="758B0E26"/>
    <w:rsid w:val="767F5B84"/>
    <w:rsid w:val="776D409C"/>
    <w:rsid w:val="77E95605"/>
    <w:rsid w:val="7847671C"/>
    <w:rsid w:val="78575DFE"/>
    <w:rsid w:val="790B224E"/>
    <w:rsid w:val="79B343A2"/>
    <w:rsid w:val="79B71322"/>
    <w:rsid w:val="79C05EBE"/>
    <w:rsid w:val="79CA7292"/>
    <w:rsid w:val="7A004FB8"/>
    <w:rsid w:val="7DD26555"/>
    <w:rsid w:val="7ECA2307"/>
    <w:rsid w:val="7F056D95"/>
    <w:rsid w:val="7FBD4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9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40" w:after="240" w:line="360" w:lineRule="auto"/>
      <w:ind w:firstLine="883" w:firstLineChars="200"/>
      <w:jc w:val="left"/>
      <w:outlineLvl w:val="0"/>
    </w:pPr>
    <w:rPr>
      <w:rFonts w:ascii="黑体" w:hAnsi="黑体" w:eastAsia="楷体_GB2312" w:cs="Times New Roman"/>
      <w:b/>
      <w:bCs/>
      <w:kern w:val="44"/>
      <w:sz w:val="32"/>
      <w:szCs w:val="4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0"/>
      <w:szCs w:val="30"/>
      <w:lang w:val="en-US" w:eastAsia="en-US" w:bidi="ar-SA"/>
    </w:rPr>
  </w:style>
  <w:style w:type="paragraph" w:styleId="4">
    <w:name w:val="footer"/>
    <w:basedOn w:val="1"/>
    <w:qFormat/>
    <w:uiPriority w:val="99"/>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9"/>
    <w:basedOn w:val="1"/>
    <w:next w:val="1"/>
    <w:qFormat/>
    <w:uiPriority w:val="99"/>
    <w:pPr>
      <w:ind w:left="3360" w:leftChars="1600"/>
    </w:pPr>
    <w:rPr>
      <w:rFonts w:cs="黑体"/>
    </w:rPr>
  </w:style>
  <w:style w:type="table" w:styleId="8">
    <w:name w:val="Table Grid"/>
    <w:basedOn w:val="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样式 首行缩进:  2 字符"/>
    <w:next w:val="6"/>
    <w:qFormat/>
    <w:uiPriority w:val="99"/>
    <w:pPr>
      <w:widowControl w:val="0"/>
      <w:spacing w:line="360" w:lineRule="auto"/>
      <w:ind w:firstLine="200" w:firstLineChars="200"/>
      <w:jc w:val="both"/>
    </w:pPr>
    <w:rPr>
      <w:rFonts w:ascii="Calibri" w:hAnsi="Calibri" w:eastAsia="宋体" w:cs="宋体"/>
      <w:kern w:val="2"/>
      <w:sz w:val="28"/>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d76f4628-910f-470b-a462-7618bf51b877</errorID>
      <errorWord>粮</errorWord>
      <group>L1_Grammar</group>
      <groupName>语法问题</groupName>
      <ability>L2_Missing</ability>
      <abilityName>成分残缺</abilityName>
      <candidateList>
        <item>《粮</item>
      </candidateList>
      <explain>句子中可能存在主谓宾、修饰语或者必要的词语残缺。</explain>
      <paraID>7F30FE10</paraID>
      <start>0</start>
      <end>1</end>
      <status>ignored</status>
      <modifiedWord/>
      <trackRevisions>false</trackRevisions>
    </reviewItem>
    <reviewItem>
      <errorID>38942ea1-ceb5-4f3c-b798-f9c4b205401f</errorID>
      <errorWord>,</errorWord>
      <group>L1_Format</group>
      <groupName>格式问题</groupName>
      <ability>L2_HalfPunc</ability>
      <abilityName>全半角检查</abilityName>
      <candidateList>
        <item>，</item>
      </candidateList>
      <explain>文本全半角错误。</explain>
      <paraID>3F18BB6B</paraID>
      <start>142</start>
      <end>143</end>
      <status>modified</status>
      <modifiedWord>，</modifiedWord>
      <trackRevisions>false</trackRevisions>
    </reviewItem>
    <reviewItem>
      <errorID>46fc1268-f741-49e0-b9bb-4a8d5b623ec4</errorID>
      <errorWord>农牧和</errorWord>
      <group>L1_Grammar</group>
      <groupName>语法问题</groupName>
      <ability>L2_Order</ability>
      <abilityName>语序不当</abilityName>
      <candidateList>
        <item>农牧</item>
      </candidateList>
      <explain>句子可能没有遵循时空、逻辑顺序，或者介词、关联词等位置不当。</explain>
      <paraID> 64CE997</paraID>
      <start>1</start>
      <end>4</end>
      <status>ignored</status>
      <modifiedWord/>
      <trackRevisions>false</trackRevisions>
    </reviewItem>
    <reviewItem>
      <errorID>bec4651f-b13a-4574-8f2e-aa670f948f98</errorID>
      <errorWord>报刊杂志</errorWord>
      <group>L1_Word</group>
      <groupName>字词问题</groupName>
      <ability>L2_Typo</ability>
      <abilityName>字词错误</abilityName>
      <candidateList>
        <item>报刊</item>
      </candidateList>
      <explain/>
      <paraID>170E2920</paraID>
      <start>19</start>
      <end>23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1f6685-7a7b-4a76-bd3b-a4f1881e811c}">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1293</Words>
  <Characters>1365</Characters>
  <Lines>0</Lines>
  <Paragraphs>0</Paragraphs>
  <TotalTime>10</TotalTime>
  <ScaleCrop>false</ScaleCrop>
  <LinksUpToDate>false</LinksUpToDate>
  <CharactersWithSpaces>1413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2025-07-16T03:24:00Z</dcterms:created>
  <dc:creator>Administrator</dc:creator>
  <cp:lastModifiedBy>W</cp:lastModifiedBy>
  <cp:lastPrinted>2025-12-11T01:40:00Z</cp:lastPrinted>
  <dcterms:modified xsi:type="dcterms:W3CDTF">2025-12-16T10:58:18Z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eyJoZGlkIjoiODA5MjUyOWZmNTJhZTdiNDgzYjgzMWRiZDgzNWNhODYiLCJ1c2VySWQiOiIyNDY2NjEzMTEifQ==</vt:lpwstr>
  </property>
  <property fmtid="{D5CDD505-2E9C-101B-9397-08002B2CF9AE}" pid="4" name="ICV">
    <vt:lpwstr>8DCC8F1B5F4541D0B0E755062C025B10_13</vt:lpwstr>
  </property>
</Properties>
</file>