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47F5B00">
      <w:pPr>
        <w:jc w:val="both"/>
        <w:rPr>
          <w:rFonts w:hint="default" w:ascii="仿宋" w:hAnsi="仿宋" w:eastAsia="仿宋" w:cs="仿宋"/>
          <w:sz w:val="32"/>
          <w:szCs w:val="32"/>
          <w:lang w:val="en-US" w:eastAsia="zh-CN"/>
        </w:rPr>
      </w:pPr>
      <w:r>
        <w:rPr>
          <w:rFonts w:hint="eastAsia" w:ascii="仿宋" w:hAnsi="仿宋" w:eastAsia="仿宋" w:cs="仿宋"/>
          <w:sz w:val="32"/>
          <w:szCs w:val="32"/>
          <w:lang w:val="en-US" w:eastAsia="zh-CN"/>
        </w:rPr>
        <w:t xml:space="preserve"> </w:t>
      </w:r>
    </w:p>
    <w:p w14:paraId="6481CECB">
      <w:pPr>
        <w:jc w:val="both"/>
        <w:rPr>
          <w:rFonts w:hint="eastAsia" w:ascii="仿宋" w:hAnsi="仿宋" w:eastAsia="仿宋" w:cs="仿宋"/>
          <w:sz w:val="32"/>
          <w:szCs w:val="32"/>
          <w:lang w:val="en-US" w:eastAsia="zh-CN"/>
        </w:rPr>
      </w:pPr>
    </w:p>
    <w:p w14:paraId="7E838EAD">
      <w:pPr>
        <w:jc w:val="both"/>
        <w:rPr>
          <w:rFonts w:hint="eastAsia" w:ascii="仿宋" w:hAnsi="仿宋" w:eastAsia="仿宋" w:cs="仿宋"/>
          <w:sz w:val="32"/>
          <w:szCs w:val="32"/>
          <w:lang w:val="en-US" w:eastAsia="zh-CN"/>
        </w:rPr>
      </w:pPr>
    </w:p>
    <w:p w14:paraId="52B28E60">
      <w:pPr>
        <w:jc w:val="both"/>
        <w:rPr>
          <w:rFonts w:hint="eastAsia" w:ascii="仿宋" w:hAnsi="仿宋" w:eastAsia="仿宋" w:cs="仿宋"/>
          <w:sz w:val="32"/>
          <w:szCs w:val="32"/>
          <w:lang w:val="en-US" w:eastAsia="zh-CN"/>
        </w:rPr>
      </w:pPr>
    </w:p>
    <w:p w14:paraId="53A40BF0">
      <w:pPr>
        <w:jc w:val="both"/>
        <w:rPr>
          <w:rFonts w:hint="eastAsia" w:ascii="仿宋" w:hAnsi="仿宋" w:eastAsia="仿宋" w:cs="仿宋"/>
          <w:sz w:val="32"/>
          <w:szCs w:val="32"/>
          <w:lang w:val="en-US" w:eastAsia="zh-CN"/>
        </w:rPr>
      </w:pPr>
    </w:p>
    <w:p w14:paraId="61B927BC">
      <w:pPr>
        <w:jc w:val="both"/>
        <w:rPr>
          <w:rFonts w:hint="eastAsia" w:ascii="仿宋" w:hAnsi="仿宋" w:eastAsia="仿宋" w:cs="仿宋"/>
          <w:sz w:val="32"/>
          <w:szCs w:val="32"/>
          <w:lang w:val="en-US" w:eastAsia="zh-CN"/>
        </w:rPr>
      </w:pPr>
    </w:p>
    <w:p w14:paraId="44D159E5">
      <w:pPr>
        <w:jc w:val="both"/>
        <w:rPr>
          <w:rFonts w:hint="eastAsia" w:ascii="仿宋" w:hAnsi="仿宋" w:eastAsia="仿宋" w:cs="仿宋"/>
          <w:sz w:val="32"/>
          <w:szCs w:val="32"/>
          <w:lang w:val="en-US" w:eastAsia="zh-CN"/>
        </w:rPr>
      </w:pPr>
    </w:p>
    <w:p w14:paraId="2B206DAA">
      <w:pPr>
        <w:jc w:val="both"/>
        <w:rPr>
          <w:rFonts w:hint="eastAsia" w:ascii="仿宋" w:hAnsi="仿宋" w:eastAsia="仿宋" w:cs="仿宋"/>
          <w:sz w:val="32"/>
          <w:szCs w:val="32"/>
          <w:lang w:val="en-US" w:eastAsia="zh-CN"/>
        </w:rPr>
      </w:pPr>
    </w:p>
    <w:p w14:paraId="7457BEA0">
      <w:pPr>
        <w:tabs>
          <w:tab w:val="left" w:pos="609"/>
        </w:tabs>
        <w:jc w:val="both"/>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ab/>
      </w:r>
    </w:p>
    <w:p w14:paraId="37037B44">
      <w:pPr>
        <w:ind w:left="480" w:hanging="640" w:hangingChars="200"/>
        <w:jc w:val="center"/>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lang w:val="en-US" w:eastAsia="zh-CN"/>
        </w:rPr>
        <w:t>莫</w:t>
      </w:r>
      <w:r>
        <w:rPr>
          <w:rFonts w:hint="eastAsia" w:ascii="仿宋_GB2312" w:hAnsi="仿宋_GB2312" w:eastAsia="仿宋_GB2312" w:cs="仿宋_GB2312"/>
          <w:color w:val="auto"/>
          <w:sz w:val="32"/>
          <w:szCs w:val="32"/>
        </w:rPr>
        <w:t>安委办字〔202</w:t>
      </w:r>
      <w:r>
        <w:rPr>
          <w:rFonts w:hint="eastAsia" w:ascii="仿宋_GB2312" w:hAnsi="仿宋_GB2312" w:eastAsia="仿宋_GB2312" w:cs="仿宋_GB2312"/>
          <w:color w:val="auto"/>
          <w:sz w:val="32"/>
          <w:szCs w:val="32"/>
          <w:lang w:val="en-US" w:eastAsia="zh-CN"/>
        </w:rPr>
        <w:t>5</w:t>
      </w:r>
      <w:r>
        <w:rPr>
          <w:rFonts w:hint="eastAsia" w:ascii="仿宋_GB2312" w:hAnsi="仿宋_GB2312" w:eastAsia="仿宋_GB2312" w:cs="仿宋_GB2312"/>
          <w:color w:val="auto"/>
          <w:sz w:val="32"/>
          <w:szCs w:val="32"/>
        </w:rPr>
        <w:t>〕</w:t>
      </w:r>
      <w:r>
        <w:rPr>
          <w:rFonts w:hint="eastAsia" w:ascii="仿宋_GB2312" w:hAnsi="仿宋_GB2312" w:eastAsia="仿宋_GB2312" w:cs="仿宋_GB2312"/>
          <w:color w:val="auto"/>
          <w:sz w:val="32"/>
          <w:szCs w:val="32"/>
          <w:lang w:val="en-US" w:eastAsia="zh-CN"/>
        </w:rPr>
        <w:t>19</w:t>
      </w:r>
      <w:r>
        <w:rPr>
          <w:rFonts w:hint="eastAsia" w:ascii="仿宋_GB2312" w:hAnsi="仿宋_GB2312" w:eastAsia="仿宋_GB2312" w:cs="仿宋_GB2312"/>
          <w:color w:val="auto"/>
          <w:sz w:val="32"/>
          <w:szCs w:val="32"/>
        </w:rPr>
        <w:t>号</w:t>
      </w:r>
    </w:p>
    <w:p w14:paraId="33285BCD">
      <w:pPr>
        <w:pStyle w:val="2"/>
        <w:jc w:val="center"/>
        <w:rPr>
          <w:rFonts w:hint="eastAsia"/>
          <w:lang w:val="en-US" w:eastAsia="zh-CN"/>
        </w:rPr>
      </w:pPr>
    </w:p>
    <w:p w14:paraId="3D9D0029">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方正小标宋简体" w:hAnsi="方正小标宋简体" w:eastAsia="方正小标宋简体" w:cs="方正小标宋简体"/>
          <w:b w:val="0"/>
          <w:bCs w:val="0"/>
          <w:color w:val="000000"/>
          <w:spacing w:val="-11"/>
          <w:sz w:val="44"/>
          <w:szCs w:val="44"/>
          <w:lang w:val="en-US" w:eastAsia="zh-CN"/>
        </w:rPr>
      </w:pPr>
      <w:r>
        <w:rPr>
          <w:rFonts w:hint="eastAsia" w:ascii="方正小标宋简体" w:hAnsi="方正小标宋简体" w:eastAsia="方正小标宋简体" w:cs="方正小标宋简体"/>
          <w:b w:val="0"/>
          <w:bCs w:val="0"/>
          <w:color w:val="000000"/>
          <w:spacing w:val="-11"/>
          <w:sz w:val="44"/>
          <w:szCs w:val="44"/>
          <w:lang w:val="en-US" w:eastAsia="zh-CN"/>
        </w:rPr>
        <w:t>关于转发《呼伦贝尔市安全生产委员会办公室关于安全生产治本攻坚三年行动进展情况</w:t>
      </w:r>
    </w:p>
    <w:p w14:paraId="43174AB7">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方正小标宋简体" w:hAnsi="方正小标宋简体" w:eastAsia="方正小标宋简体" w:cs="方正小标宋简体"/>
          <w:b w:val="0"/>
          <w:bCs w:val="0"/>
          <w:color w:val="000000"/>
          <w:spacing w:val="-11"/>
          <w:sz w:val="44"/>
          <w:szCs w:val="44"/>
          <w:lang w:val="en-US" w:eastAsia="zh-CN"/>
        </w:rPr>
      </w:pPr>
      <w:r>
        <w:rPr>
          <w:rFonts w:hint="eastAsia" w:ascii="方正小标宋简体" w:hAnsi="方正小标宋简体" w:eastAsia="方正小标宋简体" w:cs="方正小标宋简体"/>
          <w:b w:val="0"/>
          <w:bCs w:val="0"/>
          <w:color w:val="000000"/>
          <w:spacing w:val="-11"/>
          <w:sz w:val="44"/>
          <w:szCs w:val="44"/>
          <w:lang w:val="en-US" w:eastAsia="zh-CN"/>
        </w:rPr>
        <w:t>的通报》和《关于进一步做好安全生产</w:t>
      </w:r>
    </w:p>
    <w:p w14:paraId="38A4E8B1">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方正小标宋简体" w:hAnsi="方正小标宋简体" w:eastAsia="方正小标宋简体" w:cs="方正小标宋简体"/>
          <w:b w:val="0"/>
          <w:bCs w:val="0"/>
          <w:color w:val="000000"/>
          <w:spacing w:val="-11"/>
          <w:sz w:val="44"/>
          <w:szCs w:val="44"/>
          <w:lang w:val="en-US" w:eastAsia="zh-CN"/>
        </w:rPr>
      </w:pPr>
      <w:r>
        <w:rPr>
          <w:rFonts w:hint="eastAsia" w:ascii="方正小标宋简体" w:hAnsi="方正小标宋简体" w:eastAsia="方正小标宋简体" w:cs="方正小标宋简体"/>
          <w:b w:val="0"/>
          <w:bCs w:val="0"/>
          <w:color w:val="000000"/>
          <w:spacing w:val="-11"/>
          <w:sz w:val="44"/>
          <w:szCs w:val="44"/>
          <w:lang w:val="en-US" w:eastAsia="zh-CN"/>
        </w:rPr>
        <w:t>治本攻坚三年行动重点数据填报工作</w:t>
      </w:r>
    </w:p>
    <w:p w14:paraId="2AC54F06">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_GB2312" w:hAnsi="仿宋_GB2312" w:eastAsia="仿宋_GB2312" w:cs="仿宋_GB2312"/>
          <w:b w:val="0"/>
          <w:bCs w:val="0"/>
          <w:color w:val="000000"/>
          <w:spacing w:val="-11"/>
          <w:kern w:val="0"/>
          <w:sz w:val="32"/>
          <w:szCs w:val="32"/>
          <w:highlight w:val="none"/>
          <w:lang w:val="en-US" w:eastAsia="zh-CN"/>
        </w:rPr>
      </w:pPr>
      <w:r>
        <w:rPr>
          <w:rFonts w:hint="eastAsia" w:ascii="方正小标宋简体" w:hAnsi="方正小标宋简体" w:eastAsia="方正小标宋简体" w:cs="方正小标宋简体"/>
          <w:b w:val="0"/>
          <w:bCs w:val="0"/>
          <w:color w:val="000000"/>
          <w:spacing w:val="-11"/>
          <w:sz w:val="44"/>
          <w:szCs w:val="44"/>
          <w:lang w:val="en-US" w:eastAsia="zh-CN"/>
        </w:rPr>
        <w:t>的提示函》的通知</w:t>
      </w:r>
    </w:p>
    <w:p w14:paraId="4858ED68">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仿宋_GB2312" w:hAnsi="仿宋_GB2312" w:eastAsia="仿宋_GB2312" w:cs="仿宋_GB2312"/>
          <w:b w:val="0"/>
          <w:bCs w:val="0"/>
          <w:color w:val="000000"/>
          <w:kern w:val="0"/>
          <w:sz w:val="32"/>
          <w:szCs w:val="32"/>
          <w:highlight w:val="none"/>
          <w:lang w:val="en-US" w:eastAsia="zh-CN"/>
        </w:rPr>
      </w:pPr>
    </w:p>
    <w:p w14:paraId="0B1FC4A6">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b w:val="0"/>
          <w:bCs w:val="0"/>
          <w:color w:val="000000"/>
          <w:kern w:val="0"/>
          <w:sz w:val="32"/>
          <w:szCs w:val="32"/>
          <w:highlight w:val="none"/>
          <w:lang w:val="en-US" w:eastAsia="zh-CN"/>
        </w:rPr>
        <w:t>旗安委会有关成员单位：</w:t>
      </w:r>
    </w:p>
    <w:p w14:paraId="6030C58D">
      <w:pPr>
        <w:keepNext w:val="0"/>
        <w:keepLines w:val="0"/>
        <w:pageBreakBefore w:val="0"/>
        <w:widowControl w:val="0"/>
        <w:kinsoku/>
        <w:wordWrap/>
        <w:overflowPunct/>
        <w:topLinePunct w:val="0"/>
        <w:autoSpaceDE/>
        <w:autoSpaceDN/>
        <w:bidi w:val="0"/>
        <w:adjustRightInd/>
        <w:snapToGrid/>
        <w:spacing w:line="540" w:lineRule="exact"/>
        <w:ind w:firstLine="640" w:firstLineChars="200"/>
        <w:jc w:val="both"/>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现将《呼伦贝尔市安全生产委员会办公室关于安全生产治本攻坚三年行动进展情况的通报》和《关于进一步做好安全生产治本攻坚三年行动重点数据填报工作的提示函》一并转发给你们，并提出以下建议，请结合文件要求，一并抓好落实。</w:t>
      </w:r>
    </w:p>
    <w:p w14:paraId="5F9A37AE">
      <w:pPr>
        <w:keepNext w:val="0"/>
        <w:keepLines w:val="0"/>
        <w:pageBreakBefore w:val="0"/>
        <w:widowControl w:val="0"/>
        <w:kinsoku/>
        <w:wordWrap/>
        <w:overflowPunct/>
        <w:topLinePunct w:val="0"/>
        <w:autoSpaceDE/>
        <w:autoSpaceDN/>
        <w:bidi w:val="0"/>
        <w:adjustRightInd/>
        <w:snapToGrid/>
        <w:spacing w:line="540" w:lineRule="exact"/>
        <w:ind w:firstLine="640" w:firstLineChars="200"/>
        <w:jc w:val="both"/>
        <w:textAlignment w:val="auto"/>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一、全力推动治本攻坚三年行动各项任务。</w:t>
      </w:r>
    </w:p>
    <w:p w14:paraId="6D5BF3AE">
      <w:pPr>
        <w:keepNext w:val="0"/>
        <w:keepLines w:val="0"/>
        <w:pageBreakBefore w:val="0"/>
        <w:widowControl w:val="0"/>
        <w:kinsoku/>
        <w:wordWrap/>
        <w:overflowPunct/>
        <w:topLinePunct w:val="0"/>
        <w:autoSpaceDE/>
        <w:autoSpaceDN/>
        <w:bidi w:val="0"/>
        <w:adjustRightInd/>
        <w:snapToGrid/>
        <w:spacing w:line="540" w:lineRule="exact"/>
        <w:ind w:firstLine="640" w:firstLineChars="200"/>
        <w:jc w:val="both"/>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各部门要按照全旗安全生产治本攻坚三年行动实施方案、本行业系统子方案和任务清单，全面建立明确本部门治本攻坚责任分工和工作目标，定期分析研判形势，研究解决重点难点问题;配齐配强人员力量，有效开展信息调度、动态研判等工作，</w:t>
      </w:r>
      <w:r>
        <w:rPr>
          <w:rStyle w:val="11"/>
          <w:rFonts w:hint="eastAsia" w:ascii="仿宋_GB2312" w:hAnsi="仿宋_GB2312" w:eastAsia="仿宋_GB2312" w:cs="仿宋_GB2312"/>
          <w:b w:val="0"/>
          <w:bCs w:val="0"/>
          <w:color w:val="auto"/>
          <w:sz w:val="32"/>
          <w:szCs w:val="32"/>
          <w:lang w:val="en-US" w:eastAsia="zh-CN"/>
        </w:rPr>
        <w:t>压茬推进本年度各项重点任务和各项持续推进任务。各部门要认真研究《莫旗安全生产治本攻坚三年行动方案（2024—2026年）》《呼伦贝尔市安全生产治本攻坚三年行动方案（2024—2026年）重点任务调度表》各项任务要求，详细梳理本部门、本行业领域各项工作任务，形成工作台账，明确责任人和完成时限，</w:t>
      </w:r>
    </w:p>
    <w:p w14:paraId="443274F2">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firstLine="640" w:firstLineChars="200"/>
        <w:jc w:val="both"/>
        <w:textAlignment w:val="auto"/>
        <w:rPr>
          <w:rFonts w:hint="eastAsia" w:ascii="黑体" w:hAnsi="黑体" w:eastAsia="黑体" w:cs="黑体"/>
          <w:sz w:val="32"/>
          <w:szCs w:val="32"/>
          <w:lang w:val="en-US" w:eastAsia="zh-CN"/>
        </w:rPr>
      </w:pPr>
      <w:r>
        <w:rPr>
          <w:rFonts w:hint="eastAsia" w:ascii="黑体" w:hAnsi="黑体" w:eastAsia="黑体" w:cs="黑体"/>
          <w:kern w:val="2"/>
          <w:sz w:val="32"/>
          <w:szCs w:val="32"/>
          <w:lang w:val="en-US" w:eastAsia="zh-CN" w:bidi="ar-SA"/>
        </w:rPr>
        <w:t>二、</w:t>
      </w:r>
      <w:r>
        <w:rPr>
          <w:rFonts w:hint="eastAsia" w:ascii="黑体" w:hAnsi="黑体" w:eastAsia="黑体" w:cs="黑体"/>
          <w:sz w:val="32"/>
          <w:szCs w:val="32"/>
          <w:lang w:val="en-US" w:eastAsia="zh-CN"/>
        </w:rPr>
        <w:t>加强重大事故隐患判定标准学习宣传和贯彻实施。</w:t>
      </w:r>
    </w:p>
    <w:p w14:paraId="5BE67756">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firstLine="640" w:firstLineChars="200"/>
        <w:jc w:val="both"/>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各部门要将学习宣传贯彻实施重大事故隐患判定标准作为安全生产重点工作，督促指导相关企业(单位)将重大事故隐患判定标准纳入安全生产教育和培训计划并严格组织实施。对照重大事故隐患判定标准开展行政执法或监督检查，把学好用好重大事故隐患判定标准，作为指导相关企业(单位)安全生产工作的重要内容，每次监督检查的必查重点，引导企业(单位)主动对标贯标，自觉落实安全生产措施、完善安全生产条件、消除重大事故隐患。</w:t>
      </w:r>
    </w:p>
    <w:p w14:paraId="3B548EA2">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firstLine="640" w:firstLineChars="200"/>
        <w:jc w:val="both"/>
        <w:textAlignment w:val="auto"/>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三、狠抓重点行业领域隐患排查治理。</w:t>
      </w:r>
    </w:p>
    <w:p w14:paraId="3E9F0112">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firstLine="640" w:firstLineChars="200"/>
        <w:jc w:val="both"/>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各部门要突出抓好道路交通、消防、建筑施工、矿山、危险化学品等重点行业隐患排查整治，持续推进电动自行车全链条安全隐患排查整治、消防“生命通道”、城镇燃气安全、道路交通安全等专项整治行动，切实把隐患排查出来、全面整改到位。对检查整治中发现的事故隐患，建立隐患排查治理台账，及时跟踪督办，实行清单管理、过程管控、闭环整改。</w:t>
      </w:r>
    </w:p>
    <w:p w14:paraId="20AB2CB2">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firstLine="640" w:firstLineChars="200"/>
        <w:jc w:val="both"/>
        <w:textAlignment w:val="auto"/>
        <w:rPr>
          <w:rFonts w:hint="eastAsia" w:ascii="黑体" w:hAnsi="黑体" w:eastAsia="黑体" w:cs="黑体"/>
          <w:sz w:val="32"/>
          <w:szCs w:val="32"/>
          <w:lang w:val="en-US" w:eastAsia="zh-CN"/>
        </w:rPr>
      </w:pPr>
      <w:r>
        <w:rPr>
          <w:rFonts w:hint="eastAsia" w:ascii="黑体" w:hAnsi="黑体" w:eastAsia="黑体" w:cs="黑体"/>
          <w:kern w:val="2"/>
          <w:sz w:val="32"/>
          <w:szCs w:val="32"/>
          <w:lang w:val="en-US" w:eastAsia="zh-CN" w:bidi="ar-SA"/>
        </w:rPr>
        <w:t>四、</w:t>
      </w:r>
      <w:r>
        <w:rPr>
          <w:rFonts w:hint="eastAsia" w:ascii="黑体" w:hAnsi="黑体" w:eastAsia="黑体" w:cs="黑体"/>
          <w:sz w:val="32"/>
          <w:szCs w:val="32"/>
          <w:lang w:val="en-US" w:eastAsia="zh-CN"/>
        </w:rPr>
        <w:t>压实企业安全生产主体责任。</w:t>
      </w:r>
    </w:p>
    <w:p w14:paraId="4A0A9FAC">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firstLine="640" w:firstLineChars="200"/>
        <w:jc w:val="both"/>
        <w:textAlignment w:val="auto"/>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各部门要督促指导企业对标开展治本攻坚三年行动，并对贯彻落实情况和安全责任、安全培训、安全管理、安全投入、应急救援“五到位”情况进行监督检查。指导督促企业(单位)将安全生产双重预防机制贯穿生产全过程，严格落实风险分级管控和隐患排查治理制度，建立隐患排查、治理、研判长效机制。督促指导企业落实全员岗位安全生产责任制，建立安全生产“层层负责、人人有责，各负其责”的工作体系。以安全生产治本攻坚三年行动为抓手，以创建安全生产标准化建设为契机，推动企业(单位)切实提高风险隐患排查整改质量，提升发现问题和解决问题的强烈意愿和能力水平。组织开展安全生产标准化建设标杆企业选树工作。</w:t>
      </w:r>
    </w:p>
    <w:p w14:paraId="5419D850">
      <w:pPr>
        <w:keepNext w:val="0"/>
        <w:keepLines w:val="0"/>
        <w:pageBreakBefore w:val="0"/>
        <w:widowControl w:val="0"/>
        <w:numPr>
          <w:ilvl w:val="0"/>
          <w:numId w:val="1"/>
        </w:numPr>
        <w:kinsoku/>
        <w:wordWrap/>
        <w:overflowPunct/>
        <w:topLinePunct w:val="0"/>
        <w:autoSpaceDE/>
        <w:autoSpaceDN/>
        <w:bidi w:val="0"/>
        <w:adjustRightInd/>
        <w:snapToGrid/>
        <w:spacing w:line="540" w:lineRule="exact"/>
        <w:ind w:firstLine="640" w:firstLineChars="200"/>
        <w:jc w:val="both"/>
        <w:textAlignment w:val="auto"/>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强化信息系统填报和数据调度分析。</w:t>
      </w:r>
    </w:p>
    <w:p w14:paraId="6A905118">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firstLine="640" w:firstLineChars="200"/>
        <w:jc w:val="both"/>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各部门要明确专人负责全国安全生产治本攻坚三年行动信息系统填报审核工作，对照新版《使用说明》如实、全面填报数据信息确保系统数据和实际情况内容相符、进度同步，做到应填尽填内容规范、数据可靠,确保治本攻坚三年行动各项任务落地落实。各部门要结合各自实际，抓好各项工作落实，同时针对《通报》指出问题举一反三对照自查，并按照规定时限整改到位；对照行动要求查缺补漏，确保各项工作扎实有序推进。</w:t>
      </w:r>
    </w:p>
    <w:p w14:paraId="5FA9B6F6">
      <w:pPr>
        <w:keepNext w:val="0"/>
        <w:keepLines w:val="0"/>
        <w:pageBreakBefore w:val="0"/>
        <w:widowControl w:val="0"/>
        <w:kinsoku/>
        <w:wordWrap/>
        <w:overflowPunct/>
        <w:topLinePunct w:val="0"/>
        <w:autoSpaceDE/>
        <w:autoSpaceDN/>
        <w:bidi w:val="0"/>
        <w:adjustRightInd/>
        <w:snapToGrid/>
        <w:spacing w:line="500" w:lineRule="exact"/>
        <w:ind w:left="1598" w:leftChars="304" w:hanging="960" w:hangingChars="300"/>
        <w:textAlignment w:val="auto"/>
        <w:rPr>
          <w:rFonts w:hint="eastAsia" w:ascii="仿宋_GB2312" w:hAnsi="仿宋_GB2312" w:eastAsia="仿宋_GB2312" w:cs="仿宋_GB2312"/>
          <w:sz w:val="32"/>
          <w:szCs w:val="32"/>
          <w:lang w:val="en-US" w:eastAsia="zh-CN"/>
        </w:rPr>
      </w:pPr>
    </w:p>
    <w:p w14:paraId="2A8518EC">
      <w:pPr>
        <w:keepNext w:val="0"/>
        <w:keepLines w:val="0"/>
        <w:pageBreakBefore w:val="0"/>
        <w:widowControl w:val="0"/>
        <w:kinsoku/>
        <w:wordWrap/>
        <w:overflowPunct/>
        <w:topLinePunct w:val="0"/>
        <w:autoSpaceDE/>
        <w:autoSpaceDN/>
        <w:bidi w:val="0"/>
        <w:adjustRightInd/>
        <w:snapToGrid/>
        <w:spacing w:line="500" w:lineRule="exact"/>
        <w:ind w:left="1598" w:leftChars="304" w:hanging="960" w:hangingChars="300"/>
        <w:textAlignment w:val="auto"/>
        <w:rPr>
          <w:rFonts w:hint="eastAsia" w:ascii="仿宋_GB2312" w:hAnsi="仿宋_GB2312" w:eastAsia="仿宋_GB2312" w:cs="仿宋_GB2312"/>
          <w:sz w:val="32"/>
          <w:szCs w:val="32"/>
          <w:lang w:val="en-US" w:eastAsia="zh-CN"/>
        </w:rPr>
      </w:pPr>
    </w:p>
    <w:p w14:paraId="65872CA3">
      <w:pPr>
        <w:keepNext w:val="0"/>
        <w:keepLines w:val="0"/>
        <w:pageBreakBefore w:val="0"/>
        <w:widowControl w:val="0"/>
        <w:kinsoku/>
        <w:wordWrap/>
        <w:overflowPunct/>
        <w:topLinePunct w:val="0"/>
        <w:autoSpaceDE/>
        <w:autoSpaceDN/>
        <w:bidi w:val="0"/>
        <w:adjustRightInd/>
        <w:snapToGrid/>
        <w:spacing w:line="500" w:lineRule="exact"/>
        <w:ind w:left="1598" w:leftChars="304" w:hanging="960" w:hangingChars="300"/>
        <w:textAlignment w:val="auto"/>
        <w:rPr>
          <w:rFonts w:hint="eastAsia" w:ascii="仿宋_GB2312" w:hAnsi="仿宋_GB2312" w:eastAsia="仿宋_GB2312" w:cs="仿宋_GB2312"/>
          <w:sz w:val="32"/>
          <w:szCs w:val="32"/>
          <w:lang w:val="en-US" w:eastAsia="zh-CN"/>
        </w:rPr>
      </w:pPr>
    </w:p>
    <w:p w14:paraId="089BDBA8">
      <w:pPr>
        <w:keepNext w:val="0"/>
        <w:keepLines w:val="0"/>
        <w:pageBreakBefore w:val="0"/>
        <w:widowControl w:val="0"/>
        <w:kinsoku/>
        <w:wordWrap/>
        <w:overflowPunct/>
        <w:topLinePunct w:val="0"/>
        <w:autoSpaceDE/>
        <w:autoSpaceDN/>
        <w:bidi w:val="0"/>
        <w:adjustRightInd/>
        <w:snapToGrid/>
        <w:spacing w:line="500" w:lineRule="exact"/>
        <w:ind w:left="1598" w:leftChars="304" w:hanging="960" w:hangingChars="3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附件：1.呼伦贝尔市安全生产委员会办公室关于安全生产治本攻坚三年行动进展情况的通报</w:t>
      </w:r>
    </w:p>
    <w:p w14:paraId="1570FAF8">
      <w:pPr>
        <w:keepNext w:val="0"/>
        <w:keepLines w:val="0"/>
        <w:pageBreakBefore w:val="0"/>
        <w:widowControl w:val="0"/>
        <w:kinsoku/>
        <w:wordWrap/>
        <w:overflowPunct/>
        <w:topLinePunct w:val="0"/>
        <w:autoSpaceDE/>
        <w:autoSpaceDN/>
        <w:bidi w:val="0"/>
        <w:adjustRightInd/>
        <w:snapToGrid/>
        <w:spacing w:line="500" w:lineRule="exact"/>
        <w:ind w:left="1596" w:leftChars="760" w:firstLine="0" w:firstLineChars="0"/>
        <w:textAlignment w:val="auto"/>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2.关于进一步做好安全生产治本攻坚三年行动重点数据填报工作的提示函</w:t>
      </w:r>
    </w:p>
    <w:p w14:paraId="34442717">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仿宋_GB2312" w:hAnsi="仿宋_GB2312" w:eastAsia="仿宋_GB2312" w:cs="仿宋_GB2312"/>
          <w:sz w:val="32"/>
          <w:szCs w:val="32"/>
          <w:lang w:val="en-US" w:eastAsia="zh-CN"/>
        </w:rPr>
      </w:pPr>
    </w:p>
    <w:p w14:paraId="6F50BAB2">
      <w:pPr>
        <w:keepNext w:val="0"/>
        <w:keepLines w:val="0"/>
        <w:pageBreakBefore w:val="0"/>
        <w:widowControl w:val="0"/>
        <w:kinsoku/>
        <w:wordWrap/>
        <w:overflowPunct/>
        <w:topLinePunct w:val="0"/>
        <w:autoSpaceDE/>
        <w:autoSpaceDN/>
        <w:bidi w:val="0"/>
        <w:adjustRightInd/>
        <w:snapToGrid/>
        <w:spacing w:line="500" w:lineRule="exact"/>
        <w:ind w:firstLine="4160" w:firstLineChars="1300"/>
        <w:textAlignment w:val="auto"/>
        <w:rPr>
          <w:rFonts w:hint="eastAsia" w:ascii="仿宋_GB2312" w:hAnsi="仿宋_GB2312" w:eastAsia="仿宋_GB2312" w:cs="仿宋_GB2312"/>
          <w:sz w:val="32"/>
          <w:szCs w:val="32"/>
          <w:lang w:val="en-US" w:eastAsia="zh-CN"/>
        </w:rPr>
      </w:pPr>
    </w:p>
    <w:p w14:paraId="7A7F8136">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仿宋_GB2312" w:hAnsi="仿宋_GB2312" w:eastAsia="仿宋_GB2312" w:cs="仿宋_GB2312"/>
          <w:sz w:val="32"/>
          <w:szCs w:val="32"/>
          <w:lang w:val="en-US" w:eastAsia="zh-CN"/>
        </w:rPr>
      </w:pPr>
    </w:p>
    <w:p w14:paraId="50EB139A">
      <w:pPr>
        <w:keepNext w:val="0"/>
        <w:keepLines w:val="0"/>
        <w:pageBreakBefore w:val="0"/>
        <w:widowControl w:val="0"/>
        <w:kinsoku/>
        <w:wordWrap/>
        <w:overflowPunct/>
        <w:topLinePunct w:val="0"/>
        <w:autoSpaceDE/>
        <w:autoSpaceDN/>
        <w:bidi w:val="0"/>
        <w:adjustRightInd/>
        <w:snapToGrid/>
        <w:spacing w:line="500" w:lineRule="exact"/>
        <w:ind w:firstLine="4160" w:firstLineChars="1300"/>
        <w:textAlignment w:val="auto"/>
        <w:rPr>
          <w:rFonts w:hint="eastAsia" w:ascii="仿宋_GB2312" w:hAnsi="仿宋_GB2312" w:eastAsia="仿宋_GB2312" w:cs="仿宋_GB2312"/>
          <w:sz w:val="32"/>
          <w:szCs w:val="32"/>
          <w:lang w:val="en-US" w:eastAsia="zh-CN"/>
        </w:rPr>
      </w:pPr>
    </w:p>
    <w:p w14:paraId="3EF70C78">
      <w:pPr>
        <w:keepNext w:val="0"/>
        <w:keepLines w:val="0"/>
        <w:pageBreakBefore w:val="0"/>
        <w:widowControl w:val="0"/>
        <w:kinsoku/>
        <w:wordWrap/>
        <w:overflowPunct/>
        <w:topLinePunct w:val="0"/>
        <w:autoSpaceDE/>
        <w:autoSpaceDN/>
        <w:bidi w:val="0"/>
        <w:adjustRightInd/>
        <w:snapToGrid/>
        <w:spacing w:line="500" w:lineRule="exact"/>
        <w:ind w:firstLine="4160" w:firstLineChars="13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莫旗安全生产委员会办公室</w:t>
      </w:r>
    </w:p>
    <w:p w14:paraId="6B187F2A">
      <w:pPr>
        <w:keepNext w:val="0"/>
        <w:keepLines w:val="0"/>
        <w:pageBreakBefore w:val="0"/>
        <w:widowControl w:val="0"/>
        <w:kinsoku/>
        <w:wordWrap/>
        <w:overflowPunct/>
        <w:topLinePunct w:val="0"/>
        <w:autoSpaceDE/>
        <w:autoSpaceDN/>
        <w:bidi w:val="0"/>
        <w:adjustRightInd/>
        <w:snapToGrid/>
        <w:spacing w:line="500" w:lineRule="exact"/>
        <w:ind w:firstLine="640" w:firstLineChars="200"/>
        <w:textAlignment w:val="auto"/>
        <w:rPr>
          <w:rFonts w:hint="default"/>
          <w:lang w:val="en-US" w:eastAsia="zh-CN"/>
        </w:rPr>
      </w:pPr>
      <w:r>
        <w:rPr>
          <w:rFonts w:hint="eastAsia" w:ascii="仿宋_GB2312" w:hAnsi="仿宋_GB2312" w:eastAsia="仿宋_GB2312" w:cs="仿宋_GB2312"/>
          <w:sz w:val="32"/>
          <w:szCs w:val="32"/>
          <w:lang w:val="en-US" w:eastAsia="zh-CN"/>
        </w:rPr>
        <w:t xml:space="preserve">                           2025年5</w:t>
      </w:r>
      <w:bookmarkStart w:id="0" w:name="_GoBack"/>
      <w:bookmarkEnd w:id="0"/>
      <w:r>
        <w:rPr>
          <w:rFonts w:hint="eastAsia" w:ascii="仿宋_GB2312" w:hAnsi="仿宋_GB2312" w:eastAsia="仿宋_GB2312" w:cs="仿宋_GB2312"/>
          <w:sz w:val="32"/>
          <w:szCs w:val="32"/>
          <w:lang w:val="en-US" w:eastAsia="zh-CN"/>
        </w:rPr>
        <w:t>月7日</w:t>
      </w:r>
    </w:p>
    <w:sectPr>
      <w:footerReference r:id="rId3" w:type="default"/>
      <w:pgSz w:w="11906" w:h="16838"/>
      <w:pgMar w:top="1440" w:right="1800" w:bottom="1440" w:left="1800" w:header="851" w:footer="992" w:gutter="0"/>
      <w:pgNumType w:fmt="numberInDash"/>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auto"/>
    <w:pitch w:val="default"/>
    <w:sig w:usb0="800002BF" w:usb1="38CF7CFA" w:usb2="00000016" w:usb3="00000000" w:csb0="00040001" w:csb1="00000000"/>
  </w:font>
  <w:font w:name="仿宋_GB2312">
    <w:altName w:val="仿宋"/>
    <w:panose1 w:val="02010609030101010101"/>
    <w:charset w:val="86"/>
    <w:family w:val="modern"/>
    <w:pitch w:val="default"/>
    <w:sig w:usb0="00000000" w:usb1="00000000" w:usb2="00000000" w:usb3="00000000" w:csb0="00040000" w:csb1="00000000"/>
  </w:font>
  <w:font w:name="方正小标宋简体">
    <w:panose1 w:val="03000509000000000000"/>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B277E2">
    <w:pPr>
      <w:pStyle w:val="4"/>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210BA06">
                          <w:pPr>
                            <w:pStyle w:val="4"/>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4210BA06">
                    <w:pPr>
                      <w:pStyle w:val="4"/>
                    </w:pPr>
                    <w:r>
                      <w:fldChar w:fldCharType="begin"/>
                    </w:r>
                    <w:r>
                      <w:instrText xml:space="preserve"> PAGE  \* MERGEFORMAT </w:instrText>
                    </w:r>
                    <w:r>
                      <w:fldChar w:fldCharType="separate"/>
                    </w:r>
                    <w:r>
                      <w:t>1</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F13C6B9"/>
    <w:multiLevelType w:val="singleLevel"/>
    <w:tmpl w:val="AF13C6B9"/>
    <w:lvl w:ilvl="0" w:tentative="0">
      <w:start w:val="5"/>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2"/>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TEwZTcxMzg4MzdlNjhlN2VkMDljOGIyNzEwMTk0NmMifQ=="/>
  </w:docVars>
  <w:rsids>
    <w:rsidRoot w:val="00000000"/>
    <w:rsid w:val="009701B1"/>
    <w:rsid w:val="01405F80"/>
    <w:rsid w:val="014860F7"/>
    <w:rsid w:val="018F736F"/>
    <w:rsid w:val="03C75D7E"/>
    <w:rsid w:val="054B2F85"/>
    <w:rsid w:val="056A3CCB"/>
    <w:rsid w:val="0F145D2B"/>
    <w:rsid w:val="10B845E3"/>
    <w:rsid w:val="11873BFF"/>
    <w:rsid w:val="11AD593E"/>
    <w:rsid w:val="13CC45B5"/>
    <w:rsid w:val="16FD7833"/>
    <w:rsid w:val="19D02EBD"/>
    <w:rsid w:val="1C985EDB"/>
    <w:rsid w:val="1DD85F79"/>
    <w:rsid w:val="216F0E45"/>
    <w:rsid w:val="22087767"/>
    <w:rsid w:val="226716C7"/>
    <w:rsid w:val="23006446"/>
    <w:rsid w:val="236B0F9B"/>
    <w:rsid w:val="241D455C"/>
    <w:rsid w:val="254348DA"/>
    <w:rsid w:val="25E611DD"/>
    <w:rsid w:val="2687004A"/>
    <w:rsid w:val="27C905FD"/>
    <w:rsid w:val="28C43D26"/>
    <w:rsid w:val="28ED295F"/>
    <w:rsid w:val="2A995467"/>
    <w:rsid w:val="2AD43590"/>
    <w:rsid w:val="2C193FB8"/>
    <w:rsid w:val="2F283402"/>
    <w:rsid w:val="329C3AE7"/>
    <w:rsid w:val="32A87350"/>
    <w:rsid w:val="3440730E"/>
    <w:rsid w:val="36BC789C"/>
    <w:rsid w:val="3A39228B"/>
    <w:rsid w:val="3BE3114C"/>
    <w:rsid w:val="3C5B4376"/>
    <w:rsid w:val="3DA12EDB"/>
    <w:rsid w:val="3EE310FA"/>
    <w:rsid w:val="402D7B29"/>
    <w:rsid w:val="44D446F3"/>
    <w:rsid w:val="4EA27608"/>
    <w:rsid w:val="4F9A0F47"/>
    <w:rsid w:val="521C4096"/>
    <w:rsid w:val="523664BD"/>
    <w:rsid w:val="53043CF1"/>
    <w:rsid w:val="59945755"/>
    <w:rsid w:val="5BD27D22"/>
    <w:rsid w:val="5CE46BF4"/>
    <w:rsid w:val="5EAA059D"/>
    <w:rsid w:val="6304174F"/>
    <w:rsid w:val="643972FB"/>
    <w:rsid w:val="65DC0622"/>
    <w:rsid w:val="6673503F"/>
    <w:rsid w:val="66CC0FE3"/>
    <w:rsid w:val="67185D14"/>
    <w:rsid w:val="6D6B0F99"/>
    <w:rsid w:val="6DCD50E9"/>
    <w:rsid w:val="6EC40C26"/>
    <w:rsid w:val="6F8A6B31"/>
    <w:rsid w:val="70970843"/>
    <w:rsid w:val="72686206"/>
    <w:rsid w:val="735D555D"/>
    <w:rsid w:val="78711794"/>
    <w:rsid w:val="7AC82DBD"/>
    <w:rsid w:val="7C491815"/>
    <w:rsid w:val="7C7331C7"/>
    <w:rsid w:val="7CA97145"/>
    <w:rsid w:val="7D173E2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basedOn w:val="1"/>
    <w:next w:val="1"/>
    <w:autoRedefine/>
    <w:qFormat/>
    <w:uiPriority w:val="0"/>
    <w:pPr>
      <w:outlineLvl w:val="1"/>
    </w:pPr>
    <w:rPr>
      <w:rFonts w:ascii="黑体" w:hAnsi="黑体" w:eastAsia="黑体" w:cs="Times New Roman"/>
      <w:sz w:val="32"/>
      <w:szCs w:val="32"/>
      <w:lang w:val="en-US" w:eastAsia="zh-CN" w:bidi="ar-SA"/>
    </w:rPr>
  </w:style>
  <w:style w:type="character" w:default="1" w:styleId="9">
    <w:name w:val="Default Paragraph Font"/>
    <w:autoRedefine/>
    <w:semiHidden/>
    <w:qFormat/>
    <w:uiPriority w:val="0"/>
  </w:style>
  <w:style w:type="table" w:default="1" w:styleId="7">
    <w:name w:val="Normal Table"/>
    <w:autoRedefine/>
    <w:semiHidden/>
    <w:qFormat/>
    <w:uiPriority w:val="0"/>
    <w:tblPr>
      <w:tblCellMar>
        <w:top w:w="0" w:type="dxa"/>
        <w:left w:w="108" w:type="dxa"/>
        <w:bottom w:w="0" w:type="dxa"/>
        <w:right w:w="108" w:type="dxa"/>
      </w:tblCellMar>
    </w:tblPr>
  </w:style>
  <w:style w:type="paragraph" w:styleId="3">
    <w:name w:val="Body Text"/>
    <w:basedOn w:val="1"/>
    <w:autoRedefine/>
    <w:qFormat/>
    <w:uiPriority w:val="0"/>
    <w:pPr>
      <w:spacing w:after="120"/>
    </w:pPr>
  </w:style>
  <w:style w:type="paragraph" w:styleId="4">
    <w:name w:val="footer"/>
    <w:basedOn w:val="1"/>
    <w:autoRedefine/>
    <w:qFormat/>
    <w:uiPriority w:val="0"/>
    <w:pPr>
      <w:tabs>
        <w:tab w:val="center" w:pos="4153"/>
        <w:tab w:val="right" w:pos="8306"/>
      </w:tabs>
      <w:snapToGrid w:val="0"/>
      <w:jc w:val="left"/>
    </w:pPr>
    <w:rPr>
      <w:sz w:val="18"/>
    </w:rPr>
  </w:style>
  <w:style w:type="paragraph" w:styleId="5">
    <w:name w:val="header"/>
    <w:basedOn w:val="1"/>
    <w:autoRedefine/>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6">
    <w:name w:val="Normal (Web)"/>
    <w:basedOn w:val="1"/>
    <w:autoRedefine/>
    <w:qFormat/>
    <w:uiPriority w:val="0"/>
    <w:rPr>
      <w:sz w:val="24"/>
    </w:rPr>
  </w:style>
  <w:style w:type="table" w:styleId="8">
    <w:name w:val="Table Grid"/>
    <w:basedOn w:val="7"/>
    <w:autoRedefine/>
    <w:qFormat/>
    <w:uiPriority w:val="59"/>
    <w:rPr>
      <w:kern w:val="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Strong"/>
    <w:basedOn w:val="9"/>
    <w:autoRedefine/>
    <w:qFormat/>
    <w:uiPriority w:val="0"/>
    <w:rPr>
      <w:b/>
    </w:rPr>
  </w:style>
  <w:style w:type="character" w:customStyle="1" w:styleId="11">
    <w:name w:val="NormalCharacter"/>
    <w:qFormat/>
    <w:uiPriority w:val="0"/>
    <w:rPr>
      <w:rFonts w:ascii="Calibri" w:hAnsi="Calibri" w:eastAsia="宋体"/>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4</Pages>
  <Words>1457</Words>
  <Characters>1478</Characters>
  <Lines>0</Lines>
  <Paragraphs>0</Paragraphs>
  <TotalTime>2</TotalTime>
  <ScaleCrop>false</ScaleCrop>
  <LinksUpToDate>false</LinksUpToDate>
  <CharactersWithSpaces>1507</CharactersWithSpaces>
  <Application>WPS Office_12.1.0.20784_F1E327BC-269C-435d-A152-05C5408002CA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2023-12-09T09:54:00Z</dcterms:created>
  <dc:creator>Administrator</dc:creator>
  <cp:lastModifiedBy>常辰铭常超</cp:lastModifiedBy>
  <cp:lastPrinted>2025-05-07T07:54:40Z</cp:lastPrinted>
  <dcterms:modified xsi:type="dcterms:W3CDTF">2025-05-07T07:54:49Z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2052-12.1.0.20784</vt:lpwstr>
  </property>
  <property fmtid="{D5CDD505-2E9C-101B-9397-08002B2CF9AE}" pid="3" name="ICV">
    <vt:lpwstr>88F0A5A674DF42DFA37E2E48F6DC6FF2_12</vt:lpwstr>
  </property>
  <property fmtid="{D5CDD505-2E9C-101B-9397-08002B2CF9AE}" pid="4" name="KSOTemplateDocerSaveRecord">
    <vt:lpwstr>eyJoZGlkIjoiOTEwZTcxMzg4MzdlNjhlN2VkMDljOGIyNzEwMTk0NmMiLCJ1c2VySWQiOiIxMDY2NjY3MzQ2In0=</vt:lpwstr>
  </property>
</Properties>
</file>