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b/>
          <w:bCs/>
          <w:sz w:val="36"/>
          <w:szCs w:val="36"/>
        </w:rPr>
      </w:pPr>
    </w:p>
    <w:p>
      <w:pPr>
        <w:jc w:val="center"/>
        <w:rPr>
          <w:rFonts w:ascii="Times New Roman" w:hAnsi="Times New Roman" w:eastAsia="楷体_GB2312"/>
          <w:b/>
          <w:bCs/>
          <w:sz w:val="36"/>
          <w:szCs w:val="36"/>
        </w:rPr>
      </w:pPr>
    </w:p>
    <w:p>
      <w:pPr>
        <w:jc w:val="center"/>
        <w:rPr>
          <w:rFonts w:ascii="Times New Roman" w:hAnsi="Times New Roman" w:eastAsia="楷体_GB2312"/>
          <w:b/>
          <w:bCs/>
          <w:sz w:val="36"/>
          <w:szCs w:val="36"/>
        </w:rPr>
      </w:pPr>
    </w:p>
    <w:p>
      <w:pPr>
        <w:jc w:val="center"/>
        <w:rPr>
          <w:rFonts w:ascii="Times New Roman" w:hAnsi="Times New Roman" w:eastAsia="楷体_GB2312"/>
          <w:b/>
          <w:bCs/>
          <w:sz w:val="36"/>
          <w:szCs w:val="36"/>
        </w:rPr>
      </w:pPr>
    </w:p>
    <w:p>
      <w:pPr>
        <w:jc w:val="center"/>
        <w:rPr>
          <w:rFonts w:ascii="华文中宋" w:hAnsi="华文中宋" w:eastAsia="华文中宋" w:cs="华文中宋"/>
          <w:sz w:val="52"/>
          <w:szCs w:val="52"/>
        </w:rPr>
      </w:pPr>
      <w:r>
        <w:rPr>
          <w:rFonts w:hint="eastAsia" w:ascii="华文中宋" w:hAnsi="华文中宋" w:eastAsia="华文中宋" w:cs="华文中宋"/>
          <w:sz w:val="52"/>
          <w:szCs w:val="52"/>
        </w:rPr>
        <w:t>2020年度内蒙古自治区呼伦贝尔市莫力达瓦达斡尔族自治旗阿尔拉镇人民政府单位</w:t>
      </w:r>
    </w:p>
    <w:p>
      <w:pPr>
        <w:jc w:val="center"/>
        <w:rPr>
          <w:rFonts w:ascii="华文中宋" w:hAnsi="华文中宋" w:eastAsia="华文中宋" w:cs="华文中宋"/>
          <w:sz w:val="52"/>
          <w:szCs w:val="52"/>
        </w:rPr>
      </w:pPr>
      <w:r>
        <w:rPr>
          <w:rFonts w:hint="eastAsia" w:ascii="华文中宋" w:hAnsi="华文中宋" w:eastAsia="华文中宋" w:cs="华文中宋"/>
          <w:sz w:val="52"/>
          <w:szCs w:val="52"/>
        </w:rPr>
        <w:t>财务报告</w:t>
      </w:r>
    </w:p>
    <w:p>
      <w:pPr>
        <w:jc w:val="center"/>
        <w:rPr>
          <w:rFonts w:ascii="Times New Roman" w:hAnsi="Times New Roman" w:eastAsia="微软雅黑" w:cs="Times New Roman"/>
          <w:b/>
          <w:bCs/>
          <w:sz w:val="52"/>
          <w:szCs w:val="52"/>
        </w:rPr>
      </w:pPr>
    </w:p>
    <w:p>
      <w:pPr>
        <w:jc w:val="center"/>
        <w:rPr>
          <w:rFonts w:ascii="Times New Roman" w:hAnsi="Times New Roman" w:eastAsia="微软雅黑"/>
          <w:b/>
          <w:bCs/>
          <w:sz w:val="52"/>
          <w:szCs w:val="52"/>
        </w:rPr>
      </w:pPr>
    </w:p>
    <w:p>
      <w:pPr>
        <w:jc w:val="center"/>
        <w:rPr>
          <w:rFonts w:ascii="Times New Roman" w:hAnsi="Times New Roman"/>
          <w:b/>
          <w:bCs/>
          <w:sz w:val="36"/>
          <w:szCs w:val="36"/>
        </w:rPr>
      </w:pPr>
    </w:p>
    <w:p>
      <w:pPr>
        <w:jc w:val="center"/>
        <w:rPr>
          <w:rFonts w:ascii="Times New Roman" w:hAnsi="Times New Roman"/>
          <w:b/>
          <w:bCs/>
          <w:sz w:val="36"/>
          <w:szCs w:val="36"/>
        </w:rPr>
      </w:pPr>
    </w:p>
    <w:p>
      <w:pPr>
        <w:jc w:val="center"/>
        <w:rPr>
          <w:rFonts w:ascii="Times New Roman" w:hAnsi="Times New Roman"/>
          <w:b/>
          <w:bCs/>
          <w:sz w:val="36"/>
          <w:szCs w:val="36"/>
        </w:rPr>
      </w:pPr>
    </w:p>
    <w:p>
      <w:pPr>
        <w:jc w:val="center"/>
        <w:rPr>
          <w:rFonts w:ascii="Times New Roman" w:hAnsi="Times New Roman"/>
          <w:b/>
          <w:bCs/>
          <w:sz w:val="36"/>
          <w:szCs w:val="36"/>
        </w:rPr>
      </w:pPr>
    </w:p>
    <w:p>
      <w:pPr>
        <w:widowControl w:val="0"/>
        <w:ind w:firstLine="1120" w:firstLineChars="350"/>
        <w:jc w:val="both"/>
        <w:rPr>
          <w:rFonts w:hint="default" w:cs="仿宋_GB2312" w:asciiTheme="minorEastAsia" w:hAnsiTheme="minorEastAsia" w:eastAsiaTheme="minorEastAsia"/>
          <w:bCs/>
          <w:kern w:val="16"/>
          <w:sz w:val="32"/>
          <w:szCs w:val="32"/>
          <w:lang w:val="en-US" w:eastAsia="zh-CN"/>
        </w:rPr>
      </w:pPr>
      <w:r>
        <w:rPr>
          <w:rFonts w:hint="eastAsia" w:cs="微软雅黑" w:asciiTheme="minorEastAsia" w:hAnsiTheme="minorEastAsia" w:eastAsiaTheme="minorEastAsia"/>
          <w:bCs/>
          <w:sz w:val="32"/>
          <w:szCs w:val="52"/>
        </w:rPr>
        <w:t>单</w:t>
      </w:r>
      <w:r>
        <w:rPr>
          <w:rFonts w:hint="eastAsia" w:cs="仿宋_GB2312" w:asciiTheme="minorEastAsia" w:hAnsiTheme="minorEastAsia" w:eastAsiaTheme="minorEastAsia"/>
          <w:bCs/>
          <w:kern w:val="16"/>
          <w:sz w:val="32"/>
          <w:szCs w:val="32"/>
        </w:rPr>
        <w:t>位名称：</w:t>
      </w:r>
      <w:r>
        <w:rPr>
          <w:rFonts w:hint="eastAsia" w:cs="仿宋_GB2312" w:asciiTheme="minorEastAsia" w:hAnsiTheme="minorEastAsia" w:eastAsiaTheme="minorEastAsia"/>
          <w:bCs/>
          <w:kern w:val="16"/>
          <w:sz w:val="32"/>
          <w:szCs w:val="32"/>
          <w:lang w:val="en-US" w:eastAsia="zh-CN"/>
        </w:rPr>
        <w:t>莫旗阿尔拉镇人民政府</w:t>
      </w:r>
    </w:p>
    <w:p>
      <w:pPr>
        <w:widowControl w:val="0"/>
        <w:ind w:firstLine="1120" w:firstLineChars="350"/>
        <w:jc w:val="both"/>
        <w:rPr>
          <w:rFonts w:hint="eastAsia" w:cs="仿宋_GB2312" w:asciiTheme="minorEastAsia" w:hAnsiTheme="minorEastAsia" w:eastAsiaTheme="minorEastAsia"/>
          <w:bCs/>
          <w:kern w:val="16"/>
          <w:sz w:val="32"/>
          <w:szCs w:val="32"/>
        </w:rPr>
      </w:pPr>
      <w:r>
        <w:rPr>
          <w:rFonts w:hint="eastAsia" w:cs="仿宋_GB2312" w:asciiTheme="minorEastAsia" w:hAnsiTheme="minorEastAsia" w:eastAsiaTheme="minorEastAsia"/>
          <w:bCs/>
          <w:kern w:val="16"/>
          <w:sz w:val="32"/>
          <w:szCs w:val="32"/>
        </w:rPr>
        <w:t>单位负责人：</w:t>
      </w:r>
      <w:r>
        <w:rPr>
          <w:rFonts w:hint="eastAsia" w:cs="仿宋_GB2312" w:asciiTheme="minorEastAsia" w:hAnsiTheme="minorEastAsia" w:eastAsiaTheme="minorEastAsia"/>
          <w:bCs/>
          <w:kern w:val="16"/>
          <w:sz w:val="32"/>
          <w:szCs w:val="32"/>
          <w:lang w:val="en-US" w:eastAsia="zh-CN"/>
        </w:rPr>
        <w:t>郭宇</w:t>
      </w:r>
      <w:r>
        <w:rPr>
          <w:rFonts w:hint="eastAsia" w:cs="仿宋_GB2312" w:asciiTheme="minorEastAsia" w:hAnsiTheme="minorEastAsia" w:eastAsiaTheme="minorEastAsia"/>
          <w:bCs/>
          <w:kern w:val="16"/>
          <w:sz w:val="32"/>
          <w:szCs w:val="32"/>
        </w:rPr>
        <w:t>（签名并盖章）</w:t>
      </w:r>
    </w:p>
    <w:p>
      <w:pPr>
        <w:widowControl w:val="0"/>
        <w:ind w:firstLine="1120" w:firstLineChars="350"/>
        <w:jc w:val="both"/>
        <w:rPr>
          <w:rFonts w:hint="default" w:cs="仿宋_GB2312" w:asciiTheme="minorEastAsia" w:hAnsiTheme="minorEastAsia" w:eastAsiaTheme="minorEastAsia"/>
          <w:bCs/>
          <w:kern w:val="16"/>
          <w:sz w:val="32"/>
          <w:szCs w:val="32"/>
          <w:lang w:val="en-US" w:eastAsia="zh-CN"/>
        </w:rPr>
      </w:pPr>
      <w:r>
        <w:rPr>
          <w:rFonts w:hint="eastAsia" w:cs="仿宋_GB2312" w:asciiTheme="minorEastAsia" w:hAnsiTheme="minorEastAsia" w:eastAsiaTheme="minorEastAsia"/>
          <w:bCs/>
          <w:kern w:val="16"/>
          <w:sz w:val="32"/>
          <w:szCs w:val="32"/>
        </w:rPr>
        <w:t>财务负责人：</w:t>
      </w:r>
      <w:r>
        <w:rPr>
          <w:rFonts w:hint="eastAsia" w:cs="仿宋_GB2312" w:asciiTheme="minorEastAsia" w:hAnsiTheme="minorEastAsia" w:eastAsiaTheme="minorEastAsia"/>
          <w:bCs/>
          <w:kern w:val="16"/>
          <w:sz w:val="32"/>
          <w:szCs w:val="32"/>
          <w:lang w:val="en-US" w:eastAsia="zh-CN"/>
        </w:rPr>
        <w:t>郭宇</w:t>
      </w:r>
      <w:r>
        <w:rPr>
          <w:rFonts w:hint="eastAsia" w:cs="仿宋_GB2312" w:asciiTheme="minorEastAsia" w:hAnsiTheme="minorEastAsia" w:eastAsiaTheme="minorEastAsia"/>
          <w:bCs/>
          <w:kern w:val="16"/>
          <w:sz w:val="32"/>
          <w:szCs w:val="32"/>
        </w:rPr>
        <w:t>（签名并盖章）</w:t>
      </w:r>
    </w:p>
    <w:p>
      <w:pPr>
        <w:widowControl w:val="0"/>
        <w:ind w:firstLine="1120" w:firstLineChars="350"/>
        <w:jc w:val="both"/>
        <w:rPr>
          <w:rFonts w:hint="eastAsia" w:cs="仿宋_GB2312" w:asciiTheme="minorEastAsia" w:hAnsiTheme="minorEastAsia" w:eastAsiaTheme="minorEastAsia"/>
          <w:bCs/>
          <w:kern w:val="16"/>
          <w:sz w:val="32"/>
          <w:szCs w:val="32"/>
        </w:rPr>
      </w:pPr>
      <w:r>
        <w:rPr>
          <w:rFonts w:hint="eastAsia" w:cs="仿宋_GB2312" w:asciiTheme="minorEastAsia" w:hAnsiTheme="minorEastAsia" w:eastAsiaTheme="minorEastAsia"/>
          <w:bCs/>
          <w:kern w:val="16"/>
          <w:sz w:val="32"/>
          <w:szCs w:val="32"/>
        </w:rPr>
        <w:t>编制人：</w:t>
      </w:r>
      <w:r>
        <w:rPr>
          <w:rFonts w:hint="eastAsia" w:cs="仿宋_GB2312" w:asciiTheme="minorEastAsia" w:hAnsiTheme="minorEastAsia" w:eastAsiaTheme="minorEastAsia"/>
          <w:bCs/>
          <w:kern w:val="16"/>
          <w:sz w:val="32"/>
          <w:szCs w:val="32"/>
          <w:lang w:val="en-US" w:eastAsia="zh-CN"/>
        </w:rPr>
        <w:t>樊莎莎</w:t>
      </w:r>
      <w:r>
        <w:rPr>
          <w:rFonts w:hint="eastAsia" w:cs="仿宋_GB2312" w:asciiTheme="minorEastAsia" w:hAnsiTheme="minorEastAsia" w:eastAsiaTheme="minorEastAsia"/>
          <w:bCs/>
          <w:kern w:val="16"/>
          <w:sz w:val="32"/>
          <w:szCs w:val="32"/>
        </w:rPr>
        <w:t>（签章）</w:t>
      </w:r>
    </w:p>
    <w:p>
      <w:pPr>
        <w:widowControl w:val="0"/>
        <w:ind w:firstLine="1120" w:firstLineChars="350"/>
        <w:jc w:val="both"/>
        <w:rPr>
          <w:rFonts w:cs="仿宋_GB2312" w:asciiTheme="minorEastAsia" w:hAnsiTheme="minorEastAsia" w:eastAsiaTheme="minorEastAsia"/>
          <w:bCs/>
          <w:kern w:val="16"/>
          <w:sz w:val="32"/>
          <w:szCs w:val="32"/>
        </w:rPr>
      </w:pPr>
      <w:r>
        <w:rPr>
          <w:rFonts w:hint="eastAsia" w:cs="仿宋_GB2312" w:asciiTheme="minorEastAsia" w:hAnsiTheme="minorEastAsia" w:eastAsiaTheme="minorEastAsia"/>
          <w:bCs/>
          <w:kern w:val="16"/>
          <w:sz w:val="32"/>
          <w:szCs w:val="32"/>
        </w:rPr>
        <w:t>报送日期：2021年5月</w:t>
      </w:r>
    </w:p>
    <w:p>
      <w:pPr>
        <w:pStyle w:val="119"/>
        <w:ind w:firstLine="198"/>
        <w:outlineLvl w:val="3"/>
        <w:rPr>
          <w:sz w:val="36"/>
        </w:rPr>
        <w:sectPr>
          <w:headerReference r:id="rId5" w:type="first"/>
          <w:footerReference r:id="rId7" w:type="first"/>
          <w:headerReference r:id="rId4" w:type="default"/>
          <w:footerReference r:id="rId6" w:type="default"/>
          <w:footnotePr>
            <w:numFmt w:val="decimalEnclosedCircleChinese"/>
          </w:footnotePr>
          <w:pgSz w:w="11906" w:h="16838"/>
          <w:pgMar w:top="1440" w:right="1797" w:bottom="1440" w:left="1797" w:header="851" w:footer="992" w:gutter="0"/>
          <w:pgNumType w:start="1"/>
          <w:cols w:space="425" w:num="1"/>
          <w:titlePg/>
          <w:docGrid w:type="lines" w:linePitch="326" w:charSpace="0"/>
        </w:sectPr>
      </w:pPr>
      <w:bookmarkStart w:id="0" w:name="_Toc435362709"/>
      <w:bookmarkStart w:id="1" w:name="_Toc435714296"/>
      <w:bookmarkStart w:id="2" w:name="_Toc503548883"/>
      <w:bookmarkStart w:id="3" w:name="_Toc435363359"/>
      <w:bookmarkStart w:id="4" w:name="_Toc435711768"/>
      <w:bookmarkStart w:id="5" w:name="_Toc436083526"/>
      <w:bookmarkStart w:id="6" w:name="_Toc435363575"/>
      <w:bookmarkStart w:id="7" w:name="_Toc435370952"/>
      <w:bookmarkStart w:id="8" w:name="_Toc435361472"/>
      <w:bookmarkStart w:id="9" w:name="_Toc435361710"/>
      <w:bookmarkStart w:id="10" w:name="_Toc430698577"/>
    </w:p>
    <w:p>
      <w:pPr>
        <w:pStyle w:val="119"/>
        <w:ind w:firstLine="198"/>
        <w:outlineLvl w:val="9"/>
        <w:rPr>
          <w:sz w:val="36"/>
        </w:rPr>
      </w:pPr>
      <w:bookmarkStart w:id="11" w:name="_Toc35452574"/>
      <w:r>
        <w:rPr>
          <w:rFonts w:hint="eastAsia"/>
          <w:sz w:val="36"/>
        </w:rPr>
        <w:t>目录</w:t>
      </w:r>
      <w:bookmarkEnd w:id="0"/>
      <w:bookmarkEnd w:id="1"/>
      <w:bookmarkEnd w:id="2"/>
      <w:bookmarkEnd w:id="3"/>
      <w:bookmarkEnd w:id="4"/>
      <w:bookmarkEnd w:id="5"/>
      <w:bookmarkEnd w:id="6"/>
      <w:bookmarkEnd w:id="7"/>
      <w:bookmarkEnd w:id="11"/>
    </w:p>
    <w:bookmarkEnd w:id="8"/>
    <w:bookmarkEnd w:id="9"/>
    <w:bookmarkEnd w:id="10"/>
    <w:p>
      <w:pPr>
        <w:pStyle w:val="23"/>
        <w:tabs>
          <w:tab w:val="right" w:leader="dot" w:pos="8302"/>
        </w:tabs>
        <w:spacing w:before="0" w:after="0" w:line="360" w:lineRule="auto"/>
        <w:rPr>
          <w:rFonts w:ascii="黑体" w:hAnsi="黑体" w:eastAsia="黑体" w:cstheme="minorBidi"/>
          <w:b w:val="0"/>
          <w:bCs w:val="0"/>
          <w:caps w:val="0"/>
          <w:kern w:val="2"/>
          <w:sz w:val="24"/>
          <w:szCs w:val="24"/>
        </w:rPr>
      </w:pPr>
      <w:r>
        <w:rPr>
          <w:rFonts w:asciiTheme="minorEastAsia" w:hAnsiTheme="minorEastAsia" w:eastAsiaTheme="minorEastAsia"/>
          <w:b w:val="0"/>
          <w:smallCaps/>
          <w:sz w:val="28"/>
          <w:szCs w:val="28"/>
        </w:rPr>
        <w:fldChar w:fldCharType="begin"/>
      </w:r>
      <w:r>
        <w:rPr>
          <w:rFonts w:asciiTheme="minorEastAsia" w:hAnsiTheme="minorEastAsia" w:eastAsiaTheme="minorEastAsia"/>
          <w:b w:val="0"/>
          <w:smallCaps/>
          <w:sz w:val="28"/>
          <w:szCs w:val="28"/>
        </w:rPr>
        <w:instrText xml:space="preserve"> TOC \o "1-3" \h \z \u </w:instrText>
      </w:r>
      <w:r>
        <w:rPr>
          <w:rFonts w:asciiTheme="minorEastAsia" w:hAnsiTheme="minorEastAsia" w:eastAsiaTheme="minorEastAsia"/>
          <w:b w:val="0"/>
          <w:smallCaps/>
          <w:sz w:val="28"/>
          <w:szCs w:val="28"/>
        </w:rPr>
        <w:fldChar w:fldCharType="separate"/>
      </w:r>
      <w:r>
        <w:fldChar w:fldCharType="begin"/>
      </w:r>
      <w:r>
        <w:instrText xml:space="preserve"> HYPERLINK \l "_Toc35500801" </w:instrText>
      </w:r>
      <w:r>
        <w:fldChar w:fldCharType="separate"/>
      </w:r>
      <w:r>
        <w:rPr>
          <w:rStyle w:val="40"/>
          <w:rFonts w:ascii="黑体" w:hAnsi="黑体" w:eastAsia="黑体"/>
          <w:sz w:val="24"/>
          <w:szCs w:val="24"/>
        </w:rPr>
        <w:t>一、政府部门财务报表</w:t>
      </w:r>
      <w:r>
        <w:rPr>
          <w:rFonts w:ascii="黑体" w:hAnsi="黑体" w:eastAsia="黑体"/>
          <w:sz w:val="24"/>
          <w:szCs w:val="24"/>
        </w:rPr>
        <w:tab/>
      </w:r>
      <w:r>
        <w:rPr>
          <w:rFonts w:ascii="黑体" w:hAnsi="黑体" w:eastAsia="黑体"/>
          <w:sz w:val="24"/>
          <w:szCs w:val="24"/>
        </w:rPr>
        <w:fldChar w:fldCharType="begin"/>
      </w:r>
      <w:r>
        <w:rPr>
          <w:rFonts w:ascii="黑体" w:hAnsi="黑体" w:eastAsia="黑体"/>
          <w:sz w:val="24"/>
          <w:szCs w:val="24"/>
        </w:rPr>
        <w:instrText xml:space="preserve"> PAGEREF _Toc35500801 \h </w:instrText>
      </w:r>
      <w:r>
        <w:rPr>
          <w:rFonts w:ascii="黑体" w:hAnsi="黑体" w:eastAsia="黑体"/>
          <w:sz w:val="24"/>
          <w:szCs w:val="24"/>
        </w:rPr>
        <w:fldChar w:fldCharType="separate"/>
      </w:r>
      <w:r>
        <w:rPr>
          <w:rFonts w:ascii="黑体" w:hAnsi="黑体" w:eastAsia="黑体"/>
          <w:sz w:val="24"/>
          <w:szCs w:val="24"/>
        </w:rPr>
        <w:t>3</w:t>
      </w:r>
      <w:r>
        <w:rPr>
          <w:rFonts w:ascii="黑体" w:hAnsi="黑体" w:eastAsia="黑体"/>
          <w:sz w:val="24"/>
          <w:szCs w:val="24"/>
        </w:rPr>
        <w:fldChar w:fldCharType="end"/>
      </w:r>
      <w:r>
        <w:rPr>
          <w:rFonts w:ascii="黑体" w:hAnsi="黑体" w:eastAsia="黑体"/>
          <w:sz w:val="24"/>
          <w:szCs w:val="24"/>
        </w:rPr>
        <w:fldChar w:fldCharType="end"/>
      </w:r>
    </w:p>
    <w:p>
      <w:pPr>
        <w:pStyle w:val="28"/>
        <w:tabs>
          <w:tab w:val="right" w:leader="dot" w:pos="8302"/>
        </w:tabs>
        <w:spacing w:line="360" w:lineRule="auto"/>
        <w:rPr>
          <w:rFonts w:ascii="宋体" w:hAnsi="宋体" w:cstheme="minorBidi"/>
          <w:smallCaps w:val="0"/>
          <w:kern w:val="2"/>
          <w:sz w:val="24"/>
          <w:szCs w:val="24"/>
        </w:rPr>
      </w:pPr>
      <w:r>
        <w:fldChar w:fldCharType="begin"/>
      </w:r>
      <w:r>
        <w:instrText xml:space="preserve"> HYPERLINK \l "_Toc35500802" </w:instrText>
      </w:r>
      <w:r>
        <w:fldChar w:fldCharType="separate"/>
      </w:r>
      <w:r>
        <w:rPr>
          <w:rStyle w:val="40"/>
          <w:rFonts w:ascii="宋体" w:hAnsi="宋体"/>
          <w:sz w:val="24"/>
          <w:szCs w:val="24"/>
        </w:rPr>
        <w:t>（一）政府部门会计报表</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_Toc35500802 \h </w:instrText>
      </w:r>
      <w:r>
        <w:rPr>
          <w:rFonts w:ascii="宋体" w:hAnsi="宋体"/>
          <w:sz w:val="24"/>
          <w:szCs w:val="24"/>
        </w:rPr>
        <w:fldChar w:fldCharType="separate"/>
      </w:r>
      <w:r>
        <w:rPr>
          <w:rFonts w:ascii="宋体" w:hAnsi="宋体"/>
          <w:sz w:val="24"/>
          <w:szCs w:val="24"/>
        </w:rPr>
        <w:t>3</w:t>
      </w:r>
      <w:r>
        <w:rPr>
          <w:rFonts w:ascii="宋体" w:hAnsi="宋体"/>
          <w:sz w:val="24"/>
          <w:szCs w:val="24"/>
        </w:rPr>
        <w:fldChar w:fldCharType="end"/>
      </w:r>
      <w:r>
        <w:rPr>
          <w:rFonts w:ascii="宋体" w:hAnsi="宋体"/>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"_Toc35500803" </w:instrText>
      </w:r>
      <w:r>
        <w:fldChar w:fldCharType="separate"/>
      </w:r>
      <w:r>
        <w:rPr>
          <w:rStyle w:val="40"/>
          <w:rFonts w:ascii="宋体" w:hAnsi="宋体"/>
          <w:bCs/>
          <w:i w:val="0"/>
          <w:sz w:val="24"/>
          <w:szCs w:val="24"/>
        </w:rPr>
        <w:t>资产负债表</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_Toc35500803 \h </w:instrText>
      </w:r>
      <w:r>
        <w:rPr>
          <w:rFonts w:ascii="宋体" w:hAnsi="宋体"/>
          <w:i w:val="0"/>
          <w:sz w:val="24"/>
          <w:szCs w:val="24"/>
        </w:rPr>
        <w:fldChar w:fldCharType="separate"/>
      </w:r>
      <w:r>
        <w:rPr>
          <w:rFonts w:ascii="宋体" w:hAnsi="宋体"/>
          <w:i w:val="0"/>
          <w:sz w:val="24"/>
          <w:szCs w:val="24"/>
        </w:rPr>
        <w:t>3</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"_Toc35500804" </w:instrText>
      </w:r>
      <w:r>
        <w:fldChar w:fldCharType="separate"/>
      </w:r>
      <w:r>
        <w:rPr>
          <w:rStyle w:val="40"/>
          <w:rFonts w:ascii="宋体" w:hAnsi="宋体"/>
          <w:bCs/>
          <w:i w:val="0"/>
          <w:sz w:val="24"/>
          <w:szCs w:val="24"/>
        </w:rPr>
        <w:t>收入费用表（1）</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_Toc35500804 \h </w:instrText>
      </w:r>
      <w:r>
        <w:rPr>
          <w:rFonts w:ascii="宋体" w:hAnsi="宋体"/>
          <w:i w:val="0"/>
          <w:sz w:val="24"/>
          <w:szCs w:val="24"/>
        </w:rPr>
        <w:fldChar w:fldCharType="separate"/>
      </w:r>
      <w:r>
        <w:rPr>
          <w:rFonts w:ascii="宋体" w:hAnsi="宋体"/>
          <w:i w:val="0"/>
          <w:sz w:val="24"/>
          <w:szCs w:val="24"/>
        </w:rPr>
        <w:t>5</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"_Toc35500805" </w:instrText>
      </w:r>
      <w:r>
        <w:fldChar w:fldCharType="separate"/>
      </w:r>
      <w:r>
        <w:rPr>
          <w:rStyle w:val="40"/>
          <w:rFonts w:ascii="宋体" w:hAnsi="宋体"/>
          <w:bCs/>
          <w:i w:val="0"/>
          <w:sz w:val="24"/>
          <w:szCs w:val="24"/>
        </w:rPr>
        <w:t>收入费用表（2）</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_Toc35500805 \h </w:instrText>
      </w:r>
      <w:r>
        <w:rPr>
          <w:rFonts w:ascii="宋体" w:hAnsi="宋体"/>
          <w:i w:val="0"/>
          <w:sz w:val="24"/>
          <w:szCs w:val="24"/>
        </w:rPr>
        <w:fldChar w:fldCharType="separate"/>
      </w:r>
      <w:r>
        <w:rPr>
          <w:rFonts w:ascii="宋体" w:hAnsi="宋体"/>
          <w:i w:val="0"/>
          <w:sz w:val="24"/>
          <w:szCs w:val="24"/>
        </w:rPr>
        <w:t>5</w:t>
      </w:r>
      <w:r>
        <w:rPr>
          <w:rFonts w:ascii="宋体" w:hAnsi="宋体"/>
          <w:i w:val="0"/>
          <w:sz w:val="24"/>
          <w:szCs w:val="24"/>
        </w:rPr>
        <w:fldChar w:fldCharType="end"/>
      </w:r>
      <w:r>
        <w:rPr>
          <w:rFonts w:ascii="宋体" w:hAnsi="宋体"/>
          <w:i w:val="0"/>
          <w:sz w:val="24"/>
          <w:szCs w:val="24"/>
        </w:rPr>
        <w:fldChar w:fldCharType="end"/>
      </w:r>
    </w:p>
    <w:p>
      <w:pPr>
        <w:pStyle w:val="28"/>
        <w:tabs>
          <w:tab w:val="right" w:leader="dot" w:pos="8302"/>
        </w:tabs>
        <w:spacing w:line="360" w:lineRule="auto"/>
        <w:rPr>
          <w:rFonts w:ascii="宋体" w:hAnsi="宋体" w:cstheme="minorBidi"/>
          <w:smallCaps w:val="0"/>
          <w:kern w:val="2"/>
          <w:sz w:val="24"/>
          <w:szCs w:val="24"/>
        </w:rPr>
      </w:pPr>
      <w:r>
        <w:fldChar w:fldCharType="begin"/>
      </w:r>
      <w:r>
        <w:instrText xml:space="preserve"> HYPERLINK \l "_Toc35500806" </w:instrText>
      </w:r>
      <w:r>
        <w:fldChar w:fldCharType="separate"/>
      </w:r>
      <w:r>
        <w:rPr>
          <w:rStyle w:val="40"/>
          <w:rFonts w:ascii="宋体" w:hAnsi="宋体"/>
          <w:sz w:val="24"/>
          <w:szCs w:val="24"/>
        </w:rPr>
        <w:t>（二）政府部门会计报表附注</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_Toc35500806 \h </w:instrText>
      </w:r>
      <w:r>
        <w:rPr>
          <w:rFonts w:ascii="宋体" w:hAnsi="宋体"/>
          <w:sz w:val="24"/>
          <w:szCs w:val="24"/>
        </w:rPr>
        <w:fldChar w:fldCharType="separate"/>
      </w:r>
      <w:r>
        <w:rPr>
          <w:rFonts w:ascii="宋体" w:hAnsi="宋体"/>
          <w:sz w:val="24"/>
          <w:szCs w:val="24"/>
        </w:rPr>
        <w:t>7</w:t>
      </w:r>
      <w:r>
        <w:rPr>
          <w:rFonts w:ascii="宋体" w:hAnsi="宋体"/>
          <w:sz w:val="24"/>
          <w:szCs w:val="24"/>
        </w:rPr>
        <w:fldChar w:fldCharType="end"/>
      </w:r>
      <w:r>
        <w:rPr>
          <w:rFonts w:ascii="宋体" w:hAnsi="宋体"/>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"_Toc35500807" </w:instrText>
      </w:r>
      <w:r>
        <w:fldChar w:fldCharType="separate"/>
      </w:r>
      <w:r>
        <w:rPr>
          <w:rStyle w:val="40"/>
          <w:rFonts w:ascii="宋体" w:hAnsi="宋体"/>
          <w:i w:val="0"/>
          <w:sz w:val="24"/>
          <w:szCs w:val="24"/>
        </w:rPr>
        <w:t>1.会计报表编制基础。</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_Toc35500807 \h </w:instrText>
      </w:r>
      <w:r>
        <w:rPr>
          <w:rFonts w:ascii="宋体" w:hAnsi="宋体"/>
          <w:i w:val="0"/>
          <w:sz w:val="24"/>
          <w:szCs w:val="24"/>
        </w:rPr>
        <w:fldChar w:fldCharType="separate"/>
      </w:r>
      <w:r>
        <w:rPr>
          <w:rFonts w:ascii="宋体" w:hAnsi="宋体"/>
          <w:i w:val="0"/>
          <w:sz w:val="24"/>
          <w:szCs w:val="24"/>
        </w:rPr>
        <w:t>7</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"_Toc35500808" </w:instrText>
      </w:r>
      <w:r>
        <w:fldChar w:fldCharType="separate"/>
      </w:r>
      <w:r>
        <w:rPr>
          <w:rStyle w:val="40"/>
          <w:rFonts w:ascii="宋体" w:hAnsi="宋体"/>
          <w:i w:val="0"/>
          <w:sz w:val="24"/>
          <w:szCs w:val="24"/>
        </w:rPr>
        <w:t>2.遵循相关制度规定的声明。</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_Toc35500808 \h </w:instrText>
      </w:r>
      <w:r>
        <w:rPr>
          <w:rFonts w:ascii="宋体" w:hAnsi="宋体"/>
          <w:i w:val="0"/>
          <w:sz w:val="24"/>
          <w:szCs w:val="24"/>
        </w:rPr>
        <w:fldChar w:fldCharType="separate"/>
      </w:r>
      <w:r>
        <w:rPr>
          <w:rFonts w:ascii="宋体" w:hAnsi="宋体"/>
          <w:i w:val="0"/>
          <w:sz w:val="24"/>
          <w:szCs w:val="24"/>
        </w:rPr>
        <w:t>7</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"_Toc35500809" </w:instrText>
      </w:r>
      <w:r>
        <w:fldChar w:fldCharType="separate"/>
      </w:r>
      <w:r>
        <w:rPr>
          <w:rStyle w:val="40"/>
          <w:rFonts w:ascii="宋体" w:hAnsi="宋体"/>
          <w:i w:val="0"/>
          <w:sz w:val="24"/>
          <w:szCs w:val="24"/>
        </w:rPr>
        <w:t>3.合并范围。</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_Toc35500809 \h </w:instrText>
      </w:r>
      <w:r>
        <w:rPr>
          <w:rFonts w:ascii="宋体" w:hAnsi="宋体"/>
          <w:i w:val="0"/>
          <w:sz w:val="24"/>
          <w:szCs w:val="24"/>
        </w:rPr>
        <w:fldChar w:fldCharType="separate"/>
      </w:r>
      <w:r>
        <w:rPr>
          <w:rFonts w:ascii="宋体" w:hAnsi="宋体"/>
          <w:i w:val="0"/>
          <w:sz w:val="24"/>
          <w:szCs w:val="24"/>
        </w:rPr>
        <w:t>7</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"_Toc35500810" </w:instrText>
      </w:r>
      <w:r>
        <w:fldChar w:fldCharType="separate"/>
      </w:r>
      <w:r>
        <w:rPr>
          <w:rStyle w:val="40"/>
          <w:rFonts w:ascii="宋体" w:hAnsi="宋体"/>
          <w:i w:val="0"/>
          <w:sz w:val="24"/>
          <w:szCs w:val="24"/>
        </w:rPr>
        <w:t>4.重要会计政策与会计估计变更情况。</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_Toc35500810 \h </w:instrText>
      </w:r>
      <w:r>
        <w:rPr>
          <w:rFonts w:ascii="宋体" w:hAnsi="宋体"/>
          <w:i w:val="0"/>
          <w:sz w:val="24"/>
          <w:szCs w:val="24"/>
        </w:rPr>
        <w:fldChar w:fldCharType="separate"/>
      </w:r>
      <w:r>
        <w:rPr>
          <w:rFonts w:ascii="宋体" w:hAnsi="宋体"/>
          <w:i w:val="0"/>
          <w:sz w:val="24"/>
          <w:szCs w:val="24"/>
        </w:rPr>
        <w:t>8</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"_Toc35500811" </w:instrText>
      </w:r>
      <w:r>
        <w:fldChar w:fldCharType="separate"/>
      </w:r>
      <w:r>
        <w:rPr>
          <w:rStyle w:val="40"/>
          <w:rFonts w:ascii="宋体" w:hAnsi="宋体"/>
          <w:i w:val="0"/>
          <w:sz w:val="24"/>
          <w:szCs w:val="24"/>
        </w:rPr>
        <w:t>5.会计报表重要项目的明细信息及说明</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_Toc35500811 \h </w:instrText>
      </w:r>
      <w:r>
        <w:rPr>
          <w:rFonts w:ascii="宋体" w:hAnsi="宋体"/>
          <w:i w:val="0"/>
          <w:sz w:val="24"/>
          <w:szCs w:val="24"/>
        </w:rPr>
        <w:fldChar w:fldCharType="separate"/>
      </w:r>
      <w:r>
        <w:rPr>
          <w:rFonts w:ascii="宋体" w:hAnsi="宋体"/>
          <w:i w:val="0"/>
          <w:sz w:val="24"/>
          <w:szCs w:val="24"/>
        </w:rPr>
        <w:t>10</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"_Toc35500812" </w:instrText>
      </w:r>
      <w:r>
        <w:fldChar w:fldCharType="separate"/>
      </w:r>
      <w:r>
        <w:rPr>
          <w:rStyle w:val="40"/>
          <w:rFonts w:ascii="宋体" w:hAnsi="宋体"/>
          <w:i w:val="0"/>
          <w:sz w:val="24"/>
          <w:szCs w:val="24"/>
        </w:rPr>
        <w:t>6.需要说明的其他事项。</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_Toc35500812 \h </w:instrText>
      </w:r>
      <w:r>
        <w:rPr>
          <w:rFonts w:ascii="宋体" w:hAnsi="宋体"/>
          <w:i w:val="0"/>
          <w:sz w:val="24"/>
          <w:szCs w:val="24"/>
        </w:rPr>
        <w:fldChar w:fldCharType="separate"/>
      </w:r>
      <w:r>
        <w:rPr>
          <w:rFonts w:ascii="宋体" w:hAnsi="宋体"/>
          <w:i w:val="0"/>
          <w:sz w:val="24"/>
          <w:szCs w:val="24"/>
        </w:rPr>
        <w:t>17</w:t>
      </w:r>
      <w:r>
        <w:rPr>
          <w:rFonts w:ascii="宋体" w:hAnsi="宋体"/>
          <w:i w:val="0"/>
          <w:sz w:val="24"/>
          <w:szCs w:val="24"/>
        </w:rPr>
        <w:fldChar w:fldCharType="end"/>
      </w:r>
      <w:r>
        <w:rPr>
          <w:rFonts w:ascii="宋体" w:hAnsi="宋体"/>
          <w:i w:val="0"/>
          <w:sz w:val="24"/>
          <w:szCs w:val="24"/>
        </w:rPr>
        <w:fldChar w:fldCharType="end"/>
      </w:r>
    </w:p>
    <w:p>
      <w:pPr>
        <w:pStyle w:val="23"/>
        <w:tabs>
          <w:tab w:val="right" w:leader="dot" w:pos="8302"/>
        </w:tabs>
        <w:spacing w:before="0" w:after="0" w:line="360" w:lineRule="auto"/>
        <w:rPr>
          <w:rStyle w:val="40"/>
          <w:rFonts w:ascii="黑体" w:hAnsi="黑体" w:eastAsia="黑体"/>
          <w:sz w:val="24"/>
          <w:szCs w:val="24"/>
        </w:rPr>
      </w:pPr>
      <w:r>
        <w:fldChar w:fldCharType="begin"/>
      </w:r>
      <w:r>
        <w:instrText xml:space="preserve"> HYPERLINK \l "_Toc35500813" </w:instrText>
      </w:r>
      <w:r>
        <w:fldChar w:fldCharType="separate"/>
      </w:r>
      <w:r>
        <w:rPr>
          <w:rStyle w:val="40"/>
          <w:rFonts w:ascii="黑体" w:hAnsi="黑体" w:eastAsia="黑体"/>
          <w:sz w:val="24"/>
          <w:szCs w:val="24"/>
        </w:rPr>
        <w:t>二、政府部门财务分析</w:t>
      </w:r>
      <w:r>
        <w:rPr>
          <w:rStyle w:val="40"/>
          <w:rFonts w:ascii="黑体" w:hAnsi="黑体" w:eastAsia="黑体"/>
          <w:sz w:val="24"/>
          <w:szCs w:val="24"/>
        </w:rPr>
        <w:tab/>
      </w:r>
      <w:r>
        <w:rPr>
          <w:rStyle w:val="40"/>
          <w:rFonts w:ascii="黑体" w:hAnsi="黑体" w:eastAsia="黑体"/>
          <w:sz w:val="24"/>
          <w:szCs w:val="24"/>
        </w:rPr>
        <w:fldChar w:fldCharType="begin"/>
      </w:r>
      <w:r>
        <w:rPr>
          <w:rStyle w:val="40"/>
          <w:rFonts w:ascii="黑体" w:hAnsi="黑体" w:eastAsia="黑体"/>
          <w:sz w:val="24"/>
          <w:szCs w:val="24"/>
        </w:rPr>
        <w:instrText xml:space="preserve"> PAGEREF _Toc35500813 \h </w:instrText>
      </w:r>
      <w:r>
        <w:rPr>
          <w:rStyle w:val="40"/>
          <w:rFonts w:ascii="黑体" w:hAnsi="黑体" w:eastAsia="黑体"/>
          <w:sz w:val="24"/>
          <w:szCs w:val="24"/>
        </w:rPr>
        <w:fldChar w:fldCharType="separate"/>
      </w:r>
      <w:r>
        <w:rPr>
          <w:rStyle w:val="40"/>
          <w:rFonts w:ascii="黑体" w:hAnsi="黑体" w:eastAsia="黑体"/>
          <w:sz w:val="24"/>
          <w:szCs w:val="24"/>
        </w:rPr>
        <w:t>17</w:t>
      </w:r>
      <w:r>
        <w:rPr>
          <w:rStyle w:val="40"/>
          <w:rFonts w:ascii="黑体" w:hAnsi="黑体" w:eastAsia="黑体"/>
          <w:sz w:val="24"/>
          <w:szCs w:val="24"/>
        </w:rPr>
        <w:fldChar w:fldCharType="end"/>
      </w:r>
      <w:r>
        <w:rPr>
          <w:rStyle w:val="40"/>
          <w:rFonts w:ascii="黑体" w:hAnsi="黑体" w:eastAsia="黑体"/>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"_Toc35500814" </w:instrText>
      </w:r>
      <w:r>
        <w:fldChar w:fldCharType="separate"/>
      </w:r>
      <w:r>
        <w:rPr>
          <w:rStyle w:val="40"/>
          <w:rFonts w:ascii="宋体" w:hAnsi="宋体"/>
          <w:i w:val="0"/>
          <w:sz w:val="24"/>
          <w:szCs w:val="24"/>
        </w:rPr>
        <w:t>（一）</w:t>
      </w:r>
      <w:r>
        <w:rPr>
          <w:rStyle w:val="40"/>
          <w:rFonts w:ascii="宋体" w:hAnsi="宋体" w:cs="黑体"/>
          <w:i w:val="0"/>
          <w:spacing w:val="-8"/>
          <w:sz w:val="24"/>
          <w:szCs w:val="24"/>
        </w:rPr>
        <w:t>政府部门工作目标完成情况。</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_Toc35500814 \h </w:instrText>
      </w:r>
      <w:r>
        <w:rPr>
          <w:rFonts w:ascii="宋体" w:hAnsi="宋体"/>
          <w:i w:val="0"/>
          <w:sz w:val="24"/>
          <w:szCs w:val="24"/>
        </w:rPr>
        <w:fldChar w:fldCharType="separate"/>
      </w:r>
      <w:r>
        <w:rPr>
          <w:b/>
        </w:rPr>
        <w:t>错误！未定义书签。</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"_Toc35500815" </w:instrText>
      </w:r>
      <w:r>
        <w:fldChar w:fldCharType="separate"/>
      </w:r>
      <w:r>
        <w:rPr>
          <w:rStyle w:val="40"/>
          <w:rFonts w:ascii="宋体" w:hAnsi="宋体"/>
          <w:i w:val="0"/>
          <w:sz w:val="24"/>
          <w:szCs w:val="24"/>
        </w:rPr>
        <w:t>（二）政府部门财务状况分析。</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_Toc35500815 \h </w:instrText>
      </w:r>
      <w:r>
        <w:rPr>
          <w:rFonts w:ascii="宋体" w:hAnsi="宋体"/>
          <w:i w:val="0"/>
          <w:sz w:val="24"/>
          <w:szCs w:val="24"/>
        </w:rPr>
        <w:fldChar w:fldCharType="separate"/>
      </w:r>
      <w:r>
        <w:rPr>
          <w:rFonts w:ascii="宋体" w:hAnsi="宋体"/>
          <w:i w:val="0"/>
          <w:sz w:val="24"/>
          <w:szCs w:val="24"/>
        </w:rPr>
        <w:t>17</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"_Toc35500816" </w:instrText>
      </w:r>
      <w:r>
        <w:fldChar w:fldCharType="separate"/>
      </w:r>
      <w:r>
        <w:rPr>
          <w:rStyle w:val="40"/>
          <w:rFonts w:ascii="宋体" w:hAnsi="宋体"/>
          <w:i w:val="0"/>
          <w:sz w:val="24"/>
          <w:szCs w:val="24"/>
        </w:rPr>
        <w:t>（三）政府部门运行情况分析。</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_Toc35500816 \h </w:instrText>
      </w:r>
      <w:r>
        <w:rPr>
          <w:rFonts w:ascii="宋体" w:hAnsi="宋体"/>
          <w:i w:val="0"/>
          <w:sz w:val="24"/>
          <w:szCs w:val="24"/>
        </w:rPr>
        <w:fldChar w:fldCharType="separate"/>
      </w:r>
      <w:r>
        <w:rPr>
          <w:rFonts w:ascii="宋体" w:hAnsi="宋体"/>
          <w:i w:val="0"/>
          <w:sz w:val="24"/>
          <w:szCs w:val="24"/>
        </w:rPr>
        <w:t>22</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"_Toc35500817" </w:instrText>
      </w:r>
      <w:r>
        <w:fldChar w:fldCharType="separate"/>
      </w:r>
      <w:r>
        <w:rPr>
          <w:rStyle w:val="40"/>
          <w:rFonts w:ascii="宋体" w:hAnsi="宋体"/>
          <w:i w:val="0"/>
          <w:sz w:val="24"/>
          <w:szCs w:val="24"/>
        </w:rPr>
        <w:t>（四）政府部门财务管理情况。</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_Toc35500817 \h </w:instrText>
      </w:r>
      <w:r>
        <w:rPr>
          <w:rFonts w:ascii="宋体" w:hAnsi="宋体"/>
          <w:i w:val="0"/>
          <w:sz w:val="24"/>
          <w:szCs w:val="24"/>
        </w:rPr>
        <w:fldChar w:fldCharType="separate"/>
      </w:r>
      <w:r>
        <w:rPr>
          <w:rFonts w:ascii="宋体" w:hAnsi="宋体"/>
          <w:i w:val="0"/>
          <w:sz w:val="24"/>
          <w:szCs w:val="24"/>
        </w:rPr>
        <w:t>24</w:t>
      </w:r>
      <w:r>
        <w:rPr>
          <w:rFonts w:ascii="宋体" w:hAnsi="宋体"/>
          <w:i w:val="0"/>
          <w:sz w:val="24"/>
          <w:szCs w:val="24"/>
        </w:rPr>
        <w:fldChar w:fldCharType="end"/>
      </w:r>
      <w:r>
        <w:rPr>
          <w:rFonts w:ascii="宋体" w:hAnsi="宋体"/>
          <w:i w:val="0"/>
          <w:sz w:val="24"/>
          <w:szCs w:val="24"/>
        </w:rPr>
        <w:fldChar w:fldCharType="end"/>
      </w:r>
    </w:p>
    <w:p>
      <w:pPr>
        <w:spacing w:line="360" w:lineRule="auto"/>
        <w:jc w:val="both"/>
        <w:rPr>
          <w:rFonts w:eastAsia="仿宋_GB2312"/>
          <w:smallCaps/>
        </w:rPr>
      </w:pPr>
      <w:r>
        <w:rPr>
          <w:rFonts w:asciiTheme="minorEastAsia" w:hAnsiTheme="minorEastAsia" w:eastAsiaTheme="minorEastAsia"/>
          <w:smallCaps/>
          <w:sz w:val="28"/>
          <w:szCs w:val="28"/>
        </w:rPr>
        <w:fldChar w:fldCharType="end"/>
      </w:r>
    </w:p>
    <w:p>
      <w:pPr>
        <w:spacing w:line="360" w:lineRule="auto"/>
        <w:jc w:val="both"/>
        <w:rPr>
          <w:rFonts w:eastAsia="仿宋_GB2312"/>
          <w:smallCaps/>
        </w:rPr>
      </w:pPr>
    </w:p>
    <w:p>
      <w:pPr>
        <w:spacing w:line="360" w:lineRule="auto"/>
        <w:jc w:val="both"/>
        <w:rPr>
          <w:rFonts w:eastAsia="仿宋_GB2312"/>
          <w:smallCaps/>
        </w:rPr>
        <w:sectPr>
          <w:footerReference r:id="rId8" w:type="first"/>
          <w:footnotePr>
            <w:numFmt w:val="decimalEnclosedCircleChinese"/>
          </w:footnotePr>
          <w:pgSz w:w="11906" w:h="16838"/>
          <w:pgMar w:top="1440" w:right="1797" w:bottom="1440" w:left="1797" w:header="851" w:footer="992" w:gutter="0"/>
          <w:cols w:space="425" w:num="1"/>
          <w:docGrid w:type="lines" w:linePitch="326" w:charSpace="0"/>
        </w:sectPr>
      </w:pPr>
    </w:p>
    <w:p>
      <w:pPr>
        <w:pStyle w:val="2"/>
        <w:spacing w:before="0" w:after="0" w:line="360" w:lineRule="auto"/>
        <w:rPr>
          <w:rStyle w:val="43"/>
          <w:rFonts w:ascii="宋体" w:eastAsia="宋体"/>
          <w:b w:val="0"/>
          <w:sz w:val="32"/>
          <w:szCs w:val="32"/>
        </w:rPr>
      </w:pPr>
      <w:bookmarkStart w:id="12" w:name="_Toc35452575"/>
      <w:bookmarkStart w:id="13" w:name="_Toc435361944"/>
      <w:bookmarkStart w:id="14" w:name="_Toc435362062"/>
      <w:bookmarkStart w:id="15" w:name="_Toc35500801"/>
      <w:bookmarkStart w:id="16" w:name="_Toc435363360"/>
      <w:bookmarkStart w:id="17" w:name="_Toc435362487"/>
      <w:bookmarkStart w:id="18" w:name="_Toc435362289"/>
      <w:bookmarkStart w:id="19" w:name="_Toc436083527"/>
      <w:bookmarkStart w:id="20" w:name="_Toc503548884"/>
      <w:bookmarkStart w:id="21" w:name="_Toc435360895"/>
      <w:r>
        <w:rPr>
          <w:rFonts w:hint="eastAsia" w:ascii="宋体" w:eastAsia="宋体"/>
          <w:sz w:val="32"/>
          <w:szCs w:val="32"/>
        </w:rPr>
        <w:t>一、政府部门财务报表</w:t>
      </w:r>
      <w:bookmarkEnd w:id="12"/>
      <w:bookmarkEnd w:id="13"/>
      <w:bookmarkEnd w:id="14"/>
      <w:bookmarkEnd w:id="15"/>
      <w:bookmarkEnd w:id="16"/>
      <w:bookmarkEnd w:id="17"/>
      <w:bookmarkEnd w:id="18"/>
      <w:bookmarkEnd w:id="19"/>
      <w:bookmarkEnd w:id="20"/>
      <w:bookmarkEnd w:id="21"/>
    </w:p>
    <w:p>
      <w:pPr>
        <w:pStyle w:val="3"/>
        <w:spacing w:before="0" w:after="0" w:line="360" w:lineRule="auto"/>
        <w:ind w:firstLine="602" w:firstLineChars="200"/>
        <w:jc w:val="left"/>
        <w:rPr>
          <w:rFonts w:asciiTheme="minorEastAsia" w:hAnsiTheme="minorEastAsia" w:eastAsiaTheme="minorEastAsia"/>
        </w:rPr>
      </w:pPr>
      <w:bookmarkStart w:id="22" w:name="_Toc436083528"/>
      <w:bookmarkStart w:id="23" w:name="_Toc503548885"/>
      <w:bookmarkStart w:id="24" w:name="_Toc35452576"/>
      <w:bookmarkStart w:id="25" w:name="_Toc435361945"/>
      <w:bookmarkStart w:id="26" w:name="_Toc35500802"/>
      <w:bookmarkStart w:id="27" w:name="_Toc435362290"/>
      <w:bookmarkStart w:id="28" w:name="_Toc435362063"/>
      <w:bookmarkStart w:id="29" w:name="_Toc435362488"/>
      <w:r>
        <w:rPr>
          <w:rFonts w:hint="eastAsia" w:asciiTheme="minorEastAsia" w:hAnsiTheme="minorEastAsia" w:eastAsiaTheme="minorEastAsia"/>
        </w:rPr>
        <w:t>（一）政府部门会计报表</w:t>
      </w:r>
      <w:bookmarkEnd w:id="22"/>
      <w:bookmarkEnd w:id="23"/>
      <w:bookmarkEnd w:id="24"/>
      <w:bookmarkEnd w:id="25"/>
      <w:bookmarkEnd w:id="26"/>
      <w:bookmarkEnd w:id="27"/>
      <w:bookmarkEnd w:id="28"/>
      <w:bookmarkEnd w:id="29"/>
    </w:p>
    <w:p/>
    <w:p>
      <w:bookmarkStart w:id="30" w:name="_Toc435362489"/>
      <w:bookmarkStart w:id="31" w:name="_Toc435362064"/>
      <w:bookmarkStart w:id="32" w:name="_Toc435361946"/>
      <w:bookmarkStart w:id="33" w:name="_Toc435362291"/>
      <w:r>
        <w:rPr>
          <w:rFonts w:hint="eastAsia"/>
        </w:rPr>
        <w:t>表</w:t>
      </w:r>
      <w:r>
        <w:t>1</w:t>
      </w:r>
    </w:p>
    <w:p>
      <w:pPr>
        <w:spacing w:before="2" w:line="360" w:lineRule="auto"/>
        <w:ind w:firstLine="562" w:firstLineChars="200"/>
        <w:jc w:val="center"/>
        <w:outlineLvl w:val="2"/>
        <w:rPr>
          <w:rFonts w:cs="Times New Roman" w:asciiTheme="majorEastAsia" w:hAnsiTheme="majorEastAsia" w:eastAsiaTheme="majorEastAsia"/>
          <w:b/>
          <w:bCs/>
          <w:kern w:val="2"/>
          <w:sz w:val="28"/>
          <w:szCs w:val="28"/>
        </w:rPr>
      </w:pPr>
      <w:bookmarkStart w:id="34" w:name="_Toc35500803"/>
      <w:bookmarkStart w:id="35" w:name="_Toc35452577"/>
      <w:r>
        <w:rPr>
          <w:rFonts w:hint="eastAsia" w:cs="Times New Roman" w:asciiTheme="majorEastAsia" w:hAnsiTheme="majorEastAsia" w:eastAsiaTheme="majorEastAsia"/>
          <w:b/>
          <w:bCs/>
          <w:kern w:val="2"/>
          <w:sz w:val="28"/>
          <w:szCs w:val="28"/>
        </w:rPr>
        <w:t>资产负债表</w:t>
      </w:r>
      <w:bookmarkEnd w:id="30"/>
      <w:bookmarkEnd w:id="31"/>
      <w:bookmarkEnd w:id="32"/>
      <w:bookmarkEnd w:id="33"/>
      <w:bookmarkEnd w:id="34"/>
      <w:bookmarkEnd w:id="35"/>
    </w:p>
    <w:p>
      <w:pPr>
        <w:tabs>
          <w:tab w:val="left" w:pos="4160"/>
          <w:tab w:val="left" w:pos="7170"/>
        </w:tabs>
        <w:adjustRightInd w:val="0"/>
        <w:snapToGrid w:val="0"/>
        <w:spacing w:line="320" w:lineRule="exact"/>
        <w:ind w:left="-425" w:leftChars="-177"/>
        <w:rPr>
          <w:b/>
          <w:bCs/>
          <w:sz w:val="20"/>
          <w:szCs w:val="20"/>
        </w:rPr>
      </w:pPr>
      <w:r>
        <w:rPr>
          <w:rFonts w:hint="eastAsia"/>
          <w:sz w:val="20"/>
          <w:szCs w:val="20"/>
        </w:rPr>
        <w:t>编制单位：内蒙古自治区呼伦贝尔市莫力达瓦达斡尔族自治旗阿尔拉镇人民政府</w:t>
      </w:r>
      <w:r>
        <w:rPr>
          <w:b/>
          <w:bCs/>
          <w:sz w:val="20"/>
          <w:szCs w:val="20"/>
        </w:rPr>
        <w:tab/>
      </w:r>
      <w:r>
        <w:rPr>
          <w:sz w:val="20"/>
          <w:szCs w:val="20"/>
        </w:rPr>
        <w:t>2020</w:t>
      </w:r>
      <w:r>
        <w:rPr>
          <w:rFonts w:hint="eastAsia"/>
          <w:sz w:val="20"/>
          <w:szCs w:val="20"/>
        </w:rPr>
        <w:t>年12月31日</w:t>
      </w:r>
      <w:r>
        <w:rPr>
          <w:b/>
          <w:bCs/>
          <w:sz w:val="20"/>
          <w:szCs w:val="20"/>
        </w:rPr>
        <w:tab/>
      </w:r>
      <w:r>
        <w:rPr>
          <w:rFonts w:hint="eastAsia"/>
          <w:sz w:val="20"/>
          <w:szCs w:val="20"/>
        </w:rPr>
        <w:t>单位：万元</w:t>
      </w:r>
    </w:p>
    <w:tbl>
      <w:tblPr>
        <w:tblStyle w:val="34"/>
        <w:tblW w:w="8958" w:type="dxa"/>
        <w:jc w:val="center"/>
        <w:tblLayout w:type="fixed"/>
        <w:tblCellMar>
          <w:top w:w="0" w:type="dxa"/>
          <w:left w:w="108" w:type="dxa"/>
          <w:bottom w:w="0" w:type="dxa"/>
          <w:right w:w="108" w:type="dxa"/>
        </w:tblCellMar>
      </w:tblPr>
      <w:tblGrid>
        <w:gridCol w:w="3890"/>
        <w:gridCol w:w="1276"/>
        <w:gridCol w:w="1733"/>
        <w:gridCol w:w="2059"/>
      </w:tblGrid>
      <w:tr>
        <w:tblPrEx>
          <w:tblCellMar>
            <w:top w:w="0" w:type="dxa"/>
            <w:left w:w="108" w:type="dxa"/>
            <w:bottom w:w="0" w:type="dxa"/>
            <w:right w:w="108" w:type="dxa"/>
          </w:tblCellMar>
        </w:tblPrEx>
        <w:trPr>
          <w:trHeight w:val="340" w:hRule="exact"/>
          <w:tblHeader/>
          <w:jc w:val="center"/>
        </w:trPr>
        <w:tc>
          <w:tcPr>
            <w:tcW w:w="3890" w:type="dxa"/>
            <w:tcBorders>
              <w:top w:val="single" w:color="auto" w:sz="4" w:space="0"/>
              <w:bottom w:val="single" w:color="auto" w:sz="4" w:space="0"/>
            </w:tcBorders>
            <w:shd w:val="clear" w:color="FFFFFF" w:fill="FFFFFF"/>
            <w:vAlign w:val="center"/>
          </w:tcPr>
          <w:p>
            <w:pPr>
              <w:adjustRightInd w:val="0"/>
              <w:snapToGrid w:val="0"/>
              <w:spacing w:line="320" w:lineRule="exact"/>
              <w:jc w:val="center"/>
              <w:rPr>
                <w:b/>
                <w:bCs/>
                <w:sz w:val="20"/>
                <w:szCs w:val="20"/>
              </w:rPr>
            </w:pPr>
            <w:r>
              <w:rPr>
                <w:rFonts w:hint="eastAsia"/>
                <w:b/>
                <w:bCs/>
                <w:sz w:val="20"/>
                <w:szCs w:val="20"/>
              </w:rPr>
              <w:t>项目</w:t>
            </w:r>
          </w:p>
        </w:tc>
        <w:tc>
          <w:tcPr>
            <w:tcW w:w="1276" w:type="dxa"/>
            <w:tcBorders>
              <w:top w:val="single" w:color="auto" w:sz="4" w:space="0"/>
              <w:bottom w:val="single" w:color="auto" w:sz="4" w:space="0"/>
            </w:tcBorders>
            <w:shd w:val="clear" w:color="FFFFFF" w:fill="FFFFFF"/>
            <w:vAlign w:val="center"/>
          </w:tcPr>
          <w:p>
            <w:pPr>
              <w:adjustRightInd w:val="0"/>
              <w:snapToGrid w:val="0"/>
              <w:spacing w:line="320" w:lineRule="exact"/>
              <w:jc w:val="center"/>
              <w:rPr>
                <w:b/>
                <w:bCs/>
                <w:sz w:val="20"/>
                <w:szCs w:val="20"/>
              </w:rPr>
            </w:pPr>
            <w:r>
              <w:rPr>
                <w:rFonts w:hint="eastAsia"/>
                <w:b/>
                <w:bCs/>
                <w:sz w:val="20"/>
                <w:szCs w:val="20"/>
              </w:rPr>
              <w:t>附注</w:t>
            </w:r>
          </w:p>
        </w:tc>
        <w:tc>
          <w:tcPr>
            <w:tcW w:w="1733" w:type="dxa"/>
            <w:tcBorders>
              <w:top w:val="single" w:color="auto" w:sz="4" w:space="0"/>
              <w:bottom w:val="single" w:color="auto" w:sz="4" w:space="0"/>
            </w:tcBorders>
            <w:shd w:val="clear" w:color="FFFFFF" w:fill="FFFFFF"/>
            <w:vAlign w:val="center"/>
          </w:tcPr>
          <w:p>
            <w:pPr>
              <w:adjustRightInd w:val="0"/>
              <w:snapToGrid w:val="0"/>
              <w:spacing w:line="320" w:lineRule="exact"/>
              <w:jc w:val="center"/>
              <w:rPr>
                <w:b/>
                <w:bCs/>
                <w:sz w:val="20"/>
                <w:szCs w:val="20"/>
              </w:rPr>
            </w:pPr>
            <w:r>
              <w:rPr>
                <w:rFonts w:hint="eastAsia"/>
                <w:b/>
                <w:bCs/>
                <w:sz w:val="20"/>
                <w:szCs w:val="20"/>
              </w:rPr>
              <w:t>年末数</w:t>
            </w:r>
          </w:p>
        </w:tc>
        <w:tc>
          <w:tcPr>
            <w:tcW w:w="2059" w:type="dxa"/>
            <w:tcBorders>
              <w:top w:val="single" w:color="auto" w:sz="4" w:space="0"/>
              <w:bottom w:val="single" w:color="auto" w:sz="4" w:space="0"/>
            </w:tcBorders>
            <w:shd w:val="clear" w:color="FFFFFF" w:fill="FFFFFF"/>
            <w:vAlign w:val="center"/>
          </w:tcPr>
          <w:p>
            <w:pPr>
              <w:adjustRightInd w:val="0"/>
              <w:snapToGrid w:val="0"/>
              <w:spacing w:line="320" w:lineRule="exact"/>
              <w:jc w:val="center"/>
              <w:rPr>
                <w:b/>
                <w:bCs/>
                <w:sz w:val="20"/>
                <w:szCs w:val="20"/>
              </w:rPr>
            </w:pPr>
            <w:r>
              <w:rPr>
                <w:rFonts w:hint="eastAsia"/>
                <w:b/>
                <w:bCs/>
                <w:sz w:val="20"/>
                <w:szCs w:val="20"/>
              </w:rPr>
              <w:t>年初数</w:t>
            </w:r>
          </w:p>
        </w:tc>
      </w:tr>
      <w:tr>
        <w:tblPrEx>
          <w:tblCellMar>
            <w:top w:w="0" w:type="dxa"/>
            <w:left w:w="108" w:type="dxa"/>
            <w:bottom w:w="0" w:type="dxa"/>
            <w:right w:w="108" w:type="dxa"/>
          </w:tblCellMar>
        </w:tblPrEx>
        <w:trPr>
          <w:trHeight w:val="20" w:hRule="exact"/>
          <w:tblHeader/>
          <w:jc w:val="center"/>
        </w:trPr>
        <w:tc>
          <w:tcPr>
            <w:tcW w:w="3890" w:type="dxa"/>
            <w:tcBorders>
              <w:top w:val="single" w:color="auto" w:sz="4" w:space="0"/>
            </w:tcBorders>
            <w:shd w:val="clear" w:color="FFFFFF" w:fill="FFFFFF"/>
            <w:vAlign w:val="center"/>
          </w:tcPr>
          <w:p>
            <w:pPr>
              <w:adjustRightInd w:val="0"/>
              <w:snapToGrid w:val="0"/>
              <w:spacing w:line="320" w:lineRule="exact"/>
              <w:jc w:val="center"/>
              <w:rPr>
                <w:b/>
                <w:bCs/>
                <w:sz w:val="20"/>
                <w:szCs w:val="20"/>
              </w:rPr>
            </w:pPr>
          </w:p>
        </w:tc>
        <w:tc>
          <w:tcPr>
            <w:tcW w:w="1276" w:type="dxa"/>
            <w:tcBorders>
              <w:top w:val="single" w:color="auto" w:sz="4" w:space="0"/>
            </w:tcBorders>
            <w:shd w:val="clear" w:color="FFFFFF" w:fill="FFFFFF"/>
            <w:vAlign w:val="center"/>
          </w:tcPr>
          <w:p>
            <w:pPr>
              <w:adjustRightInd w:val="0"/>
              <w:snapToGrid w:val="0"/>
              <w:spacing w:line="320" w:lineRule="exact"/>
              <w:jc w:val="center"/>
              <w:rPr>
                <w:b/>
                <w:bCs/>
                <w:sz w:val="20"/>
                <w:szCs w:val="20"/>
              </w:rPr>
            </w:pPr>
          </w:p>
        </w:tc>
        <w:tc>
          <w:tcPr>
            <w:tcW w:w="1733" w:type="dxa"/>
            <w:tcBorders>
              <w:top w:val="single" w:color="auto" w:sz="4" w:space="0"/>
            </w:tcBorders>
            <w:shd w:val="clear" w:color="FFFFFF" w:fill="FFFFFF"/>
            <w:vAlign w:val="center"/>
          </w:tcPr>
          <w:p>
            <w:pPr>
              <w:adjustRightInd w:val="0"/>
              <w:snapToGrid w:val="0"/>
              <w:spacing w:line="320" w:lineRule="exact"/>
              <w:jc w:val="center"/>
              <w:rPr>
                <w:b/>
                <w:bCs/>
                <w:sz w:val="20"/>
                <w:szCs w:val="20"/>
              </w:rPr>
            </w:pPr>
          </w:p>
        </w:tc>
        <w:tc>
          <w:tcPr>
            <w:tcW w:w="2059" w:type="dxa"/>
            <w:tcBorders>
              <w:top w:val="single" w:color="auto" w:sz="4" w:space="0"/>
            </w:tcBorders>
            <w:shd w:val="clear" w:color="FFFFFF" w:fill="FFFFFF"/>
            <w:vAlign w:val="center"/>
          </w:tcPr>
          <w:p>
            <w:pPr>
              <w:adjustRightInd w:val="0"/>
              <w:snapToGrid w:val="0"/>
              <w:spacing w:line="320" w:lineRule="exact"/>
              <w:jc w:val="center"/>
              <w:rPr>
                <w:b/>
                <w:bCs/>
                <w:sz w:val="20"/>
                <w:szCs w:val="20"/>
              </w:rPr>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货币资金</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18.04</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38.10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短期投资</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财政应返还额度</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771.10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应收票据</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应收账款净额</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附表2</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预付账款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附表3</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229.28</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538.03</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应收股利</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应收利息</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其他应收款净额</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附表4</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362.06</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362.48</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存货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待摊费用</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一年内到期的非流动资产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流动资产合计</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1,380.48</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938.61</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非流动资产：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长期股权投资</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附表5</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长期债券投资</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附表5</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固定资产原值</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172.85</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169.85</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减：固定资产累计折旧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85.80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76.68</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固定资产净值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附表6</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87.05</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93.17</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工程物资</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在建工程</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附表7</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无形资产原值</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减：无形资产累计摊销</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无形资产净值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附表8</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研发支出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公共基础设施原值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附表9</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减：公共基础设施累计折旧（摊销）</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附表9</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公共基础设施净值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附表9</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政府储备物资</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附表10</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文物文化资产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保障性住房原值</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减：保障性住房累计折旧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保障性住房净值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附表11</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长期待摊费用</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待处理财产损溢</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其他非流动资产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非流动资产合计</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87.05</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93.17</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受托代理资产</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资产总计</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1,467.53</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1,031.78</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短期借款</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应交增值税</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其他应交税费</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应缴财政款</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应付职工薪酬</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11.83</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应付票据</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应付账款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附表12</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24.64</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44.59</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应付政府补贴款</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应付利息</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预收账款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附表13</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其他应付款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附表14</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3,808.04</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4,931.78</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预提费用</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一年内到期的非流动负债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流动负债合计</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3,832.68</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4,988.20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非流动负债：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长期借款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附表15</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长期应付款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附表16</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预计负债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其他非流动负债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非流动负债合计</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受托代理负债</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负债合计</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3,832.68</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4,988.20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净资产: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累计盈余</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-2,365.15</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-3,956.42</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专用基金</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权益法调整</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净资产</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-2,365.15</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-3,956.42</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负债及净资产总计</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1,467.53</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1,031.78</w:t>
            </w:r>
          </w:p>
        </w:tc>
      </w:tr>
    </w:tbl>
    <w:p>
      <w:pPr>
        <w:pStyle w:val="110"/>
        <w:ind w:firstLine="0" w:firstLineChars="0"/>
        <w:rPr>
          <w:rFonts w:asciiTheme="minorEastAsia" w:hAnsiTheme="minorEastAsia" w:eastAsiaTheme="minorEastAsia"/>
          <w:sz w:val="22"/>
        </w:rPr>
      </w:pPr>
      <w:bookmarkStart w:id="36" w:name="_Toc435362065"/>
      <w:bookmarkStart w:id="37" w:name="_Toc435362292"/>
      <w:bookmarkStart w:id="38" w:name="_Toc435362490"/>
      <w:bookmarkStart w:id="39" w:name="_Toc435361947"/>
    </w:p>
    <w:p>
      <w:r>
        <w:rPr>
          <w:rFonts w:hint="eastAsia"/>
        </w:rPr>
        <w:t>表</w:t>
      </w:r>
      <w:r>
        <w:t>2</w:t>
      </w:r>
      <w:bookmarkEnd w:id="36"/>
      <w:bookmarkEnd w:id="37"/>
      <w:bookmarkEnd w:id="38"/>
      <w:bookmarkEnd w:id="39"/>
      <w:r>
        <w:rPr>
          <w:rFonts w:hint="eastAsia"/>
        </w:rPr>
        <w:t>-1</w:t>
      </w:r>
    </w:p>
    <w:p>
      <w:pPr>
        <w:spacing w:before="2" w:line="360" w:lineRule="auto"/>
        <w:ind w:firstLine="562" w:firstLineChars="200"/>
        <w:jc w:val="center"/>
        <w:outlineLvl w:val="2"/>
        <w:rPr>
          <w:rFonts w:cs="Times New Roman" w:asciiTheme="majorEastAsia" w:hAnsiTheme="majorEastAsia" w:eastAsiaTheme="majorEastAsia"/>
          <w:b/>
          <w:bCs/>
          <w:kern w:val="2"/>
          <w:sz w:val="28"/>
          <w:szCs w:val="28"/>
        </w:rPr>
      </w:pPr>
      <w:bookmarkStart w:id="40" w:name="_Toc35500804"/>
      <w:bookmarkStart w:id="41" w:name="_Toc35452578"/>
      <w:r>
        <w:rPr>
          <w:rFonts w:hint="eastAsia" w:cs="Times New Roman" w:asciiTheme="majorEastAsia" w:hAnsiTheme="majorEastAsia" w:eastAsiaTheme="majorEastAsia"/>
          <w:b/>
          <w:bCs/>
          <w:kern w:val="2"/>
          <w:sz w:val="28"/>
          <w:szCs w:val="28"/>
        </w:rPr>
        <w:t>收入费用表</w:t>
      </w:r>
      <w:r>
        <w:rPr>
          <w:rFonts w:cs="Times New Roman" w:asciiTheme="majorEastAsia" w:hAnsiTheme="majorEastAsia" w:eastAsiaTheme="majorEastAsia"/>
          <w:b/>
          <w:bCs/>
          <w:kern w:val="2"/>
          <w:sz w:val="28"/>
          <w:szCs w:val="28"/>
        </w:rPr>
        <w:t>（1）</w:t>
      </w:r>
      <w:bookmarkEnd w:id="40"/>
      <w:bookmarkEnd w:id="41"/>
    </w:p>
    <w:p>
      <w:pPr>
        <w:tabs>
          <w:tab w:val="left" w:pos="4962"/>
          <w:tab w:val="left" w:pos="7150"/>
        </w:tabs>
        <w:adjustRightInd w:val="0"/>
        <w:snapToGrid w:val="0"/>
        <w:spacing w:line="320" w:lineRule="exact"/>
        <w:ind w:left="-425" w:leftChars="-177"/>
        <w:rPr>
          <w:b/>
          <w:bCs/>
          <w:sz w:val="20"/>
          <w:szCs w:val="20"/>
        </w:rPr>
      </w:pPr>
      <w:r>
        <w:rPr>
          <w:rFonts w:hint="eastAsia"/>
          <w:sz w:val="20"/>
          <w:szCs w:val="20"/>
        </w:rPr>
        <w:t>编制单位：内蒙古自治区呼伦贝尔市莫力达瓦达斡尔族自治旗阿尔拉镇人民政府</w:t>
      </w:r>
      <w:r>
        <w:rPr>
          <w:b/>
          <w:bCs/>
          <w:sz w:val="20"/>
          <w:szCs w:val="20"/>
        </w:rPr>
        <w:tab/>
      </w:r>
      <w:r>
        <w:rPr>
          <w:rFonts w:hint="eastAsia"/>
          <w:sz w:val="20"/>
          <w:szCs w:val="20"/>
        </w:rPr>
        <w:t>2020  年</w:t>
      </w:r>
      <w:r>
        <w:rPr>
          <w:b/>
          <w:bCs/>
          <w:sz w:val="20"/>
          <w:szCs w:val="20"/>
        </w:rPr>
        <w:tab/>
      </w:r>
      <w:r>
        <w:rPr>
          <w:rFonts w:hint="eastAsia"/>
          <w:sz w:val="20"/>
          <w:szCs w:val="20"/>
        </w:rPr>
        <w:t>单位：万元</w:t>
      </w:r>
    </w:p>
    <w:tbl>
      <w:tblPr>
        <w:tblStyle w:val="34"/>
        <w:tblW w:w="9073" w:type="dxa"/>
        <w:tblInd w:w="-318" w:type="dxa"/>
        <w:tblLayout w:type="fixed"/>
        <w:tblCellMar>
          <w:top w:w="0" w:type="dxa"/>
          <w:left w:w="108" w:type="dxa"/>
          <w:bottom w:w="0" w:type="dxa"/>
          <w:right w:w="108" w:type="dxa"/>
        </w:tblCellMar>
      </w:tblPr>
      <w:tblGrid>
        <w:gridCol w:w="3687"/>
        <w:gridCol w:w="1417"/>
        <w:gridCol w:w="1985"/>
        <w:gridCol w:w="1984"/>
      </w:tblGrid>
      <w:tr>
        <w:tblPrEx>
          <w:tblCellMar>
            <w:top w:w="0" w:type="dxa"/>
            <w:left w:w="108" w:type="dxa"/>
            <w:bottom w:w="0" w:type="dxa"/>
            <w:right w:w="108" w:type="dxa"/>
          </w:tblCellMar>
        </w:tblPrEx>
        <w:trPr>
          <w:trHeight w:val="397" w:hRule="atLeast"/>
          <w:tblHeader/>
        </w:trPr>
        <w:tc>
          <w:tcPr>
            <w:tcW w:w="3687"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项目</w:t>
            </w:r>
          </w:p>
        </w:tc>
        <w:tc>
          <w:tcPr>
            <w:tcW w:w="1417"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附注</w:t>
            </w:r>
          </w:p>
        </w:tc>
        <w:tc>
          <w:tcPr>
            <w:tcW w:w="1985"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本年数</w:t>
            </w:r>
          </w:p>
        </w:tc>
        <w:tc>
          <w:tcPr>
            <w:tcW w:w="1984"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上年数</w:t>
            </w:r>
          </w:p>
        </w:tc>
      </w:tr>
      <w:tr>
        <w:tblPrEx>
          <w:tblCellMar>
            <w:top w:w="0" w:type="dxa"/>
            <w:left w:w="108" w:type="dxa"/>
            <w:bottom w:w="0" w:type="dxa"/>
            <w:right w:w="108" w:type="dxa"/>
          </w:tblCellMar>
        </w:tblPrEx>
        <w:trPr>
          <w:trHeight w:val="20" w:hRule="exact"/>
          <w:tblHeader/>
        </w:trPr>
        <w:tc>
          <w:tcPr>
            <w:tcW w:w="3687" w:type="dxa"/>
            <w:tcBorders>
              <w:top w:val="single" w:color="auto" w:sz="4" w:space="0"/>
            </w:tcBorders>
            <w:shd w:val="clear" w:color="FFFFFF" w:fill="FFFFFF"/>
            <w:vAlign w:val="center"/>
          </w:tcPr>
          <w:p>
            <w:pPr>
              <w:jc w:val="center"/>
              <w:rPr>
                <w:b/>
                <w:bCs/>
                <w:sz w:val="20"/>
                <w:szCs w:val="20"/>
              </w:rPr>
            </w:pPr>
          </w:p>
        </w:tc>
        <w:tc>
          <w:tcPr>
            <w:tcW w:w="1417" w:type="dxa"/>
            <w:tcBorders>
              <w:top w:val="single" w:color="auto" w:sz="4" w:space="0"/>
            </w:tcBorders>
            <w:shd w:val="clear" w:color="FFFFFF" w:fill="FFFFFF"/>
            <w:vAlign w:val="center"/>
          </w:tcPr>
          <w:p>
            <w:pPr>
              <w:jc w:val="center"/>
              <w:rPr>
                <w:b/>
                <w:bCs/>
                <w:sz w:val="20"/>
                <w:szCs w:val="20"/>
              </w:rPr>
            </w:pPr>
          </w:p>
        </w:tc>
        <w:tc>
          <w:tcPr>
            <w:tcW w:w="1985" w:type="dxa"/>
            <w:tcBorders>
              <w:top w:val="single" w:color="auto" w:sz="4" w:space="0"/>
            </w:tcBorders>
            <w:shd w:val="clear" w:color="FFFFFF" w:fill="FFFFFF"/>
            <w:vAlign w:val="center"/>
          </w:tcPr>
          <w:p>
            <w:pPr>
              <w:jc w:val="center"/>
              <w:rPr>
                <w:b/>
                <w:bCs/>
                <w:sz w:val="20"/>
                <w:szCs w:val="20"/>
              </w:rPr>
            </w:pPr>
          </w:p>
        </w:tc>
        <w:tc>
          <w:tcPr>
            <w:tcW w:w="1984" w:type="dxa"/>
            <w:tcBorders>
              <w:top w:val="single" w:color="auto" w:sz="4" w:space="0"/>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财政拨款收入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2,522.52</w:t>
            </w:r>
          </w:p>
        </w:tc>
        <w:tc>
          <w:tcPr>
            <w:tcW w:w="1984" w:type="dxa"/>
            <w:shd w:val="clear" w:color="FFFFFF" w:fill="FFFFFF"/>
            <w:vAlign w:val="center"/>
          </w:tcPr>
          <w:p>
            <w:pPr>
              <w:pageBreakBefore w:val="0"/>
              <w:jc w:val="right"/>
              <w:textAlignment w:val="auto"/>
            </w:pPr>
            <w:r>
              <w:rPr>
                <w:b w:val="0"/>
                <w:i w:val="0"/>
                <w:color w:val="auto"/>
                <w:position w:val="-1"/>
                <w:sz w:val="20"/>
                <w:u w:val="none"/>
              </w:rPr>
              <w:t>2,365.37</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事业收入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附表17</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上级补助收入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附表25</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附属单位上缴收入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附表27</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经营收入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附表18</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非同级财政拨款收入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附表19</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投资收益</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附表5</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捐赠收入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利息收入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0.12</w:t>
            </w:r>
          </w:p>
        </w:tc>
        <w:tc>
          <w:tcPr>
            <w:tcW w:w="1984" w:type="dxa"/>
            <w:shd w:val="clear" w:color="FFFFFF" w:fill="FFFFFF"/>
            <w:vAlign w:val="center"/>
          </w:tcPr>
          <w:p>
            <w:pPr>
              <w:pageBreakBefore w:val="0"/>
              <w:jc w:val="right"/>
              <w:textAlignment w:val="auto"/>
            </w:pPr>
            <w:r>
              <w:rPr>
                <w:b w:val="0"/>
                <w:i w:val="0"/>
                <w:color w:val="auto"/>
                <w:position w:val="-1"/>
                <w:sz w:val="20"/>
                <w:u w:val="none"/>
              </w:rPr>
              <w:t>0.13</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租金收入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其他收入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附表20</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left"/>
              <w:textAlignment w:val="auto"/>
            </w:pPr>
            <w:r>
              <w:rPr>
                <w:rFonts w:ascii="Times New Roman" w:hAnsi="Times New Roman" w:eastAsia="Times New Roman" w:cs="Times New Roman"/>
                <w:b/>
                <w:i w:val="0"/>
                <w:color w:val="000000"/>
                <w:position w:val="-1"/>
                <w:sz w:val="20"/>
                <w:u w:val="none"/>
              </w:rPr>
              <w:t>收入合计</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2,522.64</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2,365.50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业务活动费用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附表21</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1,475.04</w:t>
            </w:r>
          </w:p>
        </w:tc>
        <w:tc>
          <w:tcPr>
            <w:tcW w:w="1984" w:type="dxa"/>
            <w:shd w:val="clear" w:color="FFFFFF" w:fill="FFFFFF"/>
            <w:vAlign w:val="center"/>
          </w:tcPr>
          <w:p>
            <w:pPr>
              <w:pageBreakBefore w:val="0"/>
              <w:jc w:val="right"/>
              <w:textAlignment w:val="auto"/>
            </w:pPr>
            <w:r>
              <w:rPr>
                <w:b w:val="0"/>
                <w:i w:val="0"/>
                <w:color w:val="auto"/>
                <w:position w:val="-1"/>
                <w:sz w:val="20"/>
                <w:u w:val="none"/>
              </w:rPr>
              <w:t>2,076.00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单位管理费用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附表22</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经营费用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附表23</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资产处置费用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上缴上级费用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附表28</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对附属单位补助费用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附表26</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所得税费用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其他费用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left"/>
              <w:textAlignment w:val="auto"/>
            </w:pPr>
            <w:r>
              <w:rPr>
                <w:rFonts w:ascii="Times New Roman" w:hAnsi="Times New Roman" w:eastAsia="Times New Roman" w:cs="Times New Roman"/>
                <w:b/>
                <w:i w:val="0"/>
                <w:color w:val="000000"/>
                <w:position w:val="-1"/>
                <w:sz w:val="20"/>
                <w:u w:val="none"/>
              </w:rPr>
              <w:t>费用合计</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1,475.04</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2,076.00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center"/>
              <w:textAlignment w:val="auto"/>
            </w:pPr>
            <w:r>
              <w:rPr>
                <w:rFonts w:ascii="Times New Roman" w:hAnsi="Times New Roman" w:eastAsia="Times New Roman" w:cs="Times New Roman"/>
                <w:b/>
                <w:i w:val="0"/>
                <w:color w:val="000000"/>
                <w:position w:val="-1"/>
                <w:sz w:val="20"/>
                <w:u w:val="none"/>
              </w:rPr>
              <w:t>本年盈余</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1,047.60</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289.50</w:t>
            </w:r>
          </w:p>
        </w:tc>
      </w:tr>
    </w:tbl>
    <w:p>
      <w:pPr>
        <w:pStyle w:val="110"/>
        <w:ind w:firstLine="0" w:firstLineChars="0"/>
        <w:rPr>
          <w:rFonts w:asciiTheme="minorEastAsia" w:hAnsiTheme="minorEastAsia" w:eastAsiaTheme="minorEastAsia"/>
          <w:sz w:val="22"/>
        </w:rPr>
      </w:pPr>
    </w:p>
    <w:p>
      <w:r>
        <w:rPr>
          <w:rFonts w:hint="eastAsia"/>
        </w:rPr>
        <w:t>表</w:t>
      </w:r>
      <w:r>
        <w:t>2</w:t>
      </w:r>
      <w:r>
        <w:rPr>
          <w:rFonts w:hint="eastAsia"/>
        </w:rPr>
        <w:t>-2</w:t>
      </w:r>
      <w:r>
        <w:rPr>
          <w:rStyle w:val="42"/>
        </w:rPr>
        <w:footnoteReference w:id="0"/>
      </w:r>
    </w:p>
    <w:p>
      <w:pPr>
        <w:spacing w:before="2" w:line="360" w:lineRule="auto"/>
        <w:ind w:firstLine="562" w:firstLineChars="200"/>
        <w:jc w:val="center"/>
        <w:outlineLvl w:val="2"/>
        <w:rPr>
          <w:rFonts w:cs="Times New Roman" w:asciiTheme="majorEastAsia" w:hAnsiTheme="majorEastAsia" w:eastAsiaTheme="majorEastAsia"/>
          <w:b/>
          <w:bCs/>
          <w:kern w:val="2"/>
          <w:sz w:val="28"/>
          <w:szCs w:val="28"/>
        </w:rPr>
      </w:pPr>
      <w:bookmarkStart w:id="42" w:name="_Toc35452579"/>
      <w:bookmarkStart w:id="43" w:name="_Toc35500805"/>
      <w:r>
        <w:rPr>
          <w:rFonts w:hint="eastAsia" w:cs="Times New Roman" w:asciiTheme="majorEastAsia" w:hAnsiTheme="majorEastAsia" w:eastAsiaTheme="majorEastAsia"/>
          <w:b/>
          <w:bCs/>
          <w:kern w:val="2"/>
          <w:sz w:val="28"/>
          <w:szCs w:val="28"/>
        </w:rPr>
        <w:t>收入费用表</w:t>
      </w:r>
      <w:r>
        <w:rPr>
          <w:rFonts w:cs="Times New Roman" w:asciiTheme="majorEastAsia" w:hAnsiTheme="majorEastAsia" w:eastAsiaTheme="majorEastAsia"/>
          <w:b/>
          <w:bCs/>
          <w:kern w:val="2"/>
          <w:sz w:val="28"/>
          <w:szCs w:val="28"/>
        </w:rPr>
        <w:t>（</w:t>
      </w:r>
      <w:r>
        <w:rPr>
          <w:rFonts w:hint="eastAsia" w:cs="Times New Roman" w:asciiTheme="majorEastAsia" w:hAnsiTheme="majorEastAsia" w:eastAsiaTheme="majorEastAsia"/>
          <w:b/>
          <w:bCs/>
          <w:kern w:val="2"/>
          <w:sz w:val="28"/>
          <w:szCs w:val="28"/>
        </w:rPr>
        <w:t>2</w:t>
      </w:r>
      <w:r>
        <w:rPr>
          <w:rFonts w:cs="Times New Roman" w:asciiTheme="majorEastAsia" w:hAnsiTheme="majorEastAsia" w:eastAsiaTheme="majorEastAsia"/>
          <w:b/>
          <w:bCs/>
          <w:kern w:val="2"/>
          <w:sz w:val="28"/>
          <w:szCs w:val="28"/>
        </w:rPr>
        <w:t>）</w:t>
      </w:r>
      <w:bookmarkEnd w:id="42"/>
      <w:bookmarkEnd w:id="43"/>
    </w:p>
    <w:p>
      <w:pPr>
        <w:tabs>
          <w:tab w:val="left" w:pos="4962"/>
          <w:tab w:val="left" w:pos="7150"/>
        </w:tabs>
        <w:adjustRightInd w:val="0"/>
        <w:snapToGrid w:val="0"/>
        <w:spacing w:line="320" w:lineRule="exact"/>
        <w:ind w:left="-425" w:leftChars="-177"/>
        <w:rPr>
          <w:b/>
          <w:bCs/>
          <w:sz w:val="20"/>
          <w:szCs w:val="20"/>
        </w:rPr>
      </w:pPr>
      <w:r>
        <w:rPr>
          <w:rFonts w:hint="eastAsia"/>
          <w:sz w:val="20"/>
          <w:szCs w:val="20"/>
        </w:rPr>
        <w:t>编制单位：内蒙古自治区呼伦贝尔市莫力达瓦达斡尔族自治旗阿尔拉镇人民政府</w:t>
      </w:r>
      <w:r>
        <w:rPr>
          <w:b/>
          <w:bCs/>
          <w:sz w:val="20"/>
          <w:szCs w:val="20"/>
        </w:rPr>
        <w:tab/>
      </w:r>
      <w:r>
        <w:rPr>
          <w:rFonts w:hint="eastAsia"/>
          <w:sz w:val="20"/>
          <w:szCs w:val="20"/>
        </w:rPr>
        <w:t>2020  年</w:t>
      </w:r>
      <w:r>
        <w:rPr>
          <w:b/>
          <w:bCs/>
          <w:sz w:val="20"/>
          <w:szCs w:val="20"/>
        </w:rPr>
        <w:tab/>
      </w:r>
      <w:r>
        <w:rPr>
          <w:rFonts w:hint="eastAsia"/>
          <w:sz w:val="20"/>
          <w:szCs w:val="20"/>
        </w:rPr>
        <w:t>单位：万元</w:t>
      </w:r>
    </w:p>
    <w:tbl>
      <w:tblPr>
        <w:tblStyle w:val="34"/>
        <w:tblW w:w="9073" w:type="dxa"/>
        <w:tblInd w:w="-318" w:type="dxa"/>
        <w:tblLayout w:type="fixed"/>
        <w:tblCellMar>
          <w:top w:w="0" w:type="dxa"/>
          <w:left w:w="108" w:type="dxa"/>
          <w:bottom w:w="0" w:type="dxa"/>
          <w:right w:w="108" w:type="dxa"/>
        </w:tblCellMar>
      </w:tblPr>
      <w:tblGrid>
        <w:gridCol w:w="3687"/>
        <w:gridCol w:w="1417"/>
        <w:gridCol w:w="1985"/>
        <w:gridCol w:w="1984"/>
      </w:tblGrid>
      <w:tr>
        <w:tblPrEx>
          <w:tblCellMar>
            <w:top w:w="0" w:type="dxa"/>
            <w:left w:w="108" w:type="dxa"/>
            <w:bottom w:w="0" w:type="dxa"/>
            <w:right w:w="108" w:type="dxa"/>
          </w:tblCellMar>
        </w:tblPrEx>
        <w:trPr>
          <w:trHeight w:val="397" w:hRule="atLeast"/>
          <w:tblHeader/>
        </w:trPr>
        <w:tc>
          <w:tcPr>
            <w:tcW w:w="3687"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项目</w:t>
            </w:r>
          </w:p>
        </w:tc>
        <w:tc>
          <w:tcPr>
            <w:tcW w:w="1417"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附注</w:t>
            </w:r>
          </w:p>
        </w:tc>
        <w:tc>
          <w:tcPr>
            <w:tcW w:w="1985"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本年数</w:t>
            </w:r>
          </w:p>
        </w:tc>
        <w:tc>
          <w:tcPr>
            <w:tcW w:w="1984"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上年数</w:t>
            </w:r>
          </w:p>
        </w:tc>
      </w:tr>
      <w:tr>
        <w:tblPrEx>
          <w:tblCellMar>
            <w:top w:w="0" w:type="dxa"/>
            <w:left w:w="108" w:type="dxa"/>
            <w:bottom w:w="0" w:type="dxa"/>
            <w:right w:w="108" w:type="dxa"/>
          </w:tblCellMar>
        </w:tblPrEx>
        <w:trPr>
          <w:trHeight w:val="20" w:hRule="exact"/>
          <w:tblHeader/>
        </w:trPr>
        <w:tc>
          <w:tcPr>
            <w:tcW w:w="3687" w:type="dxa"/>
            <w:tcBorders>
              <w:top w:val="single" w:color="auto" w:sz="4" w:space="0"/>
            </w:tcBorders>
            <w:shd w:val="clear" w:color="FFFFFF" w:fill="FFFFFF"/>
            <w:vAlign w:val="center"/>
          </w:tcPr>
          <w:p>
            <w:pPr>
              <w:jc w:val="center"/>
              <w:rPr>
                <w:b/>
                <w:bCs/>
                <w:sz w:val="20"/>
                <w:szCs w:val="20"/>
              </w:rPr>
            </w:pPr>
          </w:p>
        </w:tc>
        <w:tc>
          <w:tcPr>
            <w:tcW w:w="1417" w:type="dxa"/>
            <w:tcBorders>
              <w:top w:val="single" w:color="auto" w:sz="4" w:space="0"/>
            </w:tcBorders>
            <w:shd w:val="clear" w:color="FFFFFF" w:fill="FFFFFF"/>
            <w:vAlign w:val="center"/>
          </w:tcPr>
          <w:p>
            <w:pPr>
              <w:jc w:val="center"/>
              <w:rPr>
                <w:b/>
                <w:bCs/>
                <w:sz w:val="20"/>
                <w:szCs w:val="20"/>
              </w:rPr>
            </w:pPr>
          </w:p>
        </w:tc>
        <w:tc>
          <w:tcPr>
            <w:tcW w:w="1985" w:type="dxa"/>
            <w:tcBorders>
              <w:top w:val="single" w:color="auto" w:sz="4" w:space="0"/>
            </w:tcBorders>
            <w:shd w:val="clear" w:color="FFFFFF" w:fill="FFFFFF"/>
            <w:vAlign w:val="center"/>
          </w:tcPr>
          <w:p>
            <w:pPr>
              <w:jc w:val="center"/>
              <w:rPr>
                <w:b/>
                <w:bCs/>
                <w:sz w:val="20"/>
                <w:szCs w:val="20"/>
              </w:rPr>
            </w:pPr>
          </w:p>
        </w:tc>
        <w:tc>
          <w:tcPr>
            <w:tcW w:w="1984" w:type="dxa"/>
            <w:tcBorders>
              <w:top w:val="single" w:color="auto" w:sz="4" w:space="0"/>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财政拨款收入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2,522.52</w:t>
            </w:r>
          </w:p>
        </w:tc>
        <w:tc>
          <w:tcPr>
            <w:tcW w:w="1984" w:type="dxa"/>
            <w:shd w:val="clear" w:color="FFFFFF" w:fill="FFFFFF"/>
            <w:vAlign w:val="center"/>
          </w:tcPr>
          <w:p>
            <w:pPr>
              <w:pageBreakBefore w:val="0"/>
              <w:jc w:val="right"/>
              <w:textAlignment w:val="auto"/>
            </w:pPr>
            <w:r>
              <w:rPr>
                <w:b w:val="0"/>
                <w:i w:val="0"/>
                <w:color w:val="auto"/>
                <w:position w:val="-1"/>
                <w:sz w:val="20"/>
                <w:u w:val="none"/>
              </w:rPr>
              <w:t>2,365.37</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事业收入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附表17</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上级补助收入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附表25</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附属单位上缴收入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附表27</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经营收入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附表18</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非同级财政拨款收入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附表19</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投资收益</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附表5</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捐赠收入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利息收入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0.12</w:t>
            </w:r>
          </w:p>
        </w:tc>
        <w:tc>
          <w:tcPr>
            <w:tcW w:w="1984" w:type="dxa"/>
            <w:shd w:val="clear" w:color="FFFFFF" w:fill="FFFFFF"/>
            <w:vAlign w:val="center"/>
          </w:tcPr>
          <w:p>
            <w:pPr>
              <w:pageBreakBefore w:val="0"/>
              <w:jc w:val="right"/>
              <w:textAlignment w:val="auto"/>
            </w:pPr>
            <w:r>
              <w:rPr>
                <w:b w:val="0"/>
                <w:i w:val="0"/>
                <w:color w:val="auto"/>
                <w:position w:val="-1"/>
                <w:sz w:val="20"/>
                <w:u w:val="none"/>
              </w:rPr>
              <w:t>0.13</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租金收入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其他收入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附表20</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left"/>
              <w:textAlignment w:val="auto"/>
            </w:pPr>
            <w:r>
              <w:rPr>
                <w:b/>
                <w:i w:val="0"/>
                <w:color w:val="auto"/>
                <w:position w:val="-1"/>
                <w:sz w:val="20"/>
                <w:u w:val="none"/>
              </w:rPr>
              <w:t>收入合计</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2,522.64</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2,365.50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工资福利费用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182.34</w:t>
            </w:r>
          </w:p>
        </w:tc>
        <w:tc>
          <w:tcPr>
            <w:tcW w:w="1984" w:type="dxa"/>
            <w:shd w:val="clear" w:color="FFFFFF" w:fill="FFFFFF"/>
            <w:vAlign w:val="center"/>
          </w:tcPr>
          <w:p>
            <w:pPr>
              <w:pageBreakBefore w:val="0"/>
              <w:jc w:val="right"/>
              <w:textAlignment w:val="auto"/>
            </w:pPr>
            <w:r>
              <w:rPr>
                <w:b w:val="0"/>
                <w:i w:val="0"/>
                <w:color w:val="auto"/>
                <w:position w:val="-1"/>
                <w:sz w:val="20"/>
                <w:u w:val="none"/>
              </w:rPr>
              <w:t>24.65</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商品和服务费用</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附表24</w:t>
            </w:r>
          </w:p>
        </w:tc>
        <w:tc>
          <w:tcPr>
            <w:tcW w:w="1985" w:type="dxa"/>
            <w:shd w:val="clear" w:color="FFFFFF" w:fill="FFFFFF"/>
            <w:vAlign w:val="center"/>
          </w:tcPr>
          <w:p>
            <w:pPr>
              <w:pageBreakBefore w:val="0"/>
              <w:jc w:val="right"/>
              <w:textAlignment w:val="auto"/>
            </w:pPr>
            <w:r>
              <w:rPr>
                <w:b w:val="0"/>
                <w:i w:val="0"/>
                <w:color w:val="auto"/>
                <w:position w:val="-1"/>
                <w:sz w:val="20"/>
                <w:u w:val="none"/>
              </w:rPr>
              <w:t>1,285.35</w:t>
            </w:r>
          </w:p>
        </w:tc>
        <w:tc>
          <w:tcPr>
            <w:tcW w:w="1984" w:type="dxa"/>
            <w:shd w:val="clear" w:color="FFFFFF" w:fill="FFFFFF"/>
            <w:vAlign w:val="center"/>
          </w:tcPr>
          <w:p>
            <w:pPr>
              <w:pageBreakBefore w:val="0"/>
              <w:jc w:val="right"/>
              <w:textAlignment w:val="auto"/>
            </w:pPr>
            <w:r>
              <w:rPr>
                <w:b w:val="0"/>
                <w:i w:val="0"/>
                <w:color w:val="auto"/>
                <w:position w:val="-1"/>
                <w:sz w:val="20"/>
                <w:u w:val="none"/>
              </w:rPr>
              <w:t>2,042.34</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对个人和家庭的补助费用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对企业补助费用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固定资产折旧费用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7.35</w:t>
            </w:r>
          </w:p>
        </w:tc>
        <w:tc>
          <w:tcPr>
            <w:tcW w:w="1984" w:type="dxa"/>
            <w:shd w:val="clear" w:color="FFFFFF" w:fill="FFFFFF"/>
            <w:vAlign w:val="center"/>
          </w:tcPr>
          <w:p>
            <w:pPr>
              <w:pageBreakBefore w:val="0"/>
              <w:jc w:val="right"/>
              <w:textAlignment w:val="auto"/>
            </w:pPr>
            <w:r>
              <w:rPr>
                <w:b w:val="0"/>
                <w:i w:val="0"/>
                <w:color w:val="auto"/>
                <w:position w:val="-1"/>
                <w:sz w:val="20"/>
                <w:u w:val="none"/>
              </w:rPr>
              <w:t>9.01</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无形资产摊销费用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公共基础设施折旧（摊销）费用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保障性住房折旧费用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计提专用基金</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资产处置费用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上缴上级费用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对附属单位补助费用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所得税费用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其他费用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left"/>
              <w:textAlignment w:val="auto"/>
            </w:pPr>
            <w:r>
              <w:rPr>
                <w:b/>
                <w:i w:val="0"/>
                <w:color w:val="auto"/>
                <w:position w:val="-1"/>
                <w:sz w:val="20"/>
                <w:u w:val="none"/>
              </w:rPr>
              <w:t>费用合计</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1,475.04</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2,076.00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center"/>
              <w:textAlignment w:val="auto"/>
            </w:pPr>
            <w:r>
              <w:rPr>
                <w:b/>
                <w:i w:val="0"/>
                <w:color w:val="auto"/>
                <w:position w:val="-1"/>
                <w:sz w:val="20"/>
                <w:u w:val="none"/>
              </w:rPr>
              <w:t>本年盈余</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1,047.60</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289.50</w:t>
            </w:r>
          </w:p>
        </w:tc>
      </w:tr>
    </w:tbl>
    <w:p>
      <w:pPr>
        <w:rPr>
          <w:sz w:val="22"/>
          <w:szCs w:val="22"/>
        </w:rPr>
      </w:pPr>
    </w:p>
    <w:p>
      <w:pPr>
        <w:rPr>
          <w:position w:val="9"/>
          <w:sz w:val="9"/>
          <w:szCs w:val="9"/>
        </w:rPr>
      </w:pPr>
    </w:p>
    <w:p>
      <w:pPr>
        <w:rPr>
          <w:position w:val="9"/>
          <w:sz w:val="9"/>
          <w:szCs w:val="9"/>
        </w:rPr>
      </w:pPr>
    </w:p>
    <w:p/>
    <w:p/>
    <w:p/>
    <w:p/>
    <w:p/>
    <w:p/>
    <w:p/>
    <w:p/>
    <w:p>
      <w:pPr>
        <w:spacing w:before="57" w:line="331" w:lineRule="auto"/>
        <w:ind w:left="217" w:right="371" w:hanging="1"/>
        <w:rPr>
          <w:sz w:val="18"/>
          <w:szCs w:val="18"/>
        </w:rPr>
      </w:pPr>
    </w:p>
    <w:p>
      <w:pPr>
        <w:spacing w:before="57" w:line="331" w:lineRule="auto"/>
        <w:ind w:left="217" w:right="371" w:hanging="1"/>
        <w:rPr>
          <w:sz w:val="18"/>
          <w:szCs w:val="18"/>
        </w:rPr>
      </w:pPr>
    </w:p>
    <w:p>
      <w:pPr>
        <w:spacing w:before="57" w:line="331" w:lineRule="auto"/>
        <w:ind w:left="217" w:right="371" w:hanging="1"/>
        <w:rPr>
          <w:sz w:val="18"/>
          <w:szCs w:val="18"/>
        </w:rPr>
      </w:pPr>
    </w:p>
    <w:p>
      <w:pPr>
        <w:spacing w:before="57" w:line="331" w:lineRule="auto"/>
        <w:ind w:left="217" w:right="371" w:hanging="1"/>
        <w:rPr>
          <w:sz w:val="18"/>
          <w:szCs w:val="18"/>
        </w:rPr>
      </w:pPr>
    </w:p>
    <w:p>
      <w:pPr>
        <w:spacing w:before="57" w:line="331" w:lineRule="auto"/>
        <w:ind w:left="217" w:right="371" w:hanging="1"/>
        <w:rPr>
          <w:sz w:val="18"/>
          <w:szCs w:val="18"/>
        </w:rPr>
      </w:pPr>
    </w:p>
    <w:p>
      <w:pPr>
        <w:pStyle w:val="3"/>
        <w:spacing w:before="0" w:after="0" w:line="360" w:lineRule="auto"/>
        <w:ind w:firstLine="602" w:firstLineChars="200"/>
        <w:jc w:val="left"/>
        <w:rPr>
          <w:rFonts w:asciiTheme="minorEastAsia" w:hAnsiTheme="minorEastAsia" w:eastAsiaTheme="minorEastAsia"/>
        </w:rPr>
      </w:pPr>
      <w:bookmarkStart w:id="44" w:name="_Toc35500806"/>
      <w:bookmarkStart w:id="45" w:name="_Toc35452580"/>
      <w:bookmarkStart w:id="46" w:name="_Toc333610272"/>
      <w:r>
        <w:rPr>
          <w:rFonts w:asciiTheme="minorEastAsia" w:hAnsiTheme="minorEastAsia" w:eastAsiaTheme="minorEastAsia"/>
        </w:rPr>
        <w:t>（二）政府部门会计报表附注</w:t>
      </w:r>
      <w:bookmarkEnd w:id="44"/>
      <w:bookmarkEnd w:id="45"/>
    </w:p>
    <w:p>
      <w:pPr>
        <w:pStyle w:val="4"/>
        <w:spacing w:before="0" w:after="0" w:line="360" w:lineRule="auto"/>
        <w:ind w:firstLine="602"/>
        <w:jc w:val="left"/>
        <w:rPr>
          <w:rFonts w:ascii="仿宋" w:hAnsi="仿宋" w:eastAsia="仿宋"/>
          <w:b/>
        </w:rPr>
      </w:pPr>
      <w:bookmarkStart w:id="47" w:name="1.会计报表编制基础。（略）"/>
      <w:bookmarkEnd w:id="47"/>
      <w:bookmarkStart w:id="48" w:name="2.遵循相关制度规定的声明。（略）"/>
      <w:bookmarkEnd w:id="48"/>
      <w:bookmarkStart w:id="49" w:name="_Toc35452581"/>
      <w:bookmarkStart w:id="50" w:name="_Toc35500807"/>
      <w:bookmarkStart w:id="51" w:name="_Toc35452582"/>
      <w:r>
        <w:rPr>
          <w:rFonts w:ascii="仿宋" w:hAnsi="仿宋" w:eastAsia="仿宋"/>
          <w:b/>
        </w:rPr>
        <w:t>1.会计报表编制基础。</w:t>
      </w:r>
      <w:bookmarkEnd w:id="49"/>
      <w:bookmarkEnd w:id="50"/>
    </w:p>
    <w:p>
      <w:pPr>
        <w:pStyle w:val="110"/>
        <w:ind w:firstLine="602"/>
        <w:jc w:val="both"/>
        <w:rPr>
          <w:rFonts w:hint="eastAsia" w:eastAsia="仿宋_GB2312"/>
          <w:color w:val="000000" w:themeColor="text1"/>
          <w:lang w:eastAsia="zh-CN"/>
          <w14:textFill>
            <w14:solidFill>
              <w14:schemeClr w14:val="tx1"/>
            </w14:solidFill>
          </w14:textFill>
        </w:rPr>
      </w:pPr>
      <w:r>
        <w:rPr>
          <w:rFonts w:hint="eastAsia" w:ascii="仿宋_GB2312" w:hAnsi="仿宋_GB2312" w:cs="仿宋_GB2312"/>
          <w:color w:val="000000" w:themeColor="text1"/>
          <w:szCs w:val="30"/>
          <w14:textFill>
            <w14:solidFill>
              <w14:schemeClr w14:val="tx1"/>
            </w14:solidFill>
          </w14:textFill>
        </w:rPr>
        <w:t>内蒙古自治区呼伦贝尔市莫力达瓦达斡尔族自治旗阿尔拉镇人民政府政府部门会计报表以权责发生制为基础编制</w:t>
      </w:r>
      <w:r>
        <w:rPr>
          <w:rFonts w:hint="eastAsia" w:ascii="仿宋_GB2312" w:hAnsi="仿宋_GB2312" w:cs="仿宋_GB2312"/>
          <w:color w:val="000000" w:themeColor="text1"/>
          <w:szCs w:val="30"/>
          <w:lang w:eastAsia="zh-CN"/>
          <w14:textFill>
            <w14:solidFill>
              <w14:schemeClr w14:val="tx1"/>
            </w14:solidFill>
          </w14:textFill>
        </w:rPr>
        <w:t>。</w:t>
      </w:r>
    </w:p>
    <w:p>
      <w:pPr>
        <w:spacing w:before="2"/>
        <w:rPr>
          <w:rFonts w:ascii="仿宋" w:hAnsi="仿宋" w:eastAsia="仿宋" w:cs="Times New Roman"/>
          <w:b/>
          <w:bCs/>
          <w:color w:val="000000" w:themeColor="text1"/>
          <w:kern w:val="2"/>
          <w:sz w:val="30"/>
          <w:szCs w:val="28"/>
          <w14:textFill>
            <w14:solidFill>
              <w14:schemeClr w14:val="tx1"/>
            </w14:solidFill>
          </w14:textFill>
        </w:rPr>
      </w:pPr>
    </w:p>
    <w:p>
      <w:pPr>
        <w:spacing w:before="2"/>
        <w:rPr>
          <w:rFonts w:ascii="仿宋" w:hAnsi="仿宋" w:eastAsia="仿宋" w:cs="Times New Roman"/>
          <w:b/>
          <w:bCs/>
          <w:kern w:val="2"/>
          <w:sz w:val="30"/>
          <w:szCs w:val="28"/>
        </w:rPr>
      </w:pPr>
    </w:p>
    <w:p>
      <w:pPr>
        <w:pStyle w:val="4"/>
        <w:spacing w:before="0" w:after="0" w:line="360" w:lineRule="auto"/>
        <w:ind w:firstLine="602"/>
        <w:jc w:val="left"/>
        <w:rPr>
          <w:rFonts w:ascii="仿宋" w:hAnsi="仿宋" w:eastAsia="仿宋"/>
          <w:b/>
        </w:rPr>
      </w:pPr>
      <w:bookmarkStart w:id="52" w:name="_Toc35500808"/>
      <w:r>
        <w:rPr>
          <w:rFonts w:ascii="仿宋" w:hAnsi="仿宋" w:eastAsia="仿宋"/>
          <w:b/>
        </w:rPr>
        <w:t>2.遵循相关制度规定的声明。</w:t>
      </w:r>
      <w:bookmarkEnd w:id="51"/>
      <w:bookmarkEnd w:id="52"/>
    </w:p>
    <w:p>
      <w:pPr>
        <w:pStyle w:val="110"/>
        <w:spacing w:line="360" w:lineRule="auto"/>
        <w:ind w:firstLine="600"/>
        <w:jc w:val="both"/>
        <w:rPr>
          <w:rFonts w:ascii="仿宋_GB2312" w:hAnsi="仿宋_GB2312" w:cs="仿宋_GB2312"/>
          <w:color w:val="000000" w:themeColor="text1"/>
          <w:szCs w:val="30"/>
          <w14:textFill>
            <w14:solidFill>
              <w14:schemeClr w14:val="tx1"/>
            </w14:solidFill>
          </w14:textFill>
        </w:rPr>
      </w:pPr>
      <w:bookmarkStart w:id="53" w:name="3.合并范围。（略）"/>
      <w:bookmarkEnd w:id="53"/>
      <w:bookmarkStart w:id="54" w:name="_Toc35452583"/>
      <w:bookmarkStart w:id="55" w:name="_Toc35500809"/>
      <w:r>
        <w:rPr>
          <w:rFonts w:hint="eastAsia" w:ascii="仿宋_GB2312" w:hAnsi="仿宋_GB2312" w:cs="仿宋_GB2312"/>
          <w:color w:val="000000" w:themeColor="text1"/>
          <w:szCs w:val="30"/>
          <w14:textFill>
            <w14:solidFill>
              <w14:schemeClr w14:val="tx1"/>
            </w14:solidFill>
          </w14:textFill>
        </w:rPr>
        <w:t>内蒙古自治区呼伦贝尔市莫力达瓦达斡尔族自治旗阿尔拉镇人民政府政府部门声明编制的会计报表符合政府会计准则、相关会计制度和财务报告编制规定的要求，如实反映政府部门的财务状况、运行情况等有关信息。</w:t>
      </w:r>
    </w:p>
    <w:p>
      <w:pPr>
        <w:pStyle w:val="4"/>
        <w:numPr>
          <w:ilvl w:val="0"/>
          <w:numId w:val="1"/>
        </w:numPr>
        <w:spacing w:before="0" w:after="0" w:line="360" w:lineRule="auto"/>
        <w:ind w:firstLine="602"/>
        <w:jc w:val="left"/>
        <w:rPr>
          <w:rFonts w:ascii="仿宋" w:hAnsi="仿宋" w:eastAsia="仿宋"/>
          <w:b/>
          <w:i w:val="0"/>
          <w:iCs w:val="0"/>
        </w:rPr>
      </w:pPr>
      <w:r>
        <w:rPr>
          <w:rFonts w:ascii="仿宋" w:hAnsi="仿宋" w:eastAsia="仿宋"/>
          <w:b/>
          <w:i w:val="0"/>
          <w:iCs w:val="0"/>
        </w:rPr>
        <w:t>合并范围。</w:t>
      </w:r>
      <w:bookmarkEnd w:id="54"/>
      <w:bookmarkEnd w:id="55"/>
    </w:p>
    <w:tbl>
      <w:tblPr>
        <w:tblStyle w:val="34"/>
        <w:tblW w:w="8622" w:type="dxa"/>
        <w:jc w:val="center"/>
        <w:tblLayout w:type="fixed"/>
        <w:tblCellMar>
          <w:top w:w="0" w:type="dxa"/>
          <w:left w:w="0" w:type="dxa"/>
          <w:bottom w:w="0" w:type="dxa"/>
          <w:right w:w="0" w:type="dxa"/>
        </w:tblCellMar>
      </w:tblPr>
      <w:tblGrid>
        <w:gridCol w:w="1031"/>
        <w:gridCol w:w="3910"/>
        <w:gridCol w:w="2230"/>
        <w:gridCol w:w="1451"/>
      </w:tblGrid>
      <w:tr>
        <w:tblPrEx>
          <w:tblCellMar>
            <w:top w:w="0" w:type="dxa"/>
            <w:left w:w="0" w:type="dxa"/>
            <w:bottom w:w="0" w:type="dxa"/>
            <w:right w:w="0" w:type="dxa"/>
          </w:tblCellMar>
        </w:tblPrEx>
        <w:trPr>
          <w:trHeight w:val="23" w:hRule="atLeast"/>
          <w:jc w:val="center"/>
        </w:trPr>
        <w:tc>
          <w:tcPr>
            <w:tcW w:w="8622" w:type="dxa"/>
            <w:gridSpan w:val="4"/>
            <w:tcBorders>
              <w:top w:val="nil"/>
              <w:left w:val="nil"/>
              <w:bottom w:val="single" w:color="auto" w:sz="4" w:space="0"/>
              <w:right w:val="nil"/>
            </w:tcBorders>
            <w:shd w:val="clear" w:color="FFFFFF" w:fill="FFFFFF"/>
          </w:tcPr>
          <w:p>
            <w:pPr>
              <w:pStyle w:val="144"/>
              <w:spacing w:line="260" w:lineRule="exact"/>
              <w:jc w:val="center"/>
              <w:rPr>
                <w:rFonts w:ascii="宋体" w:hAnsi="宋体" w:eastAsia="宋体" w:cs="宋体"/>
                <w:b/>
                <w:bCs/>
                <w:sz w:val="20"/>
                <w:szCs w:val="20"/>
              </w:rPr>
            </w:pPr>
            <w:r>
              <w:rPr>
                <w:rFonts w:hint="eastAsia" w:ascii="宋体" w:hAnsi="宋体" w:eastAsia="宋体" w:cs="宋体"/>
                <w:b/>
                <w:bCs/>
                <w:sz w:val="20"/>
                <w:szCs w:val="20"/>
                <w:lang w:val="en-US" w:eastAsia="zh-CN"/>
              </w:rPr>
              <w:t>2020</w:t>
            </w:r>
            <w:r>
              <w:rPr>
                <w:rFonts w:ascii="宋体" w:hAnsi="宋体" w:eastAsia="宋体" w:cs="宋体"/>
                <w:b/>
                <w:bCs/>
                <w:sz w:val="20"/>
                <w:szCs w:val="20"/>
              </w:rPr>
              <w:t>年度部门清单</w:t>
            </w:r>
          </w:p>
        </w:tc>
      </w:tr>
      <w:tr>
        <w:tblPrEx>
          <w:tblCellMar>
            <w:top w:w="0" w:type="dxa"/>
            <w:left w:w="0" w:type="dxa"/>
            <w:bottom w:w="0" w:type="dxa"/>
            <w:right w:w="0" w:type="dxa"/>
          </w:tblCellMar>
        </w:tblPrEx>
        <w:trPr>
          <w:trHeight w:val="23" w:hRule="atLeast"/>
          <w:jc w:val="center"/>
        </w:trPr>
        <w:tc>
          <w:tcPr>
            <w:tcW w:w="1031" w:type="dxa"/>
            <w:tcBorders>
              <w:top w:val="single" w:color="auto" w:sz="4" w:space="0"/>
              <w:left w:val="nil"/>
              <w:bottom w:val="single" w:color="auto" w:sz="4" w:space="0"/>
              <w:right w:val="nil"/>
            </w:tcBorders>
            <w:shd w:val="clear" w:color="FFFFFF" w:fill="FFFFFF"/>
          </w:tcPr>
          <w:p>
            <w:pPr>
              <w:pStyle w:val="144"/>
              <w:spacing w:before="40"/>
              <w:jc w:val="center"/>
              <w:rPr>
                <w:rFonts w:ascii="宋体" w:hAnsi="宋体" w:eastAsia="宋体" w:cs="宋体"/>
                <w:sz w:val="20"/>
                <w:szCs w:val="20"/>
              </w:rPr>
            </w:pPr>
            <w:r>
              <w:rPr>
                <w:rFonts w:ascii="宋体" w:hAnsi="宋体" w:eastAsia="宋体" w:cs="宋体"/>
                <w:b/>
                <w:bCs/>
                <w:sz w:val="20"/>
                <w:szCs w:val="20"/>
              </w:rPr>
              <w:t>序号</w:t>
            </w:r>
          </w:p>
        </w:tc>
        <w:tc>
          <w:tcPr>
            <w:tcW w:w="3910" w:type="dxa"/>
            <w:tcBorders>
              <w:top w:val="single" w:color="auto" w:sz="4" w:space="0"/>
              <w:left w:val="nil"/>
              <w:bottom w:val="single" w:color="auto" w:sz="4" w:space="0"/>
              <w:right w:val="nil"/>
            </w:tcBorders>
            <w:shd w:val="clear" w:color="FFFFFF" w:fill="FFFFFF"/>
          </w:tcPr>
          <w:p>
            <w:pPr>
              <w:pStyle w:val="144"/>
              <w:spacing w:before="40"/>
              <w:jc w:val="center"/>
              <w:rPr>
                <w:rFonts w:ascii="宋体" w:hAnsi="宋体" w:eastAsia="宋体" w:cs="宋体"/>
                <w:sz w:val="20"/>
                <w:szCs w:val="20"/>
              </w:rPr>
            </w:pPr>
            <w:r>
              <w:rPr>
                <w:rFonts w:hint="eastAsia" w:ascii="宋体" w:hAnsi="宋体" w:eastAsia="宋体" w:cs="宋体"/>
                <w:b/>
                <w:bCs/>
                <w:sz w:val="20"/>
                <w:szCs w:val="20"/>
              </w:rPr>
              <w:t>单位名称</w:t>
            </w:r>
          </w:p>
        </w:tc>
        <w:tc>
          <w:tcPr>
            <w:tcW w:w="2230" w:type="dxa"/>
            <w:tcBorders>
              <w:top w:val="single" w:color="auto" w:sz="4" w:space="0"/>
              <w:left w:val="nil"/>
              <w:bottom w:val="single" w:color="auto" w:sz="4" w:space="0"/>
              <w:right w:val="nil"/>
            </w:tcBorders>
            <w:shd w:val="clear" w:color="FFFFFF" w:fill="FFFFFF"/>
          </w:tcPr>
          <w:p>
            <w:pPr>
              <w:pStyle w:val="144"/>
              <w:spacing w:before="40"/>
              <w:jc w:val="center"/>
              <w:rPr>
                <w:rFonts w:hint="default" w:ascii="宋体" w:hAnsi="宋体" w:eastAsia="宋体" w:cs="宋体"/>
                <w:b/>
                <w:bCs/>
                <w:sz w:val="20"/>
                <w:szCs w:val="20"/>
                <w:lang w:val="en-US" w:eastAsia="zh-CN"/>
              </w:rPr>
            </w:pPr>
            <w:r>
              <w:rPr>
                <w:rFonts w:hint="eastAsia" w:ascii="宋体" w:hAnsi="宋体" w:eastAsia="宋体" w:cs="宋体"/>
                <w:b/>
                <w:bCs/>
                <w:sz w:val="20"/>
                <w:szCs w:val="20"/>
                <w:lang w:val="en-US" w:eastAsia="zh-CN"/>
              </w:rPr>
              <w:t>单位性质</w:t>
            </w:r>
          </w:p>
        </w:tc>
        <w:tc>
          <w:tcPr>
            <w:tcW w:w="1451" w:type="dxa"/>
            <w:tcBorders>
              <w:top w:val="single" w:color="auto" w:sz="4" w:space="0"/>
              <w:left w:val="nil"/>
              <w:bottom w:val="single" w:color="auto" w:sz="4" w:space="0"/>
              <w:right w:val="nil"/>
            </w:tcBorders>
            <w:shd w:val="clear" w:color="FFFFFF" w:fill="FFFFFF"/>
          </w:tcPr>
          <w:p>
            <w:pPr>
              <w:pStyle w:val="144"/>
              <w:spacing w:before="40"/>
              <w:jc w:val="center"/>
              <w:rPr>
                <w:rFonts w:ascii="宋体" w:hAnsi="宋体" w:eastAsia="宋体" w:cs="宋体"/>
                <w:sz w:val="20"/>
                <w:szCs w:val="20"/>
              </w:rPr>
            </w:pPr>
            <w:r>
              <w:rPr>
                <w:rFonts w:hint="eastAsia" w:ascii="宋体" w:hAnsi="宋体" w:eastAsia="宋体" w:cs="宋体"/>
                <w:b/>
                <w:bCs/>
                <w:sz w:val="20"/>
                <w:szCs w:val="20"/>
              </w:rPr>
              <w:t>实有人数</w:t>
            </w:r>
          </w:p>
        </w:tc>
      </w:tr>
      <w:tr>
        <w:tblPrEx>
          <w:tblCellMar>
            <w:top w:w="0" w:type="dxa"/>
            <w:left w:w="0" w:type="dxa"/>
            <w:bottom w:w="0" w:type="dxa"/>
            <w:right w:w="0" w:type="dxa"/>
          </w:tblCellMar>
        </w:tblPrEx>
        <w:trPr>
          <w:trHeight w:val="23" w:hRule="exact"/>
          <w:jc w:val="center"/>
        </w:trPr>
        <w:tc>
          <w:tcPr>
            <w:tcW w:w="1031" w:type="dxa"/>
            <w:tcBorders>
              <w:top w:val="single" w:color="auto" w:sz="4" w:space="0"/>
              <w:left w:val="nil"/>
              <w:bottom w:val="nil"/>
              <w:right w:val="nil"/>
            </w:tcBorders>
            <w:shd w:val="clear" w:color="FFFFFF" w:fill="FFFFFF"/>
          </w:tcPr>
          <w:p>
            <w:pPr>
              <w:pStyle w:val="144"/>
              <w:spacing w:before="40"/>
              <w:ind w:left="460"/>
              <w:rPr>
                <w:rFonts w:ascii="宋体" w:hAnsi="宋体" w:eastAsia="宋体" w:cs="宋体"/>
                <w:b/>
                <w:bCs/>
                <w:sz w:val="20"/>
                <w:szCs w:val="20"/>
              </w:rPr>
            </w:pPr>
          </w:p>
        </w:tc>
        <w:tc>
          <w:tcPr>
            <w:tcW w:w="3910" w:type="dxa"/>
            <w:tcBorders>
              <w:top w:val="single" w:color="auto" w:sz="4" w:space="0"/>
              <w:left w:val="nil"/>
              <w:bottom w:val="nil"/>
              <w:right w:val="single" w:color="auto" w:sz="4" w:space="0"/>
            </w:tcBorders>
            <w:shd w:val="clear" w:color="FFFFFF" w:fill="FFFFFF"/>
          </w:tcPr>
          <w:p>
            <w:pPr>
              <w:pStyle w:val="144"/>
              <w:spacing w:before="40"/>
              <w:ind w:left="759"/>
              <w:rPr>
                <w:rFonts w:ascii="宋体" w:hAnsi="宋体" w:eastAsia="宋体" w:cs="宋体"/>
                <w:b/>
                <w:bCs/>
                <w:sz w:val="20"/>
                <w:szCs w:val="20"/>
              </w:rPr>
            </w:pPr>
          </w:p>
        </w:tc>
        <w:tc>
          <w:tcPr>
            <w:tcW w:w="2230" w:type="dxa"/>
            <w:tcBorders>
              <w:top w:val="single" w:color="auto" w:sz="4" w:space="0"/>
              <w:left w:val="single" w:color="auto" w:sz="4" w:space="0"/>
              <w:bottom w:val="nil"/>
              <w:right w:val="nil"/>
            </w:tcBorders>
            <w:shd w:val="clear" w:color="FFFFFF" w:fill="FFFFFF"/>
          </w:tcPr>
          <w:p>
            <w:pPr>
              <w:pStyle w:val="144"/>
              <w:spacing w:before="40"/>
              <w:ind w:left="759"/>
              <w:rPr>
                <w:rFonts w:ascii="宋体" w:hAnsi="宋体" w:eastAsia="宋体" w:cs="宋体"/>
                <w:b/>
                <w:bCs/>
                <w:sz w:val="20"/>
                <w:szCs w:val="20"/>
              </w:rPr>
            </w:pPr>
          </w:p>
        </w:tc>
        <w:tc>
          <w:tcPr>
            <w:tcW w:w="1451" w:type="dxa"/>
            <w:tcBorders>
              <w:top w:val="single" w:color="auto" w:sz="4" w:space="0"/>
              <w:left w:val="nil"/>
              <w:bottom w:val="nil"/>
              <w:right w:val="nil"/>
            </w:tcBorders>
            <w:shd w:val="clear" w:color="FFFFFF" w:fill="FFFFFF"/>
          </w:tcPr>
          <w:p>
            <w:pPr>
              <w:pStyle w:val="144"/>
              <w:spacing w:before="40"/>
              <w:ind w:left="601"/>
              <w:rPr>
                <w:rFonts w:ascii="宋体" w:hAnsi="宋体" w:eastAsia="宋体" w:cs="宋体"/>
                <w:b/>
                <w:bCs/>
                <w:sz w:val="20"/>
                <w:szCs w:val="20"/>
              </w:rPr>
            </w:pPr>
          </w:p>
        </w:tc>
      </w:tr>
      <w:tr>
        <w:tblPrEx>
          <w:tblCellMar>
            <w:top w:w="0" w:type="dxa"/>
            <w:left w:w="0" w:type="dxa"/>
            <w:bottom w:w="0" w:type="dxa"/>
            <w:right w:w="0" w:type="dxa"/>
          </w:tblCellMar>
        </w:tblPrEx>
        <w:trPr>
          <w:trHeight w:val="23" w:hRule="atLeast"/>
          <w:jc w:val="center"/>
        </w:trPr>
        <w:tc>
          <w:tcPr>
            <w:tcW w:w="1031"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1</w:t>
            </w:r>
          </w:p>
        </w:tc>
        <w:tc>
          <w:tcPr>
            <w:tcW w:w="3910"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内蒙古自治区呼伦贝尔市莫力达瓦达斡尔族自治旗阿尔拉镇人民政府</w:t>
            </w:r>
          </w:p>
        </w:tc>
        <w:tc>
          <w:tcPr>
            <w:tcW w:w="2230"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行政单位</w:t>
            </w:r>
          </w:p>
        </w:tc>
        <w:tc>
          <w:tcPr>
            <w:tcW w:w="1451"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45</w:t>
            </w:r>
          </w:p>
        </w:tc>
      </w:tr>
      <w:tr>
        <w:tblPrEx>
          <w:tblCellMar>
            <w:top w:w="0" w:type="dxa"/>
            <w:left w:w="0" w:type="dxa"/>
            <w:bottom w:w="0" w:type="dxa"/>
            <w:right w:w="0" w:type="dxa"/>
          </w:tblCellMar>
        </w:tblPrEx>
        <w:trPr>
          <w:trHeight w:val="23" w:hRule="atLeast"/>
          <w:jc w:val="center"/>
        </w:trPr>
        <w:tc>
          <w:tcPr>
            <w:tcW w:w="1031"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合计</w:t>
            </w:r>
          </w:p>
        </w:tc>
        <w:tc>
          <w:tcPr>
            <w:tcW w:w="3910" w:type="dxa"/>
            <w:tcBorders>
              <w:top w:val="nil"/>
              <w:left w:val="nil"/>
              <w:bottom w:val="nil"/>
              <w:right w:val="nil"/>
            </w:tcBorders>
            <w:shd w:val="clear" w:color="FFFFFF" w:fill="FFFFFF"/>
          </w:tcPr>
          <w:p>
            <w:pPr>
              <w:pageBreakBefore w:val="0"/>
              <w:spacing w:before="40"/>
              <w:jc w:val="center"/>
              <w:textAlignment w:val="auto"/>
            </w:pPr>
          </w:p>
        </w:tc>
        <w:tc>
          <w:tcPr>
            <w:tcW w:w="2230" w:type="dxa"/>
            <w:tcBorders>
              <w:top w:val="nil"/>
              <w:left w:val="nil"/>
              <w:bottom w:val="nil"/>
              <w:right w:val="nil"/>
            </w:tcBorders>
            <w:shd w:val="clear" w:color="FFFFFF" w:fill="FFFFFF"/>
          </w:tcPr>
          <w:p>
            <w:pPr>
              <w:pageBreakBefore w:val="0"/>
              <w:spacing w:before="40"/>
              <w:jc w:val="center"/>
              <w:textAlignment w:val="auto"/>
            </w:pPr>
          </w:p>
        </w:tc>
        <w:tc>
          <w:tcPr>
            <w:tcW w:w="1451"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45</w:t>
            </w:r>
          </w:p>
        </w:tc>
      </w:tr>
    </w:tbl>
    <w:p>
      <w:pPr>
        <w:numPr>
          <w:ilvl w:val="0"/>
          <w:numId w:val="0"/>
        </w:numPr>
      </w:pPr>
    </w:p>
    <w:p>
      <w:pPr>
        <w:numPr>
          <w:ilvl w:val="0"/>
          <w:numId w:val="0"/>
        </w:numPr>
        <w:rPr>
          <w:color w:val="000000" w:themeColor="text1"/>
          <w14:textFill>
            <w14:solidFill>
              <w14:schemeClr w14:val="tx1"/>
            </w14:solidFill>
          </w14:textFill>
        </w:rPr>
      </w:pPr>
    </w:p>
    <w:p>
      <w:pPr>
        <w:pStyle w:val="110"/>
        <w:spacing w:line="360" w:lineRule="auto"/>
        <w:ind w:firstLine="600"/>
        <w:jc w:val="both"/>
        <w:rPr>
          <w:rFonts w:hint="default" w:ascii="仿宋_GB2312" w:hAnsi="仿宋_GB2312" w:eastAsia="仿宋_GB2312" w:cs="仿宋_GB2312"/>
          <w:color w:val="000000" w:themeColor="text1"/>
          <w:szCs w:val="30"/>
          <w:highlight w:val="none"/>
          <w:lang w:val="en-US" w:eastAsia="zh-CN"/>
          <w14:textFill>
            <w14:solidFill>
              <w14:schemeClr w14:val="tx1"/>
            </w14:solidFill>
          </w14:textFill>
        </w:rPr>
      </w:pPr>
      <w:r>
        <w:rPr>
          <w:rFonts w:hint="eastAsia" w:ascii="仿宋_GB2312" w:hAnsi="仿宋_GB2312" w:cs="仿宋_GB2312"/>
          <w:color w:val="000000" w:themeColor="text1"/>
          <w:szCs w:val="30"/>
          <w:highlight w:val="none"/>
          <w:lang w:val="en-US" w:eastAsia="zh-CN"/>
          <w14:textFill>
            <w14:solidFill>
              <w14:schemeClr w14:val="tx1"/>
            </w14:solidFill>
          </w14:textFill>
        </w:rPr>
        <w:t>我单位为</w:t>
      </w:r>
      <w:r>
        <w:rPr>
          <w:rFonts w:hint="eastAsia" w:ascii="仿宋_GB2312" w:hAnsi="仿宋_GB2312" w:cs="仿宋_GB2312"/>
          <w:color w:val="000000" w:themeColor="text1"/>
          <w:szCs w:val="30"/>
          <w14:textFill>
            <w14:solidFill>
              <w14:schemeClr w14:val="tx1"/>
            </w14:solidFill>
          </w14:textFill>
        </w:rPr>
        <w:t>内蒙古自治区呼伦贝尔市莫力达瓦达斡尔族自治旗阿尔拉镇人民政府</w:t>
      </w:r>
      <w:r>
        <w:rPr>
          <w:rFonts w:hint="eastAsia" w:ascii="仿宋_GB2312" w:hAnsi="仿宋_GB2312" w:cs="仿宋_GB2312"/>
          <w:color w:val="000000" w:themeColor="text1"/>
          <w:szCs w:val="30"/>
          <w:lang w:eastAsia="zh-CN"/>
          <w14:textFill>
            <w14:solidFill>
              <w14:schemeClr w14:val="tx1"/>
            </w14:solidFill>
          </w14:textFill>
        </w:rPr>
        <w:t>，</w:t>
      </w:r>
      <w:r>
        <w:rPr>
          <w:rFonts w:hint="eastAsia" w:ascii="仿宋_GB2312" w:hAnsi="仿宋_GB2312" w:cs="仿宋_GB2312"/>
          <w:color w:val="000000" w:themeColor="text1"/>
          <w:szCs w:val="30"/>
          <w:lang w:val="en-US" w:eastAsia="zh-CN"/>
          <w14:textFill>
            <w14:solidFill>
              <w14:schemeClr w14:val="tx1"/>
            </w14:solidFill>
          </w14:textFill>
        </w:rPr>
        <w:t>单位性质为行政单位，实有人员数为45人，</w:t>
      </w:r>
      <w:r>
        <w:rPr>
          <w:rFonts w:hint="eastAsia" w:ascii="仿宋_GB2312" w:hAnsi="仿宋_GB2312" w:cs="仿宋_GB2312"/>
          <w:color w:val="000000" w:themeColor="text1"/>
          <w:szCs w:val="30"/>
          <w:highlight w:val="none"/>
          <w:lang w:val="en-US" w:eastAsia="zh-CN"/>
          <w14:textFill>
            <w14:solidFill>
              <w14:schemeClr w14:val="tx1"/>
            </w14:solidFill>
          </w14:textFill>
        </w:rPr>
        <w:t>与上年相比，合并范围无变化。</w:t>
      </w:r>
    </w:p>
    <w:p>
      <w:pPr>
        <w:pStyle w:val="110"/>
        <w:spacing w:line="360" w:lineRule="auto"/>
        <w:ind w:firstLine="600"/>
        <w:jc w:val="both"/>
        <w:rPr>
          <w:rFonts w:hint="eastAsia" w:ascii="仿宋_GB2312" w:hAnsi="仿宋_GB2312" w:eastAsia="仿宋_GB2312" w:cs="仿宋_GB2312"/>
          <w:color w:val="0070C0"/>
          <w:szCs w:val="30"/>
          <w:highlight w:val="none"/>
          <w:lang w:val="en-US" w:eastAsia="zh-CN"/>
        </w:rPr>
      </w:pPr>
    </w:p>
    <w:p>
      <w:pPr>
        <w:pStyle w:val="4"/>
        <w:spacing w:before="0" w:after="0" w:line="360" w:lineRule="auto"/>
        <w:ind w:firstLine="602"/>
        <w:jc w:val="left"/>
        <w:rPr>
          <w:rFonts w:ascii="仿宋" w:hAnsi="仿宋" w:eastAsia="仿宋"/>
          <w:b/>
        </w:rPr>
      </w:pPr>
      <w:bookmarkStart w:id="56" w:name="4.重要会计政策与会计估计变更情况。（略）"/>
      <w:bookmarkEnd w:id="56"/>
      <w:bookmarkStart w:id="57" w:name="_Toc35452584"/>
      <w:bookmarkStart w:id="58" w:name="_Toc35500810"/>
      <w:r>
        <w:rPr>
          <w:rFonts w:ascii="仿宋" w:hAnsi="仿宋" w:eastAsia="仿宋"/>
          <w:b/>
        </w:rPr>
        <w:t>4.重要会计政策与会计估计变更情况。</w:t>
      </w:r>
      <w:bookmarkEnd w:id="57"/>
      <w:bookmarkEnd w:id="58"/>
    </w:p>
    <w:p>
      <w:pPr>
        <w:pStyle w:val="110"/>
        <w:spacing w:line="360" w:lineRule="auto"/>
        <w:ind w:firstLine="600"/>
        <w:rPr>
          <w:rFonts w:ascii="仿宋_GB2312" w:hAnsi="仿宋_GB2312" w:cs="仿宋_GB2312"/>
          <w:color w:val="000000" w:themeColor="text1"/>
          <w:szCs w:val="30"/>
          <w14:textFill>
            <w14:solidFill>
              <w14:schemeClr w14:val="tx1"/>
            </w14:solidFill>
          </w14:textFill>
        </w:rPr>
      </w:pPr>
      <w:r>
        <w:rPr>
          <w:rFonts w:hint="eastAsia" w:ascii="仿宋_GB2312" w:hAnsi="仿宋_GB2312" w:cs="仿宋_GB2312"/>
          <w:color w:val="000000" w:themeColor="text1"/>
          <w:szCs w:val="30"/>
          <w14:textFill>
            <w14:solidFill>
              <w14:schemeClr w14:val="tx1"/>
            </w14:solidFill>
          </w14:textFill>
        </w:rPr>
        <w:t>（</w:t>
      </w:r>
      <w:r>
        <w:rPr>
          <w:rFonts w:ascii="仿宋_GB2312" w:hAnsi="仿宋_GB2312" w:cs="仿宋_GB2312"/>
          <w:color w:val="000000" w:themeColor="text1"/>
          <w:szCs w:val="30"/>
          <w14:textFill>
            <w14:solidFill>
              <w14:schemeClr w14:val="tx1"/>
            </w14:solidFill>
          </w14:textFill>
        </w:rPr>
        <w:t>1</w:t>
      </w:r>
      <w:r>
        <w:rPr>
          <w:rFonts w:hint="eastAsia" w:ascii="仿宋_GB2312" w:hAnsi="仿宋_GB2312" w:cs="仿宋_GB2312"/>
          <w:color w:val="000000" w:themeColor="text1"/>
          <w:szCs w:val="30"/>
          <w14:textFill>
            <w14:solidFill>
              <w14:schemeClr w14:val="tx1"/>
            </w14:solidFill>
          </w14:textFill>
        </w:rPr>
        <w:t>）会计期间</w:t>
      </w:r>
      <w:r>
        <w:rPr>
          <w:rFonts w:hint="eastAsia" w:ascii="仿宋_GB2312" w:hAnsi="仿宋_GB2312" w:cs="仿宋_GB2312"/>
          <w:color w:val="000000" w:themeColor="text1"/>
          <w:szCs w:val="30"/>
          <w:lang w:val="en-US" w:eastAsia="zh-CN"/>
          <w14:textFill>
            <w14:solidFill>
              <w14:schemeClr w14:val="tx1"/>
            </w14:solidFill>
          </w14:textFill>
        </w:rPr>
        <w:t>2020年1月-2020年12月</w:t>
      </w:r>
      <w:r>
        <w:rPr>
          <w:rFonts w:hint="eastAsia" w:ascii="仿宋_GB2312" w:hAnsi="仿宋_GB2312" w:cs="仿宋_GB2312"/>
          <w:color w:val="000000" w:themeColor="text1"/>
          <w:szCs w:val="30"/>
          <w14:textFill>
            <w14:solidFill>
              <w14:schemeClr w14:val="tx1"/>
            </w14:solidFill>
          </w14:textFill>
        </w:rPr>
        <w:t>。</w:t>
      </w:r>
    </w:p>
    <w:p>
      <w:pPr>
        <w:pStyle w:val="110"/>
        <w:spacing w:line="360" w:lineRule="auto"/>
        <w:ind w:firstLine="600"/>
        <w:rPr>
          <w:rFonts w:hint="default" w:ascii="仿宋_GB2312" w:hAnsi="仿宋_GB2312" w:eastAsia="仿宋_GB2312" w:cs="仿宋_GB2312"/>
          <w:color w:val="000000" w:themeColor="text1"/>
          <w:szCs w:val="30"/>
          <w:highlight w:val="none"/>
          <w:lang w:val="en-US" w:eastAsia="zh-CN"/>
          <w14:textFill>
            <w14:solidFill>
              <w14:schemeClr w14:val="tx1"/>
            </w14:solidFill>
          </w14:textFill>
        </w:rPr>
      </w:pPr>
      <w:r>
        <w:rPr>
          <w:rFonts w:hint="eastAsia" w:ascii="仿宋_GB2312" w:hAnsi="仿宋_GB2312" w:cs="仿宋_GB2312"/>
          <w:color w:val="000000" w:themeColor="text1"/>
          <w:szCs w:val="30"/>
          <w:highlight w:val="none"/>
          <w14:textFill>
            <w14:solidFill>
              <w14:schemeClr w14:val="tx1"/>
            </w14:solidFill>
          </w14:textFill>
        </w:rPr>
        <w:t>（</w:t>
      </w:r>
      <w:r>
        <w:rPr>
          <w:rFonts w:ascii="仿宋_GB2312" w:hAnsi="仿宋_GB2312" w:cs="仿宋_GB2312"/>
          <w:color w:val="000000" w:themeColor="text1"/>
          <w:szCs w:val="30"/>
          <w:highlight w:val="none"/>
          <w14:textFill>
            <w14:solidFill>
              <w14:schemeClr w14:val="tx1"/>
            </w14:solidFill>
          </w14:textFill>
        </w:rPr>
        <w:t>2</w:t>
      </w:r>
      <w:r>
        <w:rPr>
          <w:rFonts w:hint="eastAsia" w:ascii="仿宋_GB2312" w:hAnsi="仿宋_GB2312" w:cs="仿宋_GB2312"/>
          <w:color w:val="000000" w:themeColor="text1"/>
          <w:szCs w:val="30"/>
          <w:highlight w:val="none"/>
          <w14:textFill>
            <w14:solidFill>
              <w14:schemeClr w14:val="tx1"/>
            </w14:solidFill>
          </w14:textFill>
        </w:rPr>
        <w:t>）记账本位币</w:t>
      </w:r>
      <w:r>
        <w:rPr>
          <w:rFonts w:hint="eastAsia" w:ascii="仿宋_GB2312" w:hAnsi="仿宋_GB2312" w:cs="仿宋_GB2312"/>
          <w:color w:val="000000" w:themeColor="text1"/>
          <w:szCs w:val="30"/>
          <w:highlight w:val="none"/>
          <w:lang w:val="en-US" w:eastAsia="zh-CN"/>
          <w14:textFill>
            <w14:solidFill>
              <w14:schemeClr w14:val="tx1"/>
            </w14:solidFill>
          </w14:textFill>
        </w:rPr>
        <w:t>人民币。</w:t>
      </w:r>
    </w:p>
    <w:p>
      <w:pPr>
        <w:pStyle w:val="110"/>
        <w:spacing w:line="360" w:lineRule="auto"/>
        <w:ind w:firstLine="600"/>
        <w:rPr>
          <w:rFonts w:hint="eastAsia" w:ascii="仿宋_GB2312" w:hAnsi="仿宋_GB2312" w:eastAsia="仿宋_GB2312" w:cs="仿宋_GB2312"/>
          <w:color w:val="000000" w:themeColor="text1"/>
          <w:szCs w:val="30"/>
          <w:highlight w:val="none"/>
          <w:lang w:eastAsia="zh-CN"/>
          <w14:textFill>
            <w14:solidFill>
              <w14:schemeClr w14:val="tx1"/>
            </w14:solidFill>
          </w14:textFill>
        </w:rPr>
      </w:pPr>
      <w:r>
        <w:rPr>
          <w:rFonts w:hint="eastAsia" w:ascii="仿宋_GB2312" w:hAnsi="仿宋_GB2312" w:cs="仿宋_GB2312"/>
          <w:color w:val="000000" w:themeColor="text1"/>
          <w:szCs w:val="30"/>
          <w:highlight w:val="none"/>
          <w14:textFill>
            <w14:solidFill>
              <w14:schemeClr w14:val="tx1"/>
            </w14:solidFill>
          </w14:textFill>
        </w:rPr>
        <w:t>（3）</w:t>
      </w:r>
      <w:r>
        <w:rPr>
          <w:rFonts w:hint="eastAsia" w:ascii="仿宋_GB2312" w:hAnsi="仿宋_GB2312" w:cs="仿宋_GB2312"/>
          <w:color w:val="000000" w:themeColor="text1"/>
          <w:szCs w:val="30"/>
          <w:highlight w:val="none"/>
          <w:lang w:val="en-US" w:eastAsia="zh-CN"/>
          <w14:textFill>
            <w14:solidFill>
              <w14:schemeClr w14:val="tx1"/>
            </w14:solidFill>
          </w14:textFill>
        </w:rPr>
        <w:t>本年度无</w:t>
      </w:r>
      <w:r>
        <w:rPr>
          <w:rFonts w:hint="eastAsia" w:ascii="仿宋_GB2312" w:hAnsi="仿宋_GB2312" w:cs="仿宋_GB2312"/>
          <w:color w:val="000000" w:themeColor="text1"/>
          <w:szCs w:val="30"/>
          <w:highlight w:val="none"/>
          <w14:textFill>
            <w14:solidFill>
              <w14:schemeClr w14:val="tx1"/>
            </w14:solidFill>
          </w14:textFill>
        </w:rPr>
        <w:t>会计政策和会计估计变更</w:t>
      </w:r>
      <w:r>
        <w:rPr>
          <w:rFonts w:hint="eastAsia" w:ascii="仿宋_GB2312" w:hAnsi="仿宋_GB2312" w:cs="仿宋_GB2312"/>
          <w:color w:val="000000" w:themeColor="text1"/>
          <w:szCs w:val="30"/>
          <w:highlight w:val="none"/>
          <w:lang w:eastAsia="zh-CN"/>
          <w14:textFill>
            <w14:solidFill>
              <w14:schemeClr w14:val="tx1"/>
            </w14:solidFill>
          </w14:textFill>
        </w:rPr>
        <w:t>。</w:t>
      </w:r>
    </w:p>
    <w:p>
      <w:pPr>
        <w:rPr>
          <w:rFonts w:ascii="Microsoft JhengHei" w:hAnsi="Microsoft JhengHei" w:eastAsia="Microsoft JhengHei" w:cs="Microsoft JhengHei"/>
          <w:color w:val="000000" w:themeColor="text1"/>
          <w:sz w:val="30"/>
          <w:szCs w:val="30"/>
          <w14:textFill>
            <w14:solidFill>
              <w14:schemeClr w14:val="tx1"/>
            </w14:solidFill>
          </w14:textFill>
        </w:rPr>
        <w:sectPr>
          <w:pgSz w:w="11910" w:h="16840"/>
          <w:pgMar w:top="1260" w:right="1680" w:bottom="1200" w:left="1680" w:header="0" w:footer="981" w:gutter="0"/>
          <w:cols w:space="720" w:num="1"/>
        </w:sectPr>
      </w:pPr>
    </w:p>
    <w:p>
      <w:pPr>
        <w:pStyle w:val="110"/>
        <w:spacing w:line="360" w:lineRule="auto"/>
        <w:ind w:firstLine="600"/>
        <w:rPr>
          <w:rFonts w:hint="eastAsia" w:ascii="仿宋_GB2312" w:hAnsi="仿宋_GB2312" w:eastAsia="仿宋_GB2312" w:cs="仿宋_GB2312"/>
          <w:color w:val="0070C0"/>
          <w:szCs w:val="30"/>
          <w:highlight w:val="none"/>
          <w:lang w:eastAsia="zh-CN"/>
        </w:rPr>
      </w:pPr>
    </w:p>
    <w:p/>
    <w:p>
      <w:pPr>
        <w:rPr>
          <w:rFonts w:ascii="Microsoft JhengHei" w:hAnsi="Microsoft JhengHei" w:eastAsia="Microsoft JhengHei" w:cs="Microsoft JhengHei"/>
          <w:sz w:val="30"/>
          <w:szCs w:val="30"/>
        </w:rPr>
        <w:sectPr>
          <w:pgSz w:w="11910" w:h="16840"/>
          <w:pgMar w:top="1260" w:right="1680" w:bottom="1200" w:left="1680" w:header="0" w:footer="981" w:gutter="0"/>
          <w:cols w:space="720" w:num="1"/>
        </w:sectPr>
      </w:pPr>
    </w:p>
    <w:bookmarkEnd w:id="46"/>
    <w:p>
      <w:pPr>
        <w:pStyle w:val="4"/>
        <w:spacing w:before="0" w:after="0" w:line="360" w:lineRule="auto"/>
        <w:ind w:firstLine="602"/>
        <w:jc w:val="left"/>
        <w:rPr>
          <w:rFonts w:ascii="仿宋" w:hAnsi="仿宋" w:eastAsia="仿宋"/>
          <w:b/>
        </w:rPr>
      </w:pPr>
      <w:bookmarkStart w:id="59" w:name="_Toc333610277"/>
      <w:bookmarkStart w:id="60" w:name="_Toc435361955"/>
      <w:bookmarkStart w:id="61" w:name="_Toc435362498"/>
      <w:bookmarkStart w:id="62" w:name="_Toc35500811"/>
      <w:bookmarkStart w:id="63" w:name="_Toc435362073"/>
      <w:bookmarkStart w:id="64" w:name="_Toc435362300"/>
      <w:bookmarkStart w:id="65" w:name="_Toc35452585"/>
      <w:r>
        <w:rPr>
          <w:rFonts w:hint="eastAsia" w:ascii="仿宋" w:hAnsi="仿宋" w:eastAsia="仿宋"/>
          <w:b/>
        </w:rPr>
        <w:t>5.会计报表重要项目的明细信息</w:t>
      </w:r>
      <w:bookmarkEnd w:id="59"/>
      <w:r>
        <w:rPr>
          <w:rFonts w:hint="eastAsia" w:ascii="仿宋" w:hAnsi="仿宋" w:eastAsia="仿宋"/>
          <w:b/>
        </w:rPr>
        <w:t>及说明</w:t>
      </w:r>
      <w:bookmarkEnd w:id="60"/>
      <w:bookmarkEnd w:id="61"/>
      <w:bookmarkEnd w:id="62"/>
      <w:bookmarkEnd w:id="63"/>
      <w:bookmarkEnd w:id="64"/>
      <w:bookmarkEnd w:id="65"/>
      <w:r>
        <w:rPr>
          <w:rFonts w:ascii="仿宋" w:hAnsi="仿宋" w:eastAsia="仿宋"/>
          <w:b/>
        </w:rPr>
        <w:tab/>
      </w: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）货币资金明细信息如下：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附表1</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货币资金明细表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napToGrid w:val="0"/>
        <w:spacing w:line="20" w:lineRule="exact"/>
        <w:jc w:val="right"/>
        <w:rPr>
          <w:rFonts w:ascii="Arial" w:hAnsi="Arial" w:cs="Arial"/>
          <w:color w:val="000000"/>
          <w:sz w:val="20"/>
          <w:szCs w:val="20"/>
        </w:rPr>
      </w:pPr>
      <w:bookmarkStart w:id="66" w:name="RANGE!A1:D9"/>
      <w:bookmarkEnd w:id="66"/>
    </w:p>
    <w:tbl>
      <w:tblPr>
        <w:tblStyle w:val="34"/>
        <w:tblW w:w="8528" w:type="dxa"/>
        <w:jc w:val="center"/>
        <w:tblLayout w:type="fixed"/>
        <w:tblCellMar>
          <w:top w:w="0" w:type="dxa"/>
          <w:left w:w="108" w:type="dxa"/>
          <w:bottom w:w="0" w:type="dxa"/>
          <w:right w:w="108" w:type="dxa"/>
        </w:tblCellMar>
      </w:tblPr>
      <w:tblGrid>
        <w:gridCol w:w="3295"/>
        <w:gridCol w:w="2625"/>
        <w:gridCol w:w="2608"/>
      </w:tblGrid>
      <w:tr>
        <w:tblPrEx>
          <w:tblCellMar>
            <w:top w:w="0" w:type="dxa"/>
            <w:left w:w="108" w:type="dxa"/>
            <w:bottom w:w="0" w:type="dxa"/>
            <w:right w:w="108" w:type="dxa"/>
          </w:tblCellMar>
        </w:tblPrEx>
        <w:trPr>
          <w:trHeight w:val="397" w:hRule="exact"/>
          <w:tblHeader/>
          <w:jc w:val="center"/>
        </w:trPr>
        <w:tc>
          <w:tcPr>
            <w:tcW w:w="3295" w:type="dxa"/>
            <w:tcBorders>
              <w:top w:val="single" w:color="auto" w:sz="4" w:space="0"/>
              <w:left w:val="nil"/>
              <w:bottom w:val="single" w:color="auto" w:sz="4" w:space="0"/>
              <w:right w:val="nil"/>
            </w:tcBorders>
            <w:shd w:val="clear" w:color="FFFFFF" w:fill="FFFFFF"/>
            <w:vAlign w:val="center"/>
          </w:tcPr>
          <w:p>
            <w:pPr>
              <w:jc w:val="center"/>
              <w:rPr>
                <w:b/>
                <w:bCs/>
                <w:sz w:val="20"/>
                <w:szCs w:val="20"/>
              </w:rPr>
            </w:pPr>
            <w:r>
              <w:rPr>
                <w:rFonts w:hint="eastAsia"/>
                <w:b/>
                <w:bCs/>
                <w:sz w:val="20"/>
                <w:szCs w:val="20"/>
              </w:rPr>
              <w:t>项目</w:t>
            </w:r>
          </w:p>
        </w:tc>
        <w:tc>
          <w:tcPr>
            <w:tcW w:w="2625" w:type="dxa"/>
            <w:tcBorders>
              <w:top w:val="single" w:color="auto" w:sz="4" w:space="0"/>
              <w:left w:val="nil"/>
              <w:bottom w:val="single" w:color="auto" w:sz="4" w:space="0"/>
              <w:right w:val="nil"/>
            </w:tcBorders>
            <w:shd w:val="clear" w:color="FFFFFF" w:fill="FFFFFF"/>
            <w:vAlign w:val="center"/>
          </w:tcPr>
          <w:p>
            <w:pPr>
              <w:jc w:val="center"/>
              <w:rPr>
                <w:b/>
                <w:bCs/>
                <w:sz w:val="20"/>
                <w:szCs w:val="20"/>
              </w:rPr>
            </w:pPr>
            <w:r>
              <w:rPr>
                <w:rFonts w:hint="eastAsia"/>
                <w:b/>
                <w:bCs/>
                <w:sz w:val="20"/>
                <w:szCs w:val="20"/>
              </w:rPr>
              <w:t>年末数</w:t>
            </w:r>
          </w:p>
        </w:tc>
        <w:tc>
          <w:tcPr>
            <w:tcW w:w="2608" w:type="dxa"/>
            <w:tcBorders>
              <w:top w:val="single" w:color="auto" w:sz="4" w:space="0"/>
              <w:left w:val="nil"/>
              <w:bottom w:val="single" w:color="auto" w:sz="4" w:space="0"/>
              <w:right w:val="nil"/>
            </w:tcBorders>
            <w:shd w:val="clear" w:color="FFFFFF" w:fill="FFFFFF"/>
            <w:vAlign w:val="center"/>
          </w:tcPr>
          <w:p>
            <w:pPr>
              <w:jc w:val="center"/>
              <w:rPr>
                <w:b/>
                <w:bCs/>
                <w:sz w:val="20"/>
                <w:szCs w:val="20"/>
              </w:rPr>
            </w:pPr>
            <w:r>
              <w:rPr>
                <w:rFonts w:hint="eastAsia"/>
                <w:b/>
                <w:bCs/>
                <w:sz w:val="20"/>
                <w:szCs w:val="20"/>
              </w:rPr>
              <w:t>年初数</w:t>
            </w:r>
          </w:p>
        </w:tc>
      </w:tr>
      <w:tr>
        <w:tblPrEx>
          <w:tblCellMar>
            <w:top w:w="0" w:type="dxa"/>
            <w:left w:w="108" w:type="dxa"/>
            <w:bottom w:w="0" w:type="dxa"/>
            <w:right w:w="108" w:type="dxa"/>
          </w:tblCellMar>
        </w:tblPrEx>
        <w:trPr>
          <w:trHeight w:val="20" w:hRule="exact"/>
          <w:tblHeader/>
          <w:jc w:val="center"/>
        </w:trPr>
        <w:tc>
          <w:tcPr>
            <w:tcW w:w="3295" w:type="dxa"/>
            <w:tcBorders>
              <w:top w:val="single" w:color="auto" w:sz="4" w:space="0"/>
              <w:left w:val="nil"/>
              <w:right w:val="nil"/>
            </w:tcBorders>
            <w:shd w:val="clear" w:color="FFFFFF" w:fill="FFFFFF"/>
            <w:vAlign w:val="center"/>
          </w:tcPr>
          <w:p>
            <w:pPr>
              <w:jc w:val="center"/>
              <w:rPr>
                <w:b/>
                <w:bCs/>
                <w:sz w:val="20"/>
                <w:szCs w:val="20"/>
              </w:rPr>
            </w:pPr>
          </w:p>
        </w:tc>
        <w:tc>
          <w:tcPr>
            <w:tcW w:w="2625" w:type="dxa"/>
            <w:tcBorders>
              <w:top w:val="single" w:color="auto" w:sz="4" w:space="0"/>
              <w:left w:val="nil"/>
              <w:right w:val="nil"/>
            </w:tcBorders>
            <w:shd w:val="clear" w:color="FFFFFF" w:fill="FFFFFF"/>
            <w:vAlign w:val="center"/>
          </w:tcPr>
          <w:p>
            <w:pPr>
              <w:jc w:val="center"/>
              <w:rPr>
                <w:b/>
                <w:bCs/>
                <w:sz w:val="20"/>
                <w:szCs w:val="20"/>
              </w:rPr>
            </w:pPr>
          </w:p>
        </w:tc>
        <w:tc>
          <w:tcPr>
            <w:tcW w:w="2608" w:type="dxa"/>
            <w:tcBorders>
              <w:top w:val="single" w:color="auto" w:sz="4" w:space="0"/>
              <w:left w:val="nil"/>
              <w:right w:val="nil"/>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20" w:hRule="exact"/>
          <w:tblHeader/>
          <w:jc w:val="center"/>
        </w:trPr>
        <w:tc>
          <w:tcPr>
            <w:tcW w:w="3295" w:type="dxa"/>
            <w:tcBorders>
              <w:left w:val="nil"/>
              <w:right w:val="nil"/>
            </w:tcBorders>
            <w:shd w:val="clear" w:color="FFFFFF" w:fill="FFFFFF"/>
            <w:vAlign w:val="center"/>
          </w:tcPr>
          <w:p>
            <w:pPr>
              <w:jc w:val="center"/>
              <w:rPr>
                <w:b/>
                <w:bCs/>
                <w:sz w:val="20"/>
                <w:szCs w:val="20"/>
              </w:rPr>
            </w:pPr>
          </w:p>
        </w:tc>
        <w:tc>
          <w:tcPr>
            <w:tcW w:w="2625" w:type="dxa"/>
            <w:tcBorders>
              <w:left w:val="nil"/>
              <w:right w:val="nil"/>
            </w:tcBorders>
            <w:shd w:val="clear" w:color="FFFFFF" w:fill="FFFFFF"/>
            <w:vAlign w:val="center"/>
          </w:tcPr>
          <w:p>
            <w:pPr>
              <w:jc w:val="center"/>
              <w:rPr>
                <w:b/>
                <w:bCs/>
                <w:sz w:val="20"/>
                <w:szCs w:val="20"/>
              </w:rPr>
            </w:pPr>
          </w:p>
        </w:tc>
        <w:tc>
          <w:tcPr>
            <w:tcW w:w="2608" w:type="dxa"/>
            <w:tcBorders>
              <w:left w:val="nil"/>
              <w:right w:val="nil"/>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jc w:val="center"/>
        </w:trPr>
        <w:tc>
          <w:tcPr>
            <w:tcW w:w="3295" w:type="dxa"/>
            <w:tcBorders>
              <w:left w:val="nil"/>
              <w:bottom w:val="nil"/>
              <w:right w:val="nil"/>
            </w:tcBorders>
            <w:shd w:val="clear" w:color="FFFFFF" w:fill="FFFFFF"/>
            <w:vAlign w:val="center"/>
          </w:tcPr>
          <w:p>
            <w:pPr>
              <w:pageBreakBefore w:val="0"/>
              <w:ind w:firstLine="100" w:firstLineChars="50"/>
              <w:jc w:val="left"/>
              <w:textAlignment w:val="auto"/>
            </w:pPr>
            <w:r>
              <w:rPr>
                <w:b w:val="0"/>
                <w:i w:val="0"/>
                <w:color w:val="000000"/>
                <w:position w:val="-1"/>
                <w:sz w:val="20"/>
                <w:u w:val="none"/>
              </w:rPr>
              <w:t xml:space="preserve">  库存现金</w:t>
            </w:r>
          </w:p>
        </w:tc>
        <w:tc>
          <w:tcPr>
            <w:tcW w:w="2625"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2608"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295" w:type="dxa"/>
            <w:tcBorders>
              <w:left w:val="nil"/>
              <w:bottom w:val="nil"/>
              <w:right w:val="nil"/>
            </w:tcBorders>
            <w:shd w:val="clear" w:color="FFFFFF" w:fill="FFFFFF"/>
            <w:vAlign w:val="center"/>
          </w:tcPr>
          <w:p>
            <w:pPr>
              <w:pageBreakBefore w:val="0"/>
              <w:ind w:firstLine="100" w:firstLineChars="50"/>
              <w:jc w:val="left"/>
              <w:textAlignment w:val="auto"/>
            </w:pPr>
            <w:r>
              <w:rPr>
                <w:b w:val="0"/>
                <w:i w:val="0"/>
                <w:color w:val="000000"/>
                <w:position w:val="-1"/>
                <w:sz w:val="20"/>
                <w:u w:val="none"/>
              </w:rPr>
              <w:t xml:space="preserve">  银行存款</w:t>
            </w:r>
          </w:p>
        </w:tc>
        <w:tc>
          <w:tcPr>
            <w:tcW w:w="2625"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18.04</w:t>
            </w:r>
          </w:p>
        </w:tc>
        <w:tc>
          <w:tcPr>
            <w:tcW w:w="2608"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38.10</w:t>
            </w:r>
          </w:p>
        </w:tc>
      </w:tr>
      <w:tr>
        <w:tblPrEx>
          <w:tblCellMar>
            <w:top w:w="0" w:type="dxa"/>
            <w:left w:w="108" w:type="dxa"/>
            <w:bottom w:w="0" w:type="dxa"/>
            <w:right w:w="108" w:type="dxa"/>
          </w:tblCellMar>
        </w:tblPrEx>
        <w:trPr>
          <w:trHeight w:val="397" w:hRule="atLeast"/>
          <w:jc w:val="center"/>
        </w:trPr>
        <w:tc>
          <w:tcPr>
            <w:tcW w:w="3295" w:type="dxa"/>
            <w:tcBorders>
              <w:left w:val="nil"/>
              <w:bottom w:val="nil"/>
              <w:right w:val="nil"/>
            </w:tcBorders>
            <w:shd w:val="clear" w:color="FFFFFF" w:fill="FFFFFF"/>
            <w:vAlign w:val="center"/>
          </w:tcPr>
          <w:p>
            <w:pPr>
              <w:pageBreakBefore w:val="0"/>
              <w:ind w:firstLine="100" w:firstLineChars="50"/>
              <w:jc w:val="left"/>
              <w:textAlignment w:val="auto"/>
            </w:pPr>
            <w:r>
              <w:rPr>
                <w:b w:val="0"/>
                <w:i w:val="0"/>
                <w:color w:val="000000"/>
                <w:position w:val="-1"/>
                <w:sz w:val="20"/>
                <w:u w:val="none"/>
              </w:rPr>
              <w:t xml:space="preserve">  其他货币资金</w:t>
            </w:r>
          </w:p>
        </w:tc>
        <w:tc>
          <w:tcPr>
            <w:tcW w:w="2625"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2608"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295" w:type="dxa"/>
            <w:tcBorders>
              <w:top w:val="single" w:color="auto" w:sz="4" w:space="0"/>
              <w:left w:val="nil"/>
              <w:bottom w:val="single" w:color="auto" w:sz="4" w:space="0"/>
              <w:right w:val="nil"/>
            </w:tcBorders>
            <w:shd w:val="clear" w:color="FFFFFF" w:fill="FFFFFF"/>
            <w:vAlign w:val="center"/>
          </w:tcPr>
          <w:p>
            <w:pPr>
              <w:pageBreakBefore w:val="0"/>
              <w:ind w:firstLine="100" w:firstLineChars="50"/>
              <w:jc w:val="center"/>
              <w:textAlignment w:val="auto"/>
            </w:pPr>
            <w:r>
              <w:rPr>
                <w:b/>
                <w:i w:val="0"/>
                <w:color w:val="000000"/>
                <w:position w:val="-1"/>
                <w:sz w:val="20"/>
                <w:u w:val="none"/>
              </w:rPr>
              <w:t>合计</w:t>
            </w:r>
          </w:p>
        </w:tc>
        <w:tc>
          <w:tcPr>
            <w:tcW w:w="2625" w:type="dxa"/>
            <w:tcBorders>
              <w:top w:val="single" w:color="auto" w:sz="4" w:space="0"/>
              <w:left w:val="nil"/>
              <w:bottom w:val="single" w:color="auto" w:sz="4" w:space="0"/>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18.04</w:t>
            </w:r>
          </w:p>
        </w:tc>
        <w:tc>
          <w:tcPr>
            <w:tcW w:w="2608" w:type="dxa"/>
            <w:tcBorders>
              <w:top w:val="single" w:color="auto" w:sz="4" w:space="0"/>
              <w:left w:val="nil"/>
              <w:bottom w:val="single" w:color="auto" w:sz="4" w:space="0"/>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38.10</w:t>
            </w:r>
          </w:p>
        </w:tc>
      </w:tr>
    </w:tbl>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2</w:t>
      </w:r>
      <w:r>
        <w:rPr>
          <w:rFonts w:hint="eastAsia" w:ascii="宋体" w:hAnsi="宋体" w:eastAsia="宋体"/>
        </w:rPr>
        <w:t>）应收账款净额明细信息如下：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附表2</w:t>
            </w:r>
          </w:p>
          <w:p>
            <w:pPr>
              <w:jc w:val="center"/>
              <w:rPr>
                <w:sz w:val="22"/>
                <w:szCs w:val="22"/>
              </w:rPr>
            </w:pPr>
            <w:r>
              <w:rPr>
                <w:rFonts w:ascii="宋体" w:hAnsi="宋体" w:eastAsia="宋体" w:cs="宋体"/>
                <w:sz w:val="22"/>
              </w:rPr>
              <w:t>附表2为空表（略）</w:t>
            </w:r>
          </w:p>
        </w:tc>
      </w:tr>
    </w:tbl>
    <w:p>
      <w:pPr>
        <w:spacing w:line="20" w:lineRule="exact"/>
        <w:jc w:val="right"/>
        <w:rPr>
          <w:color w:val="000000"/>
          <w:sz w:val="20"/>
          <w:szCs w:val="20"/>
        </w:rPr>
      </w:pPr>
    </w:p>
    <w:p>
      <w:pPr>
        <w:pStyle w:val="144"/>
        <w:rPr>
          <w:lang w:eastAsia="zh-CN"/>
        </w:rPr>
      </w:pPr>
    </w:p>
    <w:p>
      <w:pPr>
        <w:pStyle w:val="144"/>
        <w:rPr>
          <w:rFonts w:ascii="宋体" w:hAnsi="宋体" w:eastAsia="宋体"/>
          <w:lang w:eastAsia="zh-CN"/>
        </w:rPr>
      </w:pPr>
      <w:r>
        <w:rPr>
          <w:rFonts w:hint="eastAsia"/>
          <w:lang w:eastAsia="zh-CN"/>
        </w:rPr>
        <w:t xml:space="preserve"> </w:t>
      </w:r>
      <w:r>
        <w:rPr>
          <w:rFonts w:hint="eastAsia" w:ascii="宋体" w:hAnsi="宋体" w:eastAsia="宋体" w:cs="宋体"/>
          <w:spacing w:val="-1"/>
          <w:sz w:val="20"/>
          <w:szCs w:val="20"/>
          <w:lang w:eastAsia="zh-CN"/>
        </w:rPr>
        <w:t>注：当期坏账准备冲</w:t>
      </w:r>
      <w:r>
        <w:rPr>
          <w:rFonts w:ascii="宋体" w:hAnsi="宋体" w:eastAsia="宋体" w:cs="宋体"/>
          <w:spacing w:val="-1"/>
          <w:sz w:val="20"/>
          <w:szCs w:val="20"/>
          <w:lang w:eastAsia="zh-CN"/>
        </w:rPr>
        <w:t>减数以“-”号填列。</w:t>
      </w: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3</w:t>
      </w:r>
      <w:r>
        <w:rPr>
          <w:rFonts w:hint="eastAsia" w:ascii="宋体" w:hAnsi="宋体" w:eastAsia="宋体"/>
        </w:rPr>
        <w:t>）预付账款明细信息如下：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附表3</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预付账款明细表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color w:val="000000"/>
          <w:sz w:val="20"/>
          <w:szCs w:val="20"/>
        </w:rPr>
      </w:pPr>
    </w:p>
    <w:tbl>
      <w:tblPr>
        <w:tblStyle w:val="34"/>
        <w:tblW w:w="8472" w:type="dxa"/>
        <w:jc w:val="center"/>
        <w:tblLayout w:type="fixed"/>
        <w:tblCellMar>
          <w:top w:w="0" w:type="dxa"/>
          <w:left w:w="108" w:type="dxa"/>
          <w:bottom w:w="0" w:type="dxa"/>
          <w:right w:w="108" w:type="dxa"/>
        </w:tblCellMar>
      </w:tblPr>
      <w:tblGrid>
        <w:gridCol w:w="5353"/>
        <w:gridCol w:w="3119"/>
      </w:tblGrid>
      <w:tr>
        <w:tblPrEx>
          <w:tblCellMar>
            <w:top w:w="0" w:type="dxa"/>
            <w:left w:w="108" w:type="dxa"/>
            <w:bottom w:w="0" w:type="dxa"/>
            <w:right w:w="108" w:type="dxa"/>
          </w:tblCellMar>
        </w:tblPrEx>
        <w:trPr>
          <w:trHeight w:val="397" w:hRule="atLeast"/>
          <w:tblHeader/>
          <w:jc w:val="center"/>
        </w:trPr>
        <w:tc>
          <w:tcPr>
            <w:tcW w:w="5353" w:type="dxa"/>
            <w:tcBorders>
              <w:top w:val="single" w:color="auto" w:sz="4" w:space="0"/>
              <w:left w:val="nil"/>
              <w:bottom w:val="single" w:color="auto" w:sz="4" w:space="0"/>
              <w:right w:val="nil"/>
            </w:tcBorders>
            <w:shd w:val="clear" w:color="FFFFFF" w:fill="FFFFFF"/>
            <w:vAlign w:val="center"/>
          </w:tcPr>
          <w:p>
            <w:pPr>
              <w:jc w:val="center"/>
              <w:rPr>
                <w:b/>
                <w:bCs/>
                <w:sz w:val="20"/>
                <w:szCs w:val="20"/>
              </w:rPr>
            </w:pPr>
            <w:r>
              <w:rPr>
                <w:rFonts w:hint="eastAsia"/>
                <w:b/>
                <w:bCs/>
                <w:sz w:val="20"/>
                <w:szCs w:val="20"/>
              </w:rPr>
              <w:t>债务人</w:t>
            </w:r>
          </w:p>
        </w:tc>
        <w:tc>
          <w:tcPr>
            <w:tcW w:w="3119" w:type="dxa"/>
            <w:tcBorders>
              <w:top w:val="single" w:color="auto" w:sz="4" w:space="0"/>
              <w:left w:val="nil"/>
              <w:bottom w:val="single" w:color="auto" w:sz="4" w:space="0"/>
              <w:right w:val="nil"/>
            </w:tcBorders>
            <w:shd w:val="clear" w:color="FFFFFF" w:fill="FFFFFF"/>
            <w:vAlign w:val="center"/>
          </w:tcPr>
          <w:p>
            <w:pPr>
              <w:ind w:firstLine="803" w:firstLineChars="400"/>
              <w:jc w:val="center"/>
              <w:rPr>
                <w:b/>
                <w:bCs/>
                <w:sz w:val="20"/>
                <w:szCs w:val="20"/>
              </w:rPr>
            </w:pPr>
            <w:r>
              <w:rPr>
                <w:rFonts w:hint="eastAsia"/>
                <w:b/>
                <w:bCs/>
                <w:sz w:val="20"/>
                <w:szCs w:val="20"/>
              </w:rPr>
              <w:t>年末数</w:t>
            </w:r>
          </w:p>
        </w:tc>
      </w:tr>
      <w:tr>
        <w:tblPrEx>
          <w:tblCellMar>
            <w:top w:w="0" w:type="dxa"/>
            <w:left w:w="108" w:type="dxa"/>
            <w:bottom w:w="0" w:type="dxa"/>
            <w:right w:w="108" w:type="dxa"/>
          </w:tblCellMar>
        </w:tblPrEx>
        <w:trPr>
          <w:trHeight w:val="20" w:hRule="exact"/>
          <w:tblHeader/>
          <w:jc w:val="center"/>
        </w:trPr>
        <w:tc>
          <w:tcPr>
            <w:tcW w:w="5353" w:type="dxa"/>
            <w:tcBorders>
              <w:top w:val="single" w:color="auto" w:sz="4" w:space="0"/>
              <w:left w:val="nil"/>
              <w:right w:val="nil"/>
            </w:tcBorders>
            <w:shd w:val="clear" w:color="FFFFFF" w:fill="FFFFFF"/>
            <w:vAlign w:val="center"/>
          </w:tcPr>
          <w:p>
            <w:pPr>
              <w:jc w:val="center"/>
              <w:rPr>
                <w:b/>
                <w:bCs/>
                <w:sz w:val="20"/>
                <w:szCs w:val="20"/>
              </w:rPr>
            </w:pPr>
          </w:p>
        </w:tc>
        <w:tc>
          <w:tcPr>
            <w:tcW w:w="3119" w:type="dxa"/>
            <w:tcBorders>
              <w:top w:val="single" w:color="auto" w:sz="4" w:space="0"/>
              <w:left w:val="nil"/>
              <w:right w:val="nil"/>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jc w:val="center"/>
        </w:trPr>
        <w:tc>
          <w:tcPr>
            <w:tcW w:w="5353" w:type="dxa"/>
            <w:tcBorders>
              <w:left w:val="nil"/>
              <w:right w:val="nil"/>
            </w:tcBorders>
            <w:shd w:val="clear" w:color="FFFFFF" w:fill="FFFFFF"/>
            <w:vAlign w:val="center"/>
          </w:tcPr>
          <w:p>
            <w:pPr>
              <w:pageBreakBefore w:val="0"/>
              <w:ind w:firstLine="100" w:firstLineChars="50"/>
              <w:jc w:val="left"/>
              <w:textAlignment w:val="auto"/>
            </w:pPr>
            <w:r>
              <w:rPr>
                <w:b/>
                <w:i w:val="0"/>
                <w:color w:val="000000"/>
                <w:position w:val="-1"/>
                <w:sz w:val="20"/>
                <w:u w:val="none"/>
              </w:rPr>
              <w:t>预付本部门内部单位</w:t>
            </w:r>
          </w:p>
        </w:tc>
        <w:tc>
          <w:tcPr>
            <w:tcW w:w="3119" w:type="dxa"/>
            <w:tcBorders>
              <w:left w:val="nil"/>
              <w:right w:val="nil"/>
            </w:tcBorders>
            <w:shd w:val="clear" w:color="FFFFFF" w:fill="FFFFFF"/>
            <w:vAlign w:val="center"/>
          </w:tcPr>
          <w:p>
            <w:pPr>
              <w:pageBreakBefore w:val="0"/>
              <w:ind w:right="80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5353" w:type="dxa"/>
            <w:tcBorders>
              <w:left w:val="nil"/>
              <w:right w:val="nil"/>
            </w:tcBorders>
            <w:shd w:val="clear" w:color="FFFFFF" w:fill="FFFFFF"/>
            <w:vAlign w:val="center"/>
          </w:tcPr>
          <w:p>
            <w:pPr>
              <w:pageBreakBefore w:val="0"/>
              <w:ind w:firstLine="100" w:firstLineChars="50"/>
              <w:jc w:val="left"/>
              <w:textAlignment w:val="auto"/>
            </w:pPr>
            <w:r>
              <w:rPr>
                <w:b/>
                <w:i w:val="0"/>
                <w:color w:val="000000"/>
                <w:position w:val="-1"/>
                <w:sz w:val="20"/>
                <w:u w:val="none"/>
              </w:rPr>
              <w:t>预付本部门以外的同级政府单位</w:t>
            </w:r>
          </w:p>
        </w:tc>
        <w:tc>
          <w:tcPr>
            <w:tcW w:w="3119" w:type="dxa"/>
            <w:tcBorders>
              <w:left w:val="nil"/>
              <w:right w:val="nil"/>
            </w:tcBorders>
            <w:shd w:val="clear" w:color="FFFFFF" w:fill="FFFFFF"/>
            <w:vAlign w:val="center"/>
          </w:tcPr>
          <w:p>
            <w:pPr>
              <w:pageBreakBefore w:val="0"/>
              <w:ind w:right="80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5353" w:type="dxa"/>
            <w:tcBorders>
              <w:left w:val="nil"/>
              <w:right w:val="nil"/>
            </w:tcBorders>
            <w:shd w:val="clear" w:color="FFFFFF" w:fill="FFFFFF"/>
            <w:vAlign w:val="center"/>
          </w:tcPr>
          <w:p>
            <w:pPr>
              <w:pageBreakBefore w:val="0"/>
              <w:ind w:firstLine="100" w:firstLineChars="50"/>
              <w:jc w:val="left"/>
              <w:textAlignment w:val="auto"/>
            </w:pPr>
            <w:r>
              <w:rPr>
                <w:b/>
                <w:i w:val="0"/>
                <w:color w:val="000000"/>
                <w:position w:val="-1"/>
                <w:sz w:val="20"/>
                <w:u w:val="none"/>
              </w:rPr>
              <w:t>预付本部门以外的非同级政府单位</w:t>
            </w:r>
          </w:p>
        </w:tc>
        <w:tc>
          <w:tcPr>
            <w:tcW w:w="3119" w:type="dxa"/>
            <w:tcBorders>
              <w:left w:val="nil"/>
              <w:right w:val="nil"/>
            </w:tcBorders>
            <w:shd w:val="clear" w:color="FFFFFF" w:fill="FFFFFF"/>
            <w:vAlign w:val="center"/>
          </w:tcPr>
          <w:p>
            <w:pPr>
              <w:pageBreakBefore w:val="0"/>
              <w:ind w:right="80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5353" w:type="dxa"/>
            <w:tcBorders>
              <w:left w:val="nil"/>
              <w:right w:val="nil"/>
            </w:tcBorders>
            <w:shd w:val="clear" w:color="FFFFFF" w:fill="FFFFFF"/>
            <w:vAlign w:val="center"/>
          </w:tcPr>
          <w:p>
            <w:pPr>
              <w:pageBreakBefore w:val="0"/>
              <w:ind w:firstLine="100" w:firstLineChars="50"/>
              <w:jc w:val="left"/>
              <w:textAlignment w:val="auto"/>
            </w:pPr>
            <w:r>
              <w:rPr>
                <w:b/>
                <w:i w:val="0"/>
                <w:color w:val="000000"/>
                <w:position w:val="-1"/>
                <w:sz w:val="20"/>
                <w:u w:val="none"/>
              </w:rPr>
              <w:t>预付其他单位</w:t>
            </w:r>
          </w:p>
        </w:tc>
        <w:tc>
          <w:tcPr>
            <w:tcW w:w="3119" w:type="dxa"/>
            <w:tcBorders>
              <w:left w:val="nil"/>
              <w:right w:val="nil"/>
            </w:tcBorders>
            <w:shd w:val="clear" w:color="FFFFFF" w:fill="FFFFFF"/>
            <w:vAlign w:val="center"/>
          </w:tcPr>
          <w:p>
            <w:pPr>
              <w:pageBreakBefore w:val="0"/>
              <w:ind w:right="800"/>
              <w:jc w:val="right"/>
              <w:textAlignment w:val="auto"/>
            </w:pPr>
            <w:r>
              <w:rPr>
                <w:rFonts w:ascii="Times New Roman" w:hAnsi="Times New Roman" w:eastAsia="Times New Roman" w:cs="Times New Roman"/>
                <w:b w:val="0"/>
                <w:i w:val="0"/>
                <w:color w:val="000000"/>
                <w:position w:val="-1"/>
                <w:sz w:val="20"/>
                <w:u w:val="none"/>
              </w:rPr>
              <w:t>229.28</w:t>
            </w:r>
          </w:p>
        </w:tc>
      </w:tr>
      <w:tr>
        <w:tblPrEx>
          <w:tblCellMar>
            <w:top w:w="0" w:type="dxa"/>
            <w:left w:w="108" w:type="dxa"/>
            <w:bottom w:w="0" w:type="dxa"/>
            <w:right w:w="108" w:type="dxa"/>
          </w:tblCellMar>
        </w:tblPrEx>
        <w:trPr>
          <w:trHeight w:val="455" w:hRule="atLeast"/>
          <w:jc w:val="center"/>
        </w:trPr>
        <w:tc>
          <w:tcPr>
            <w:tcW w:w="5353" w:type="dxa"/>
            <w:tcBorders>
              <w:top w:val="single" w:color="auto" w:sz="4" w:space="0"/>
              <w:left w:val="nil"/>
              <w:bottom w:val="single" w:color="auto" w:sz="4" w:space="0"/>
              <w:right w:val="nil"/>
            </w:tcBorders>
            <w:shd w:val="clear" w:color="FFFFFF" w:fill="FFFFFF"/>
            <w:vAlign w:val="center"/>
          </w:tcPr>
          <w:p>
            <w:pPr>
              <w:pageBreakBefore w:val="0"/>
              <w:ind w:firstLine="100" w:firstLineChars="50"/>
              <w:jc w:val="center"/>
              <w:textAlignment w:val="auto"/>
            </w:pPr>
            <w:r>
              <w:rPr>
                <w:b/>
                <w:i w:val="0"/>
                <w:color w:val="000000"/>
                <w:position w:val="-1"/>
                <w:sz w:val="20"/>
                <w:u w:val="none"/>
              </w:rPr>
              <w:t>合计</w:t>
            </w:r>
          </w:p>
        </w:tc>
        <w:tc>
          <w:tcPr>
            <w:tcW w:w="3119" w:type="dxa"/>
            <w:tcBorders>
              <w:top w:val="single" w:color="auto" w:sz="4" w:space="0"/>
              <w:left w:val="nil"/>
              <w:bottom w:val="single" w:color="auto" w:sz="4" w:space="0"/>
              <w:right w:val="nil"/>
            </w:tcBorders>
            <w:shd w:val="clear" w:color="FFFFFF" w:fill="FFFFFF"/>
            <w:vAlign w:val="center"/>
          </w:tcPr>
          <w:p>
            <w:pPr>
              <w:pageBreakBefore w:val="0"/>
              <w:ind w:right="800"/>
              <w:jc w:val="right"/>
              <w:textAlignment w:val="auto"/>
            </w:pPr>
            <w:r>
              <w:rPr>
                <w:rFonts w:ascii="Times New Roman" w:hAnsi="Times New Roman" w:eastAsia="Times New Roman" w:cs="Times New Roman"/>
                <w:b w:val="0"/>
                <w:i w:val="0"/>
                <w:color w:val="000000"/>
                <w:position w:val="-1"/>
                <w:sz w:val="20"/>
                <w:u w:val="none"/>
              </w:rPr>
              <w:t>229.28</w:t>
            </w:r>
          </w:p>
        </w:tc>
      </w:tr>
    </w:tbl>
    <w:p>
      <w:pPr>
        <w:rPr>
          <w:color w:val="000000"/>
          <w:sz w:val="22"/>
          <w:szCs w:val="22"/>
        </w:rPr>
      </w:pPr>
    </w:p>
    <w:p>
      <w:pPr>
        <w:rPr>
          <w:color w:val="000000"/>
          <w:sz w:val="22"/>
          <w:szCs w:val="22"/>
        </w:rPr>
      </w:pPr>
    </w:p>
    <w:p>
      <w:pPr>
        <w:rPr>
          <w:color w:val="000000"/>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4</w:t>
      </w:r>
      <w:r>
        <w:rPr>
          <w:rFonts w:hint="eastAsia" w:ascii="宋体" w:hAnsi="宋体" w:eastAsia="宋体"/>
        </w:rPr>
        <w:t>）其他应收款净额明细信息如下：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附表4</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其他应收款净额明细表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ind w:right="800"/>
        <w:rPr>
          <w:color w:val="000000"/>
          <w:sz w:val="20"/>
          <w:szCs w:val="20"/>
        </w:rPr>
      </w:pPr>
    </w:p>
    <w:tbl>
      <w:tblPr>
        <w:tblStyle w:val="3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7"/>
        <w:gridCol w:w="1559"/>
        <w:gridCol w:w="1134"/>
        <w:gridCol w:w="1134"/>
        <w:gridCol w:w="14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7" w:type="dxa"/>
            <w:vMerge w:val="restart"/>
            <w:tcBorders>
              <w:left w:val="nil"/>
              <w:right w:val="nil"/>
            </w:tcBorders>
            <w:shd w:val="clear" w:color="FFFFFF" w:fill="FFFFFF"/>
          </w:tcPr>
          <w:p>
            <w:pPr>
              <w:pStyle w:val="144"/>
              <w:spacing w:line="720" w:lineRule="auto"/>
              <w:jc w:val="center"/>
              <w:rPr>
                <w:lang w:eastAsia="zh-CN"/>
              </w:rPr>
            </w:pPr>
            <w:r>
              <w:rPr>
                <w:rFonts w:hint="eastAsia"/>
                <w:b/>
                <w:bCs/>
                <w:lang w:eastAsia="zh-CN"/>
              </w:rPr>
              <w:t>债务人</w:t>
            </w:r>
          </w:p>
        </w:tc>
        <w:tc>
          <w:tcPr>
            <w:tcW w:w="1559" w:type="dxa"/>
            <w:tcBorders>
              <w:left w:val="nil"/>
              <w:right w:val="single" w:color="auto" w:sz="4" w:space="0"/>
            </w:tcBorders>
            <w:shd w:val="clear" w:color="FFFFFF" w:fill="FFFFFF"/>
          </w:tcPr>
          <w:p>
            <w:pPr>
              <w:pStyle w:val="144"/>
              <w:jc w:val="center"/>
              <w:rPr>
                <w:lang w:eastAsia="zh-CN"/>
              </w:rPr>
            </w:pPr>
            <w:r>
              <w:rPr>
                <w:rFonts w:ascii="宋体" w:hAnsi="宋体" w:eastAsia="宋体" w:cs="宋体"/>
                <w:b/>
                <w:bCs/>
                <w:sz w:val="20"/>
                <w:szCs w:val="20"/>
              </w:rPr>
              <w:t>应收账款原值</w:t>
            </w:r>
          </w:p>
        </w:tc>
        <w:tc>
          <w:tcPr>
            <w:tcW w:w="2268" w:type="dxa"/>
            <w:gridSpan w:val="2"/>
            <w:tcBorders>
              <w:left w:val="single" w:color="auto" w:sz="4" w:space="0"/>
              <w:right w:val="single" w:color="auto" w:sz="4" w:space="0"/>
            </w:tcBorders>
            <w:shd w:val="clear" w:color="FFFFFF" w:fill="FFFFFF"/>
          </w:tcPr>
          <w:p>
            <w:pPr>
              <w:pStyle w:val="144"/>
              <w:jc w:val="center"/>
              <w:rPr>
                <w:lang w:eastAsia="zh-CN"/>
              </w:rPr>
            </w:pPr>
            <w:r>
              <w:rPr>
                <w:rFonts w:ascii="宋体" w:hAnsi="宋体" w:eastAsia="宋体" w:cs="宋体"/>
                <w:b/>
                <w:bCs/>
                <w:sz w:val="20"/>
                <w:szCs w:val="20"/>
              </w:rPr>
              <w:t>减：坏账准备</w:t>
            </w:r>
          </w:p>
        </w:tc>
        <w:tc>
          <w:tcPr>
            <w:tcW w:w="1474" w:type="dxa"/>
            <w:tcBorders>
              <w:left w:val="single" w:color="auto" w:sz="4" w:space="0"/>
              <w:right w:val="nil"/>
            </w:tcBorders>
            <w:shd w:val="clear" w:color="FFFFFF" w:fill="FFFFFF"/>
          </w:tcPr>
          <w:p>
            <w:pPr>
              <w:pStyle w:val="144"/>
              <w:jc w:val="center"/>
              <w:rPr>
                <w:lang w:eastAsia="zh-CN"/>
              </w:rPr>
            </w:pPr>
            <w:r>
              <w:rPr>
                <w:rFonts w:ascii="宋体" w:hAnsi="宋体" w:eastAsia="宋体" w:cs="宋体"/>
                <w:b/>
                <w:bCs/>
                <w:sz w:val="20"/>
                <w:szCs w:val="20"/>
              </w:rPr>
              <w:t>应收账款净值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7" w:type="dxa"/>
            <w:vMerge w:val="continue"/>
            <w:tcBorders>
              <w:left w:val="nil"/>
              <w:bottom w:val="single" w:color="auto" w:sz="4" w:space="0"/>
              <w:right w:val="nil"/>
            </w:tcBorders>
            <w:shd w:val="clear" w:color="FFFFFF" w:fill="FFFFFF"/>
          </w:tcPr>
          <w:p>
            <w:pPr>
              <w:pStyle w:val="144"/>
              <w:jc w:val="both"/>
              <w:rPr>
                <w:lang w:eastAsia="zh-CN"/>
              </w:rPr>
            </w:pPr>
          </w:p>
        </w:tc>
        <w:tc>
          <w:tcPr>
            <w:tcW w:w="1559" w:type="dxa"/>
            <w:tcBorders>
              <w:left w:val="nil"/>
              <w:bottom w:val="single" w:color="auto" w:sz="4" w:space="0"/>
              <w:right w:val="single" w:color="auto" w:sz="4" w:space="0"/>
            </w:tcBorders>
            <w:shd w:val="clear" w:color="FFFFFF" w:fill="FFFFFF"/>
          </w:tcPr>
          <w:p>
            <w:pPr>
              <w:pStyle w:val="144"/>
              <w:spacing w:line="480" w:lineRule="auto"/>
              <w:jc w:val="center"/>
              <w:rPr>
                <w:lang w:eastAsia="zh-CN"/>
              </w:rPr>
            </w:pPr>
            <w:r>
              <w:rPr>
                <w:rFonts w:ascii="宋体" w:hAnsi="宋体" w:eastAsia="宋体" w:cs="宋体"/>
                <w:b/>
                <w:bCs/>
                <w:sz w:val="20"/>
                <w:szCs w:val="20"/>
              </w:rPr>
              <w:t>年末数</w:t>
            </w:r>
          </w:p>
        </w:tc>
        <w:tc>
          <w:tcPr>
            <w:tcW w:w="1134" w:type="dxa"/>
            <w:tcBorders>
              <w:left w:val="single" w:color="auto" w:sz="4" w:space="0"/>
              <w:bottom w:val="single" w:color="auto" w:sz="4" w:space="0"/>
              <w:right w:val="nil"/>
            </w:tcBorders>
            <w:shd w:val="clear" w:color="FFFFFF" w:fill="FFFFFF"/>
          </w:tcPr>
          <w:p>
            <w:pPr>
              <w:pStyle w:val="144"/>
              <w:jc w:val="center"/>
              <w:rPr>
                <w:b/>
                <w:bCs/>
                <w:sz w:val="20"/>
                <w:szCs w:val="20"/>
                <w:lang w:eastAsia="zh-CN"/>
              </w:rPr>
            </w:pPr>
            <w:r>
              <w:rPr>
                <w:rFonts w:hint="eastAsia"/>
                <w:b/>
                <w:bCs/>
                <w:sz w:val="20"/>
                <w:szCs w:val="20"/>
                <w:lang w:eastAsia="zh-CN"/>
              </w:rPr>
              <w:t>当期补提</w:t>
            </w:r>
          </w:p>
          <w:p>
            <w:pPr>
              <w:pStyle w:val="144"/>
              <w:jc w:val="center"/>
              <w:rPr>
                <w:lang w:eastAsia="zh-CN"/>
              </w:rPr>
            </w:pPr>
            <w:r>
              <w:rPr>
                <w:rFonts w:hint="eastAsia"/>
                <w:b/>
                <w:bCs/>
                <w:sz w:val="20"/>
                <w:szCs w:val="20"/>
                <w:lang w:eastAsia="zh-CN"/>
              </w:rPr>
              <w:t>或冲减数</w:t>
            </w:r>
          </w:p>
        </w:tc>
        <w:tc>
          <w:tcPr>
            <w:tcW w:w="1134" w:type="dxa"/>
            <w:tcBorders>
              <w:left w:val="nil"/>
              <w:bottom w:val="single" w:color="auto" w:sz="4" w:space="0"/>
              <w:right w:val="single" w:color="auto" w:sz="4" w:space="0"/>
            </w:tcBorders>
            <w:shd w:val="clear" w:color="FFFFFF" w:fill="FFFFFF"/>
          </w:tcPr>
          <w:p>
            <w:pPr>
              <w:pStyle w:val="144"/>
              <w:spacing w:line="480" w:lineRule="auto"/>
              <w:jc w:val="center"/>
              <w:rPr>
                <w:lang w:eastAsia="zh-CN"/>
              </w:rPr>
            </w:pPr>
            <w:r>
              <w:rPr>
                <w:rFonts w:ascii="宋体" w:hAnsi="宋体" w:eastAsia="宋体" w:cs="宋体"/>
                <w:b/>
                <w:bCs/>
                <w:sz w:val="20"/>
                <w:szCs w:val="20"/>
              </w:rPr>
              <w:t>年末数</w:t>
            </w:r>
          </w:p>
        </w:tc>
        <w:tc>
          <w:tcPr>
            <w:tcW w:w="1474" w:type="dxa"/>
            <w:tcBorders>
              <w:left w:val="single" w:color="auto" w:sz="4" w:space="0"/>
              <w:bottom w:val="single" w:color="auto" w:sz="4" w:space="0"/>
              <w:right w:val="nil"/>
            </w:tcBorders>
            <w:shd w:val="clear" w:color="FFFFFF" w:fill="FFFFFF"/>
          </w:tcPr>
          <w:p>
            <w:pPr>
              <w:pStyle w:val="144"/>
              <w:spacing w:line="480" w:lineRule="auto"/>
              <w:jc w:val="center"/>
              <w:rPr>
                <w:lang w:eastAsia="zh-CN"/>
              </w:rPr>
            </w:pPr>
            <w:r>
              <w:rPr>
                <w:rFonts w:ascii="宋体" w:hAnsi="宋体" w:eastAsia="宋体" w:cs="宋体"/>
                <w:b/>
                <w:bCs/>
                <w:sz w:val="20"/>
                <w:szCs w:val="20"/>
              </w:rPr>
              <w:t>年末数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exact"/>
        </w:trPr>
        <w:tc>
          <w:tcPr>
            <w:tcW w:w="3227" w:type="dxa"/>
            <w:tcBorders>
              <w:top w:val="single" w:color="auto" w:sz="4" w:space="0"/>
              <w:left w:val="nil"/>
              <w:bottom w:val="nil"/>
              <w:right w:val="nil"/>
            </w:tcBorders>
            <w:shd w:val="clear" w:color="FFFFFF" w:fill="FFFFFF"/>
          </w:tcPr>
          <w:p>
            <w:pPr>
              <w:pStyle w:val="144"/>
              <w:jc w:val="both"/>
              <w:rPr>
                <w:lang w:eastAsia="zh-CN"/>
              </w:rPr>
            </w:pPr>
          </w:p>
        </w:tc>
        <w:tc>
          <w:tcPr>
            <w:tcW w:w="1559" w:type="dxa"/>
            <w:tcBorders>
              <w:top w:val="single" w:color="auto" w:sz="4" w:space="0"/>
              <w:left w:val="nil"/>
              <w:bottom w:val="nil"/>
              <w:right w:val="single" w:color="auto" w:sz="4" w:space="0"/>
            </w:tcBorders>
            <w:shd w:val="clear" w:color="FFFFFF" w:fill="FFFFFF"/>
          </w:tcPr>
          <w:p>
            <w:pPr>
              <w:pStyle w:val="144"/>
              <w:jc w:val="both"/>
              <w:rPr>
                <w:lang w:eastAsia="zh-CN"/>
              </w:rPr>
            </w:pPr>
          </w:p>
        </w:tc>
        <w:tc>
          <w:tcPr>
            <w:tcW w:w="1134" w:type="dxa"/>
            <w:tcBorders>
              <w:top w:val="single" w:color="auto" w:sz="4" w:space="0"/>
              <w:left w:val="single" w:color="auto" w:sz="4" w:space="0"/>
              <w:bottom w:val="nil"/>
              <w:right w:val="nil"/>
            </w:tcBorders>
            <w:shd w:val="clear" w:color="FFFFFF" w:fill="FFFFFF"/>
          </w:tcPr>
          <w:p>
            <w:pPr>
              <w:pStyle w:val="144"/>
              <w:jc w:val="both"/>
              <w:rPr>
                <w:lang w:eastAsia="zh-CN"/>
              </w:rPr>
            </w:pPr>
          </w:p>
        </w:tc>
        <w:tc>
          <w:tcPr>
            <w:tcW w:w="1134" w:type="dxa"/>
            <w:tcBorders>
              <w:top w:val="single" w:color="auto" w:sz="4" w:space="0"/>
              <w:left w:val="nil"/>
              <w:bottom w:val="nil"/>
              <w:right w:val="single" w:color="auto" w:sz="4" w:space="0"/>
            </w:tcBorders>
            <w:shd w:val="clear" w:color="FFFFFF" w:fill="FFFFFF"/>
          </w:tcPr>
          <w:p>
            <w:pPr>
              <w:pStyle w:val="144"/>
              <w:jc w:val="both"/>
              <w:rPr>
                <w:lang w:eastAsia="zh-CN"/>
              </w:rPr>
            </w:pPr>
          </w:p>
        </w:tc>
        <w:tc>
          <w:tcPr>
            <w:tcW w:w="1474" w:type="dxa"/>
            <w:tcBorders>
              <w:top w:val="single" w:color="auto" w:sz="4" w:space="0"/>
              <w:left w:val="single" w:color="auto" w:sz="4" w:space="0"/>
              <w:bottom w:val="nil"/>
              <w:right w:val="nil"/>
            </w:tcBorders>
            <w:shd w:val="clear" w:color="FFFFFF" w:fill="FFFFFF"/>
          </w:tcPr>
          <w:p>
            <w:pPr>
              <w:pStyle w:val="144"/>
              <w:jc w:val="both"/>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27" w:type="dxa"/>
            <w:tcBorders>
              <w:top w:val="nil"/>
              <w:left w:val="nil"/>
              <w:bottom w:val="nil"/>
              <w:right w:val="nil"/>
            </w:tcBorders>
            <w:shd w:val="clear" w:color="FFFFFF" w:fill="FFFFFF"/>
          </w:tcPr>
          <w:p>
            <w:pPr>
              <w:pageBreakBefore w:val="0"/>
              <w:widowControl w:val="0"/>
              <w:spacing w:before="3"/>
              <w:ind w:left="107"/>
              <w:jc w:val="left"/>
              <w:textAlignment w:val="auto"/>
            </w:pPr>
            <w:r>
              <w:rPr>
                <w:rFonts w:ascii="Times New Roman" w:hAnsi="Times New Roman" w:cs="Times New Roman" w:eastAsiaTheme="minorEastAsia"/>
                <w:b/>
                <w:i w:val="0"/>
                <w:color w:val="auto"/>
                <w:position w:val="-1"/>
                <w:sz w:val="20"/>
                <w:u w:val="none"/>
              </w:rPr>
              <w:t>应收本部门内部单位</w:t>
            </w:r>
          </w:p>
        </w:tc>
        <w:tc>
          <w:tcPr>
            <w:tcW w:w="1559"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27" w:type="dxa"/>
            <w:tcBorders>
              <w:top w:val="nil"/>
              <w:left w:val="nil"/>
              <w:bottom w:val="nil"/>
              <w:right w:val="nil"/>
            </w:tcBorders>
            <w:shd w:val="clear" w:color="FFFFFF" w:fill="FFFFFF"/>
          </w:tcPr>
          <w:p>
            <w:pPr>
              <w:pageBreakBefore w:val="0"/>
              <w:widowControl w:val="0"/>
              <w:spacing w:before="3"/>
              <w:ind w:left="107"/>
              <w:jc w:val="left"/>
              <w:textAlignment w:val="auto"/>
            </w:pPr>
            <w:r>
              <w:rPr>
                <w:rFonts w:ascii="Times New Roman" w:hAnsi="Times New Roman" w:cs="Times New Roman" w:eastAsiaTheme="minorEastAsia"/>
                <w:b/>
                <w:i w:val="0"/>
                <w:color w:val="auto"/>
                <w:position w:val="-1"/>
                <w:sz w:val="20"/>
                <w:u w:val="none"/>
              </w:rPr>
              <w:t>应收本部门以外的同级政府单位</w:t>
            </w:r>
          </w:p>
        </w:tc>
        <w:tc>
          <w:tcPr>
            <w:tcW w:w="1559"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27" w:type="dxa"/>
            <w:tcBorders>
              <w:top w:val="nil"/>
              <w:left w:val="nil"/>
              <w:bottom w:val="nil"/>
              <w:right w:val="nil"/>
            </w:tcBorders>
            <w:shd w:val="clear" w:color="FFFFFF" w:fill="FFFFFF"/>
          </w:tcPr>
          <w:p>
            <w:pPr>
              <w:pageBreakBefore w:val="0"/>
              <w:widowControl w:val="0"/>
              <w:spacing w:before="3"/>
              <w:ind w:left="107"/>
              <w:jc w:val="left"/>
              <w:textAlignment w:val="auto"/>
            </w:pPr>
            <w:r>
              <w:rPr>
                <w:rFonts w:ascii="Times New Roman" w:hAnsi="Times New Roman" w:cs="Times New Roman" w:eastAsiaTheme="minorEastAsia"/>
                <w:b/>
                <w:i w:val="0"/>
                <w:color w:val="auto"/>
                <w:position w:val="-1"/>
                <w:sz w:val="20"/>
                <w:u w:val="none"/>
              </w:rPr>
              <w:t>应收本部门以外的非同级政府单位</w:t>
            </w:r>
          </w:p>
        </w:tc>
        <w:tc>
          <w:tcPr>
            <w:tcW w:w="1559"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27" w:type="dxa"/>
            <w:tcBorders>
              <w:top w:val="nil"/>
              <w:left w:val="nil"/>
              <w:bottom w:val="nil"/>
              <w:right w:val="nil"/>
            </w:tcBorders>
            <w:shd w:val="clear" w:color="FFFFFF" w:fill="FFFFFF"/>
          </w:tcPr>
          <w:p>
            <w:pPr>
              <w:pageBreakBefore w:val="0"/>
              <w:widowControl w:val="0"/>
              <w:spacing w:before="3"/>
              <w:ind w:left="107"/>
              <w:jc w:val="left"/>
              <w:textAlignment w:val="auto"/>
            </w:pPr>
            <w:r>
              <w:rPr>
                <w:rFonts w:ascii="Times New Roman" w:hAnsi="Times New Roman" w:cs="Times New Roman" w:eastAsiaTheme="minorEastAsia"/>
                <w:b/>
                <w:i w:val="0"/>
                <w:color w:val="auto"/>
                <w:position w:val="-1"/>
                <w:sz w:val="20"/>
                <w:u w:val="none"/>
              </w:rPr>
              <w:t>应收同级财政</w:t>
            </w:r>
          </w:p>
        </w:tc>
        <w:tc>
          <w:tcPr>
            <w:tcW w:w="1559"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27" w:type="dxa"/>
            <w:tcBorders>
              <w:top w:val="nil"/>
              <w:left w:val="nil"/>
              <w:bottom w:val="nil"/>
              <w:right w:val="nil"/>
            </w:tcBorders>
            <w:shd w:val="clear" w:color="FFFFFF" w:fill="FFFFFF"/>
          </w:tcPr>
          <w:p>
            <w:pPr>
              <w:pageBreakBefore w:val="0"/>
              <w:widowControl w:val="0"/>
              <w:spacing w:before="3"/>
              <w:ind w:left="107"/>
              <w:jc w:val="left"/>
              <w:textAlignment w:val="auto"/>
            </w:pPr>
            <w:r>
              <w:rPr>
                <w:rFonts w:ascii="Times New Roman" w:hAnsi="Times New Roman" w:cs="Times New Roman" w:eastAsiaTheme="minorEastAsia"/>
                <w:b/>
                <w:i w:val="0"/>
                <w:color w:val="auto"/>
                <w:position w:val="-1"/>
                <w:sz w:val="20"/>
                <w:u w:val="none"/>
              </w:rPr>
              <w:t>应收其他单位</w:t>
            </w:r>
          </w:p>
        </w:tc>
        <w:tc>
          <w:tcPr>
            <w:tcW w:w="1559"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362.06</w:t>
            </w:r>
          </w:p>
        </w:tc>
        <w:tc>
          <w:tcPr>
            <w:tcW w:w="113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362.06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227" w:type="dxa"/>
            <w:tcBorders>
              <w:top w:val="single" w:color="auto" w:sz="4" w:space="0"/>
              <w:left w:val="nil"/>
              <w:bottom w:val="single" w:color="auto" w:sz="4" w:space="0"/>
              <w:right w:val="nil"/>
            </w:tcBorders>
            <w:shd w:val="clear" w:color="FFFFFF" w:fill="FFFFFF"/>
          </w:tcPr>
          <w:p>
            <w:pPr>
              <w:pageBreakBefore w:val="0"/>
              <w:widowControl w:val="0"/>
              <w:spacing w:before="3"/>
              <w:ind w:left="107"/>
              <w:jc w:val="center"/>
              <w:textAlignment w:val="auto"/>
            </w:pPr>
            <w:r>
              <w:rPr>
                <w:rFonts w:ascii="Times New Roman" w:hAnsi="Times New Roman" w:cs="Times New Roman" w:eastAsiaTheme="minorEastAsia"/>
                <w:b/>
                <w:i w:val="0"/>
                <w:color w:val="auto"/>
                <w:position w:val="-1"/>
                <w:sz w:val="20"/>
                <w:u w:val="none"/>
              </w:rPr>
              <w:t>合计</w:t>
            </w:r>
          </w:p>
        </w:tc>
        <w:tc>
          <w:tcPr>
            <w:tcW w:w="1559" w:type="dxa"/>
            <w:tcBorders>
              <w:top w:val="single" w:color="auto" w:sz="4" w:space="0"/>
              <w:left w:val="nil"/>
              <w:bottom w:val="single" w:color="auto" w:sz="4" w:space="0"/>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362.06</w:t>
            </w:r>
          </w:p>
        </w:tc>
        <w:tc>
          <w:tcPr>
            <w:tcW w:w="1134" w:type="dxa"/>
            <w:tcBorders>
              <w:top w:val="single" w:color="auto" w:sz="4" w:space="0"/>
              <w:left w:val="single" w:color="auto" w:sz="4" w:space="0"/>
              <w:bottom w:val="single" w:color="auto" w:sz="4" w:space="0"/>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single" w:color="auto" w:sz="4" w:space="0"/>
              <w:left w:val="nil"/>
              <w:bottom w:val="single" w:color="auto" w:sz="4" w:space="0"/>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single" w:color="auto" w:sz="4" w:space="0"/>
              <w:left w:val="single" w:color="auto" w:sz="4" w:space="0"/>
              <w:bottom w:val="single" w:color="auto" w:sz="4" w:space="0"/>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362.06</w:t>
            </w:r>
          </w:p>
        </w:tc>
      </w:tr>
    </w:tbl>
    <w:p>
      <w:pPr>
        <w:pStyle w:val="144"/>
        <w:rPr>
          <w:rFonts w:ascii="宋体" w:hAnsi="宋体" w:eastAsia="宋体"/>
          <w:lang w:eastAsia="zh-CN"/>
        </w:rPr>
      </w:pPr>
      <w:r>
        <w:rPr>
          <w:rFonts w:hint="eastAsia" w:ascii="宋体" w:hAnsi="宋体" w:eastAsia="宋体" w:cs="宋体"/>
          <w:spacing w:val="-1"/>
          <w:sz w:val="20"/>
          <w:szCs w:val="20"/>
          <w:lang w:eastAsia="zh-CN"/>
        </w:rPr>
        <w:t>注：当期坏账准备冲</w:t>
      </w:r>
      <w:r>
        <w:rPr>
          <w:rFonts w:ascii="宋体" w:hAnsi="宋体" w:eastAsia="宋体" w:cs="宋体"/>
          <w:spacing w:val="-1"/>
          <w:sz w:val="20"/>
          <w:szCs w:val="20"/>
          <w:lang w:eastAsia="zh-CN"/>
        </w:rPr>
        <w:t>减数以“-”号填列。</w:t>
      </w:r>
    </w:p>
    <w:p>
      <w:pPr>
        <w:pStyle w:val="110"/>
        <w:ind w:firstLine="0" w:firstLineChars="0"/>
        <w:outlineLvl w:val="4"/>
        <w:sectPr>
          <w:pgSz w:w="11906" w:h="16838"/>
          <w:pgMar w:top="1440" w:right="1797" w:bottom="1440" w:left="1797" w:header="851" w:footer="992" w:gutter="0"/>
          <w:cols w:space="425" w:num="1"/>
          <w:docGrid w:type="lines" w:linePitch="326" w:charSpace="0"/>
        </w:sect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5</w:t>
      </w:r>
      <w:r>
        <w:rPr>
          <w:rFonts w:hint="eastAsia" w:ascii="宋体" w:hAnsi="宋体" w:eastAsia="宋体"/>
        </w:rPr>
        <w:t>）长期投资及投资收益明细信息如下：</w:t>
      </w:r>
    </w:p>
    <w:tbl>
      <w:tblPr>
        <w:tblStyle w:val="34"/>
        <w:tblW w:w="12465" w:type="dxa"/>
        <w:jc w:val="center"/>
        <w:tblLayout w:type="fixed"/>
        <w:tblCellMar>
          <w:top w:w="0" w:type="dxa"/>
          <w:left w:w="108" w:type="dxa"/>
          <w:bottom w:w="0" w:type="dxa"/>
          <w:right w:w="108" w:type="dxa"/>
        </w:tblCellMar>
      </w:tblPr>
      <w:tblGrid>
        <w:gridCol w:w="12465"/>
      </w:tblGrid>
      <w:tr>
        <w:tblPrEx>
          <w:tblCellMar>
            <w:top w:w="0" w:type="dxa"/>
            <w:left w:w="108" w:type="dxa"/>
            <w:bottom w:w="0" w:type="dxa"/>
            <w:right w:w="108" w:type="dxa"/>
          </w:tblCellMar>
        </w:tblPrEx>
        <w:trPr>
          <w:trHeight w:val="794" w:hRule="exact"/>
          <w:jc w:val="center"/>
        </w:trPr>
        <w:tc>
          <w:tcPr>
            <w:tcW w:w="12465" w:type="dxa"/>
            <w:tcBorders>
              <w:top w:val="nil"/>
              <w:left w:val="nil"/>
              <w:bottom w:val="nil"/>
              <w:right w:val="nil"/>
            </w:tcBorders>
            <w:shd w:val="clear" w:color="FFFFFF" w:fill="FFFFFF"/>
            <w:vAlign w:val="center"/>
          </w:tcPr>
          <w:p>
            <w:pPr>
              <w:rPr>
                <w:sz w:val="22"/>
                <w:szCs w:val="22"/>
              </w:rPr>
            </w:pPr>
            <w:r>
              <w:rPr>
                <w:rFonts w:hint="eastAsia"/>
                <w:sz w:val="22"/>
                <w:szCs w:val="22"/>
              </w:rPr>
              <w:t>附表5</w:t>
            </w:r>
          </w:p>
          <w:p>
            <w:pPr>
              <w:jc w:val="center"/>
              <w:rPr>
                <w:sz w:val="22"/>
                <w:szCs w:val="22"/>
              </w:rPr>
            </w:pPr>
            <w:r>
              <w:rPr>
                <w:rFonts w:ascii="宋体" w:hAnsi="宋体" w:eastAsia="宋体" w:cs="宋体"/>
                <w:sz w:val="22"/>
              </w:rPr>
              <w:t>附表5为空表（略）</w:t>
            </w:r>
          </w:p>
        </w:tc>
      </w:tr>
    </w:tbl>
    <w:p>
      <w:pPr>
        <w:spacing w:line="20" w:lineRule="exact"/>
        <w:jc w:val="right"/>
        <w:rPr>
          <w:b/>
          <w:bCs/>
          <w:sz w:val="20"/>
          <w:szCs w:val="20"/>
        </w:rPr>
      </w:pPr>
    </w:p>
    <w:p>
      <w:pPr>
        <w:rPr>
          <w:color w:val="FF0000"/>
          <w:sz w:val="22"/>
          <w:szCs w:val="22"/>
        </w:rPr>
      </w:pPr>
    </w:p>
    <w:p>
      <w:pPr>
        <w:pStyle w:val="110"/>
        <w:ind w:firstLine="600"/>
      </w:pPr>
    </w:p>
    <w:p>
      <w:pPr>
        <w:pStyle w:val="110"/>
        <w:ind w:firstLine="600"/>
        <w:jc w:val="right"/>
        <w:outlineLvl w:val="4"/>
        <w:sectPr>
          <w:pgSz w:w="16838" w:h="11906" w:orient="landscape"/>
          <w:pgMar w:top="1797" w:right="1440" w:bottom="1797" w:left="1440" w:header="851" w:footer="992" w:gutter="0"/>
          <w:cols w:space="425" w:num="1"/>
          <w:docGrid w:type="lines" w:linePitch="326" w:charSpace="0"/>
        </w:sectPr>
      </w:pPr>
    </w:p>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6</w:t>
      </w:r>
      <w:r>
        <w:rPr>
          <w:rFonts w:hint="eastAsia" w:ascii="宋体" w:hAnsi="宋体" w:eastAsia="宋体"/>
        </w:rPr>
        <w:t>）固定资产明细信息如下：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附表6</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固定资产明细表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sz w:val="20"/>
          <w:szCs w:val="20"/>
        </w:rPr>
      </w:pPr>
    </w:p>
    <w:tbl>
      <w:tblPr>
        <w:tblStyle w:val="34"/>
        <w:tblW w:w="9607" w:type="dxa"/>
        <w:jc w:val="center"/>
        <w:tblLayout w:type="fixed"/>
        <w:tblCellMar>
          <w:top w:w="0" w:type="dxa"/>
          <w:left w:w="108" w:type="dxa"/>
          <w:bottom w:w="0" w:type="dxa"/>
          <w:right w:w="108" w:type="dxa"/>
        </w:tblCellMar>
      </w:tblPr>
      <w:tblGrid>
        <w:gridCol w:w="3545"/>
        <w:gridCol w:w="1908"/>
        <w:gridCol w:w="1166"/>
        <w:gridCol w:w="1222"/>
        <w:gridCol w:w="1766"/>
      </w:tblGrid>
      <w:tr>
        <w:tblPrEx>
          <w:tblCellMar>
            <w:top w:w="0" w:type="dxa"/>
            <w:left w:w="108" w:type="dxa"/>
            <w:bottom w:w="0" w:type="dxa"/>
            <w:right w:w="108" w:type="dxa"/>
          </w:tblCellMar>
        </w:tblPrEx>
        <w:trPr>
          <w:trHeight w:val="397" w:hRule="atLeast"/>
          <w:tblHeader/>
          <w:jc w:val="center"/>
        </w:trPr>
        <w:tc>
          <w:tcPr>
            <w:tcW w:w="3545"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项目</w:t>
            </w:r>
          </w:p>
        </w:tc>
        <w:tc>
          <w:tcPr>
            <w:tcW w:w="1908"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年初数</w:t>
            </w:r>
          </w:p>
        </w:tc>
        <w:tc>
          <w:tcPr>
            <w:tcW w:w="1166"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本年增加</w:t>
            </w:r>
          </w:p>
        </w:tc>
        <w:tc>
          <w:tcPr>
            <w:tcW w:w="1222"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本年减少</w:t>
            </w:r>
          </w:p>
        </w:tc>
        <w:tc>
          <w:tcPr>
            <w:tcW w:w="1766"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年末数</w:t>
            </w:r>
          </w:p>
        </w:tc>
      </w:tr>
      <w:tr>
        <w:tblPrEx>
          <w:tblCellMar>
            <w:top w:w="0" w:type="dxa"/>
            <w:left w:w="108" w:type="dxa"/>
            <w:bottom w:w="0" w:type="dxa"/>
            <w:right w:w="108" w:type="dxa"/>
          </w:tblCellMar>
        </w:tblPrEx>
        <w:trPr>
          <w:trHeight w:val="20" w:hRule="exact"/>
          <w:tblHeader/>
          <w:jc w:val="center"/>
        </w:trPr>
        <w:tc>
          <w:tcPr>
            <w:tcW w:w="3545" w:type="dxa"/>
            <w:tcBorders>
              <w:top w:val="single" w:color="auto" w:sz="4" w:space="0"/>
            </w:tcBorders>
            <w:shd w:val="clear" w:color="FFFFFF" w:fill="FFFFFF"/>
            <w:vAlign w:val="center"/>
          </w:tcPr>
          <w:p>
            <w:pPr>
              <w:jc w:val="center"/>
              <w:rPr>
                <w:b/>
                <w:bCs/>
                <w:sz w:val="20"/>
                <w:szCs w:val="20"/>
              </w:rPr>
            </w:pPr>
          </w:p>
        </w:tc>
        <w:tc>
          <w:tcPr>
            <w:tcW w:w="1908" w:type="dxa"/>
            <w:tcBorders>
              <w:top w:val="single" w:color="auto" w:sz="4" w:space="0"/>
            </w:tcBorders>
            <w:shd w:val="clear" w:color="FFFFFF" w:fill="FFFFFF"/>
            <w:vAlign w:val="center"/>
          </w:tcPr>
          <w:p>
            <w:pPr>
              <w:jc w:val="center"/>
              <w:rPr>
                <w:b/>
                <w:bCs/>
                <w:sz w:val="20"/>
                <w:szCs w:val="20"/>
              </w:rPr>
            </w:pPr>
          </w:p>
        </w:tc>
        <w:tc>
          <w:tcPr>
            <w:tcW w:w="1166" w:type="dxa"/>
            <w:tcBorders>
              <w:top w:val="single" w:color="auto" w:sz="4" w:space="0"/>
            </w:tcBorders>
            <w:shd w:val="clear" w:color="FFFFFF" w:fill="FFFFFF"/>
            <w:vAlign w:val="center"/>
          </w:tcPr>
          <w:p>
            <w:pPr>
              <w:jc w:val="center"/>
              <w:rPr>
                <w:b/>
                <w:bCs/>
                <w:sz w:val="20"/>
                <w:szCs w:val="20"/>
              </w:rPr>
            </w:pPr>
          </w:p>
        </w:tc>
        <w:tc>
          <w:tcPr>
            <w:tcW w:w="1222" w:type="dxa"/>
            <w:tcBorders>
              <w:top w:val="single" w:color="auto" w:sz="4" w:space="0"/>
            </w:tcBorders>
            <w:shd w:val="clear" w:color="FFFFFF" w:fill="FFFFFF"/>
            <w:vAlign w:val="center"/>
          </w:tcPr>
          <w:p>
            <w:pPr>
              <w:jc w:val="center"/>
              <w:rPr>
                <w:b/>
                <w:bCs/>
                <w:sz w:val="20"/>
                <w:szCs w:val="20"/>
              </w:rPr>
            </w:pPr>
          </w:p>
        </w:tc>
        <w:tc>
          <w:tcPr>
            <w:tcW w:w="1766" w:type="dxa"/>
            <w:tcBorders>
              <w:top w:val="single" w:color="auto" w:sz="4" w:space="0"/>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i w:val="0"/>
                <w:color w:val="000000"/>
                <w:position w:val="-1"/>
                <w:sz w:val="20"/>
                <w:u w:val="none"/>
              </w:rPr>
              <w:t>原值合计</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169.85</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172.85</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房屋及构筑物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80.96</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83.96</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通用设备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53.55</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53.55</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专用设备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23.34</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23.34</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文物和陈列品</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图书、档案</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0.56</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0.56</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家具、用具、装具及动植物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11.44</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11.44</w:t>
            </w:r>
          </w:p>
        </w:tc>
      </w:tr>
      <w:tr>
        <w:tblPrEx>
          <w:tblCellMar>
            <w:top w:w="0" w:type="dxa"/>
            <w:left w:w="108" w:type="dxa"/>
            <w:bottom w:w="0" w:type="dxa"/>
            <w:right w:w="108" w:type="dxa"/>
          </w:tblCellMar>
        </w:tblPrEx>
        <w:trPr>
          <w:trHeight w:val="455" w:hRule="atLeast"/>
          <w:jc w:val="center"/>
        </w:trPr>
        <w:tc>
          <w:tcPr>
            <w:tcW w:w="3545" w:type="dxa"/>
            <w:tcBorders>
              <w:top w:val="single" w:color="auto" w:sz="4" w:space="0"/>
            </w:tcBorders>
            <w:shd w:val="clear" w:color="FFFFFF" w:fill="FFFFFF"/>
            <w:vAlign w:val="center"/>
          </w:tcPr>
          <w:p>
            <w:pPr>
              <w:pageBreakBefore w:val="0"/>
              <w:jc w:val="left"/>
              <w:textAlignment w:val="auto"/>
            </w:pPr>
            <w:r>
              <w:rPr>
                <w:b/>
                <w:i w:val="0"/>
                <w:color w:val="000000"/>
                <w:position w:val="-1"/>
                <w:sz w:val="20"/>
                <w:u w:val="none"/>
              </w:rPr>
              <w:t>累计折旧合计</w:t>
            </w:r>
          </w:p>
        </w:tc>
        <w:tc>
          <w:tcPr>
            <w:tcW w:w="1908"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76.68</w:t>
            </w:r>
          </w:p>
        </w:tc>
        <w:tc>
          <w:tcPr>
            <w:tcW w:w="1166"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9.12</w:t>
            </w:r>
          </w:p>
        </w:tc>
        <w:tc>
          <w:tcPr>
            <w:tcW w:w="1222"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85.80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房屋及构筑物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20.13</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2.58</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22.71</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通用设备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40.83</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3.65</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44.48</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专用设备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8.75</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2.16</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10.91</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文物和陈列品</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图书、档案</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家具、用具、装具及动植物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6.97</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0.73</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7.70</w:t>
            </w:r>
          </w:p>
        </w:tc>
      </w:tr>
      <w:tr>
        <w:tblPrEx>
          <w:tblCellMar>
            <w:top w:w="0" w:type="dxa"/>
            <w:left w:w="108" w:type="dxa"/>
            <w:bottom w:w="0" w:type="dxa"/>
            <w:right w:w="108" w:type="dxa"/>
          </w:tblCellMar>
        </w:tblPrEx>
        <w:trPr>
          <w:trHeight w:val="455" w:hRule="atLeast"/>
          <w:jc w:val="center"/>
        </w:trPr>
        <w:tc>
          <w:tcPr>
            <w:tcW w:w="3545" w:type="dxa"/>
            <w:tcBorders>
              <w:top w:val="single" w:color="auto" w:sz="4" w:space="0"/>
            </w:tcBorders>
            <w:shd w:val="clear" w:color="FFFFFF" w:fill="FFFFFF"/>
            <w:vAlign w:val="center"/>
          </w:tcPr>
          <w:p>
            <w:pPr>
              <w:pageBreakBefore w:val="0"/>
              <w:jc w:val="left"/>
              <w:textAlignment w:val="auto"/>
            </w:pPr>
            <w:r>
              <w:rPr>
                <w:b/>
                <w:i w:val="0"/>
                <w:color w:val="000000"/>
                <w:position w:val="-1"/>
                <w:sz w:val="20"/>
                <w:u w:val="none"/>
              </w:rPr>
              <w:t>净值合计</w:t>
            </w:r>
          </w:p>
        </w:tc>
        <w:tc>
          <w:tcPr>
            <w:tcW w:w="1908"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93.17</w:t>
            </w:r>
          </w:p>
        </w:tc>
        <w:tc>
          <w:tcPr>
            <w:tcW w:w="1166"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3.00</w:t>
            </w:r>
          </w:p>
        </w:tc>
        <w:tc>
          <w:tcPr>
            <w:tcW w:w="1222"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9.12</w:t>
            </w:r>
          </w:p>
        </w:tc>
        <w:tc>
          <w:tcPr>
            <w:tcW w:w="1766"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87.05</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房屋及构筑物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60.83</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2.58</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61.25</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通用设备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12.72</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3.65</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9.07</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专用设备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14.59</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2.16</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12.43</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文物和陈列品</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图书、档案</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0.56</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0.56</w:t>
            </w:r>
          </w:p>
        </w:tc>
      </w:tr>
      <w:tr>
        <w:tblPrEx>
          <w:tblCellMar>
            <w:top w:w="0" w:type="dxa"/>
            <w:left w:w="108" w:type="dxa"/>
            <w:bottom w:w="0" w:type="dxa"/>
            <w:right w:w="108" w:type="dxa"/>
          </w:tblCellMar>
        </w:tblPrEx>
        <w:trPr>
          <w:trHeight w:val="455" w:hRule="atLeast"/>
          <w:jc w:val="center"/>
        </w:trPr>
        <w:tc>
          <w:tcPr>
            <w:tcW w:w="3545" w:type="dxa"/>
            <w:tcBorders>
              <w:bottom w:val="single" w:color="auto" w:sz="4" w:space="0"/>
            </w:tcBorders>
            <w:shd w:val="clear" w:color="FFFFFF" w:fill="FFFFFF"/>
            <w:vAlign w:val="center"/>
          </w:tcPr>
          <w:p>
            <w:pPr>
              <w:pageBreakBefore w:val="0"/>
              <w:jc w:val="left"/>
              <w:textAlignment w:val="auto"/>
            </w:pPr>
            <w:r>
              <w:rPr>
                <w:b w:val="0"/>
                <w:i w:val="0"/>
                <w:color w:val="000000"/>
                <w:position w:val="-1"/>
                <w:sz w:val="20"/>
                <w:u w:val="none"/>
              </w:rPr>
              <w:t xml:space="preserve">  家具、用具、装具及动植物</w:t>
            </w:r>
          </w:p>
        </w:tc>
        <w:tc>
          <w:tcPr>
            <w:tcW w:w="1908"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4.47</w:t>
            </w:r>
          </w:p>
        </w:tc>
        <w:tc>
          <w:tcPr>
            <w:tcW w:w="1166"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0.73</w:t>
            </w:r>
          </w:p>
        </w:tc>
        <w:tc>
          <w:tcPr>
            <w:tcW w:w="1766"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3.74</w:t>
            </w:r>
          </w:p>
        </w:tc>
      </w:tr>
    </w:tbl>
    <w:p/>
    <w:p>
      <w:pPr>
        <w:pStyle w:val="110"/>
        <w:ind w:firstLine="600"/>
        <w:outlineLvl w:val="3"/>
        <w:rPr>
          <w:rFonts w:ascii="宋体" w:hAnsi="宋体" w:eastAsia="宋体"/>
        </w:rPr>
      </w:pPr>
      <w:r>
        <w:rPr>
          <w:rFonts w:hint="eastAsia" w:ascii="宋体" w:hAnsi="宋体" w:eastAsia="宋体"/>
        </w:rPr>
        <w:t>（7）在建工程明细信息如下：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附表7</w:t>
            </w:r>
          </w:p>
          <w:p>
            <w:pPr>
              <w:jc w:val="center"/>
              <w:rPr>
                <w:sz w:val="22"/>
                <w:szCs w:val="22"/>
              </w:rPr>
            </w:pPr>
            <w:r>
              <w:rPr>
                <w:rFonts w:ascii="宋体" w:hAnsi="宋体" w:eastAsia="宋体" w:cs="宋体"/>
                <w:sz w:val="22"/>
              </w:rPr>
              <w:t>附表7为空表（略）</w:t>
            </w:r>
          </w:p>
        </w:tc>
      </w:tr>
    </w:tbl>
    <w:p>
      <w:pPr>
        <w:spacing w:line="20" w:lineRule="exact"/>
        <w:jc w:val="right"/>
        <w:rPr>
          <w:sz w:val="20"/>
          <w:szCs w:val="20"/>
        </w:rPr>
      </w:pPr>
    </w:p>
    <w:p>
      <w:pPr>
        <w:rPr>
          <w:sz w:val="20"/>
          <w:szCs w:val="20"/>
        </w:rPr>
      </w:pPr>
    </w:p>
    <w:p>
      <w:pPr>
        <w:pStyle w:val="110"/>
        <w:ind w:firstLine="600"/>
        <w:outlineLvl w:val="3"/>
        <w:rPr>
          <w:rFonts w:ascii="宋体" w:hAnsi="宋体" w:eastAsia="宋体"/>
        </w:rPr>
      </w:pPr>
      <w:r>
        <w:rPr>
          <w:rFonts w:hint="eastAsia" w:ascii="宋体" w:hAnsi="宋体" w:eastAsia="宋体"/>
        </w:rPr>
        <w:t>（8）无形资产明细信息如下：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附表8</w:t>
            </w:r>
          </w:p>
          <w:p>
            <w:pPr>
              <w:jc w:val="center"/>
              <w:rPr>
                <w:sz w:val="22"/>
                <w:szCs w:val="22"/>
              </w:rPr>
            </w:pPr>
            <w:r>
              <w:rPr>
                <w:rFonts w:ascii="宋体" w:hAnsi="宋体" w:eastAsia="宋体" w:cs="宋体"/>
                <w:sz w:val="22"/>
              </w:rPr>
              <w:t>附表8为空表（略）</w:t>
            </w:r>
          </w:p>
        </w:tc>
      </w:tr>
    </w:tbl>
    <w:p>
      <w:pPr>
        <w:spacing w:line="20" w:lineRule="exact"/>
        <w:jc w:val="right"/>
        <w:rPr>
          <w:sz w:val="20"/>
          <w:szCs w:val="20"/>
        </w:rPr>
      </w:pPr>
    </w:p>
    <w:p>
      <w:bookmarkStart w:id="67" w:name="RANGE!A1:D22"/>
      <w:bookmarkEnd w:id="67"/>
    </w:p>
    <w:p>
      <w:pPr>
        <w:pStyle w:val="110"/>
        <w:ind w:firstLine="600"/>
        <w:outlineLvl w:val="3"/>
        <w:rPr>
          <w:rFonts w:ascii="宋体" w:hAnsi="宋体" w:eastAsia="宋体"/>
        </w:rPr>
      </w:pPr>
      <w:r>
        <w:rPr>
          <w:rFonts w:hint="eastAsia" w:ascii="宋体" w:hAnsi="宋体" w:eastAsia="宋体"/>
        </w:rPr>
        <w:t>（9）公共基础设施明细信息如下：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附表9</w:t>
            </w:r>
            <w:r>
              <w:rPr>
                <w:sz w:val="22"/>
                <w:szCs w:val="22"/>
              </w:rPr>
              <w:t>-1</w:t>
            </w:r>
          </w:p>
          <w:p>
            <w:pPr>
              <w:jc w:val="center"/>
              <w:rPr>
                <w:sz w:val="22"/>
                <w:szCs w:val="22"/>
              </w:rPr>
            </w:pPr>
            <w:r>
              <w:rPr>
                <w:rFonts w:ascii="宋体" w:hAnsi="宋体" w:eastAsia="宋体" w:cs="宋体"/>
                <w:sz w:val="22"/>
              </w:rPr>
              <w:t>附表9-1为空表（略）</w:t>
            </w:r>
          </w:p>
        </w:tc>
      </w:tr>
    </w:tbl>
    <w:p>
      <w:pPr>
        <w:spacing w:line="20" w:lineRule="exact"/>
        <w:jc w:val="right"/>
        <w:rPr>
          <w:b/>
          <w:sz w:val="20"/>
          <w:szCs w:val="20"/>
        </w:rPr>
      </w:pPr>
    </w:p>
    <w:p>
      <w:pPr>
        <w:rPr>
          <w:sz w:val="20"/>
          <w:szCs w:val="20"/>
        </w:rPr>
      </w:pP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附表9</w:t>
            </w:r>
            <w:r>
              <w:rPr>
                <w:sz w:val="22"/>
                <w:szCs w:val="22"/>
              </w:rPr>
              <w:t>-2</w:t>
            </w:r>
          </w:p>
          <w:p>
            <w:pPr>
              <w:jc w:val="center"/>
              <w:rPr>
                <w:sz w:val="22"/>
                <w:szCs w:val="22"/>
              </w:rPr>
            </w:pPr>
            <w:r>
              <w:rPr>
                <w:rFonts w:ascii="宋体" w:hAnsi="宋体" w:eastAsia="宋体" w:cs="宋体"/>
                <w:sz w:val="22"/>
              </w:rPr>
              <w:t>附表9-2为空表（略）</w:t>
            </w:r>
          </w:p>
        </w:tc>
      </w:tr>
    </w:tbl>
    <w:p>
      <w:pPr>
        <w:spacing w:line="20" w:lineRule="exact"/>
        <w:jc w:val="right"/>
        <w:rPr>
          <w:b/>
          <w:sz w:val="20"/>
          <w:szCs w:val="20"/>
        </w:rPr>
      </w:pPr>
    </w:p>
    <w:p>
      <w:pPr>
        <w:rPr>
          <w:sz w:val="20"/>
          <w:szCs w:val="20"/>
        </w:rPr>
      </w:pP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附表9</w:t>
            </w:r>
            <w:r>
              <w:rPr>
                <w:sz w:val="22"/>
                <w:szCs w:val="22"/>
              </w:rPr>
              <w:t>-3</w:t>
            </w:r>
          </w:p>
          <w:p>
            <w:pPr>
              <w:jc w:val="center"/>
              <w:rPr>
                <w:sz w:val="22"/>
                <w:szCs w:val="22"/>
              </w:rPr>
            </w:pPr>
            <w:r>
              <w:rPr>
                <w:rFonts w:ascii="宋体" w:hAnsi="宋体" w:eastAsia="宋体" w:cs="宋体"/>
                <w:sz w:val="22"/>
              </w:rPr>
              <w:t>附表9-3为空表（略）</w:t>
            </w:r>
          </w:p>
        </w:tc>
      </w:tr>
    </w:tbl>
    <w:p>
      <w:pPr>
        <w:spacing w:line="20" w:lineRule="exact"/>
        <w:jc w:val="right"/>
        <w:rPr>
          <w:b/>
          <w:sz w:val="20"/>
          <w:szCs w:val="20"/>
        </w:rPr>
      </w:pPr>
    </w:p>
    <w:p/>
    <w:p>
      <w:pPr>
        <w:pStyle w:val="110"/>
        <w:ind w:firstLine="600"/>
        <w:outlineLvl w:val="3"/>
        <w:rPr>
          <w:rFonts w:ascii="宋体" w:hAnsi="宋体" w:eastAsia="宋体"/>
        </w:rPr>
      </w:pPr>
      <w:r>
        <w:rPr>
          <w:rFonts w:hint="eastAsia" w:ascii="宋体" w:hAnsi="宋体" w:eastAsia="宋体"/>
        </w:rPr>
        <w:t>（10）政府储备物资明细信息如下：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附表10</w:t>
            </w:r>
          </w:p>
          <w:p>
            <w:pPr>
              <w:jc w:val="center"/>
              <w:rPr>
                <w:sz w:val="22"/>
                <w:szCs w:val="22"/>
              </w:rPr>
            </w:pPr>
            <w:r>
              <w:rPr>
                <w:rFonts w:ascii="宋体" w:hAnsi="宋体" w:eastAsia="宋体" w:cs="宋体"/>
                <w:sz w:val="22"/>
              </w:rPr>
              <w:t>附表10为空表（略）</w:t>
            </w:r>
          </w:p>
        </w:tc>
      </w:tr>
    </w:tbl>
    <w:p>
      <w:pPr>
        <w:spacing w:line="20" w:lineRule="exact"/>
        <w:jc w:val="right"/>
        <w:rPr>
          <w:b/>
          <w:sz w:val="20"/>
          <w:szCs w:val="20"/>
        </w:rPr>
      </w:pPr>
    </w:p>
    <w:p/>
    <w:p/>
    <w:p>
      <w:pPr>
        <w:pStyle w:val="110"/>
        <w:ind w:firstLine="600"/>
        <w:outlineLvl w:val="3"/>
        <w:rPr>
          <w:rFonts w:ascii="宋体" w:hAnsi="宋体" w:eastAsia="宋体"/>
        </w:rPr>
      </w:pPr>
      <w:r>
        <w:rPr>
          <w:rFonts w:hint="eastAsia" w:ascii="宋体" w:hAnsi="宋体" w:eastAsia="宋体"/>
        </w:rPr>
        <w:t>（11）保障性住房明细信息如下：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1</w:t>
            </w:r>
          </w:p>
          <w:p>
            <w:pPr>
              <w:jc w:val="center"/>
              <w:rPr>
                <w:sz w:val="22"/>
                <w:szCs w:val="22"/>
              </w:rPr>
            </w:pPr>
            <w:r>
              <w:rPr>
                <w:rFonts w:ascii="宋体" w:hAnsi="宋体" w:eastAsia="宋体" w:cs="宋体"/>
                <w:sz w:val="22"/>
              </w:rPr>
              <w:t>附表11为空表（略）</w:t>
            </w:r>
          </w:p>
        </w:tc>
      </w:tr>
    </w:tbl>
    <w:p>
      <w:pPr>
        <w:spacing w:line="20" w:lineRule="exact"/>
        <w:jc w:val="right"/>
        <w:rPr>
          <w:b/>
          <w:sz w:val="20"/>
          <w:szCs w:val="20"/>
        </w:rPr>
      </w:pPr>
    </w:p>
    <w:p>
      <w:pPr>
        <w:rPr>
          <w:sz w:val="20"/>
          <w:szCs w:val="20"/>
        </w:rPr>
      </w:pPr>
    </w:p>
    <w:p>
      <w:pPr>
        <w:pStyle w:val="110"/>
        <w:ind w:firstLine="600"/>
        <w:outlineLvl w:val="3"/>
        <w:rPr>
          <w:rFonts w:ascii="宋体" w:hAnsi="宋体" w:eastAsia="宋体"/>
        </w:rPr>
      </w:pPr>
      <w:r>
        <w:rPr>
          <w:rFonts w:hint="eastAsia" w:ascii="宋体" w:hAnsi="宋体" w:eastAsia="宋体"/>
        </w:rPr>
        <w:t>（12）应付账款明细信息如下：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2</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应付账款明细表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sz w:val="20"/>
          <w:szCs w:val="20"/>
        </w:rPr>
      </w:pPr>
    </w:p>
    <w:tbl>
      <w:tblPr>
        <w:tblStyle w:val="3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Borders>
              <w:left w:val="nil"/>
              <w:right w:val="nil"/>
            </w:tcBorders>
            <w:shd w:val="clear" w:color="FFFFFF" w:fill="FFFFFF"/>
          </w:tcPr>
          <w:p>
            <w:pPr>
              <w:widowControl w:val="0"/>
              <w:jc w:val="center"/>
              <w:rPr>
                <w:sz w:val="22"/>
                <w:szCs w:val="22"/>
              </w:rPr>
            </w:pPr>
            <w:r>
              <w:rPr>
                <w:b/>
                <w:bCs/>
                <w:sz w:val="20"/>
                <w:szCs w:val="20"/>
              </w:rPr>
              <w:t>债权人</w:t>
            </w:r>
          </w:p>
        </w:tc>
        <w:tc>
          <w:tcPr>
            <w:tcW w:w="4264" w:type="dxa"/>
            <w:tcBorders>
              <w:left w:val="nil"/>
              <w:right w:val="nil"/>
            </w:tcBorders>
            <w:shd w:val="clear" w:color="FFFFFF" w:fill="FFFFFF"/>
          </w:tcPr>
          <w:p>
            <w:pPr>
              <w:widowControl w:val="0"/>
              <w:jc w:val="center"/>
              <w:rPr>
                <w:sz w:val="22"/>
                <w:szCs w:val="22"/>
              </w:rPr>
            </w:pPr>
            <w:r>
              <w:rPr>
                <w:b/>
                <w:bCs/>
                <w:sz w:val="20"/>
                <w:szCs w:val="20"/>
              </w:rPr>
              <w:t>年末数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exact"/>
        </w:trPr>
        <w:tc>
          <w:tcPr>
            <w:tcW w:w="4264" w:type="dxa"/>
            <w:tcBorders>
              <w:left w:val="nil"/>
              <w:bottom w:val="nil"/>
              <w:right w:val="nil"/>
            </w:tcBorders>
            <w:shd w:val="clear" w:color="FFFFFF" w:fill="FFFFFF"/>
          </w:tcPr>
          <w:p>
            <w:pPr>
              <w:widowControl w:val="0"/>
              <w:jc w:val="both"/>
              <w:rPr>
                <w:sz w:val="22"/>
                <w:szCs w:val="22"/>
              </w:rPr>
            </w:pPr>
          </w:p>
        </w:tc>
        <w:tc>
          <w:tcPr>
            <w:tcW w:w="4264" w:type="dxa"/>
            <w:tcBorders>
              <w:left w:val="nil"/>
              <w:bottom w:val="nil"/>
              <w:right w:val="nil"/>
            </w:tcBorders>
            <w:shd w:val="clear" w:color="FFFFFF" w:fill="FFFFFF"/>
          </w:tcPr>
          <w:p>
            <w:pPr>
              <w:widowControl w:val="0"/>
              <w:jc w:val="right"/>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264" w:type="dxa"/>
            <w:tcBorders>
              <w:top w:val="nil"/>
              <w:left w:val="nil"/>
              <w:bottom w:val="nil"/>
              <w:right w:val="nil"/>
            </w:tcBorders>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应付本部门内部单位</w:t>
            </w:r>
          </w:p>
        </w:tc>
        <w:tc>
          <w:tcPr>
            <w:tcW w:w="4264" w:type="dxa"/>
            <w:tcBorders>
              <w:top w:val="nil"/>
              <w:left w:val="nil"/>
              <w:bottom w:val="nil"/>
              <w:right w:val="nil"/>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264" w:type="dxa"/>
            <w:tcBorders>
              <w:top w:val="nil"/>
              <w:left w:val="nil"/>
              <w:bottom w:val="nil"/>
              <w:right w:val="nil"/>
            </w:tcBorders>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应付本部门以外的同级政府单位</w:t>
            </w:r>
          </w:p>
        </w:tc>
        <w:tc>
          <w:tcPr>
            <w:tcW w:w="4264" w:type="dxa"/>
            <w:tcBorders>
              <w:top w:val="nil"/>
              <w:left w:val="nil"/>
              <w:bottom w:val="nil"/>
              <w:right w:val="nil"/>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264" w:type="dxa"/>
            <w:tcBorders>
              <w:top w:val="nil"/>
              <w:left w:val="nil"/>
              <w:bottom w:val="nil"/>
              <w:right w:val="nil"/>
            </w:tcBorders>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应付本部门以外的非同级政府单位</w:t>
            </w:r>
          </w:p>
        </w:tc>
        <w:tc>
          <w:tcPr>
            <w:tcW w:w="4264" w:type="dxa"/>
            <w:tcBorders>
              <w:top w:val="nil"/>
              <w:left w:val="nil"/>
              <w:bottom w:val="nil"/>
              <w:right w:val="nil"/>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264" w:type="dxa"/>
            <w:tcBorders>
              <w:top w:val="nil"/>
              <w:left w:val="nil"/>
              <w:bottom w:val="nil"/>
              <w:right w:val="nil"/>
            </w:tcBorders>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应付其他单位</w:t>
            </w:r>
          </w:p>
        </w:tc>
        <w:tc>
          <w:tcPr>
            <w:tcW w:w="4264" w:type="dxa"/>
            <w:tcBorders>
              <w:top w:val="nil"/>
              <w:left w:val="nil"/>
              <w:bottom w:val="nil"/>
              <w:right w:val="nil"/>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24.64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4264" w:type="dxa"/>
            <w:tcBorders>
              <w:top w:val="single" w:color="auto" w:sz="4" w:space="0"/>
              <w:left w:val="nil"/>
              <w:bottom w:val="single" w:color="auto" w:sz="4" w:space="0"/>
              <w:right w:val="nil"/>
            </w:tcBorders>
            <w:shd w:val="clear" w:color="FFFFFF" w:fill="FFFFFF"/>
          </w:tcPr>
          <w:p>
            <w:pPr>
              <w:pageBreakBefore w:val="0"/>
              <w:widowControl w:val="0"/>
              <w:jc w:val="center"/>
              <w:textAlignment w:val="auto"/>
            </w:pPr>
            <w:r>
              <w:rPr>
                <w:rFonts w:ascii="Times New Roman" w:hAnsi="Times New Roman" w:eastAsia="Times New Roman" w:cs="Times New Roman"/>
                <w:b/>
                <w:i w:val="0"/>
                <w:color w:val="auto"/>
                <w:position w:val="-1"/>
                <w:sz w:val="20"/>
                <w:u w:val="none"/>
              </w:rPr>
              <w:t>合计</w:t>
            </w:r>
          </w:p>
        </w:tc>
        <w:tc>
          <w:tcPr>
            <w:tcW w:w="4264" w:type="dxa"/>
            <w:tcBorders>
              <w:top w:val="single" w:color="auto" w:sz="4" w:space="0"/>
              <w:left w:val="nil"/>
              <w:bottom w:val="single" w:color="auto" w:sz="4" w:space="0"/>
              <w:right w:val="nil"/>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24.64</w:t>
            </w:r>
          </w:p>
        </w:tc>
      </w:tr>
    </w:tbl>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3）预收账款明细信息如下：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3</w:t>
            </w:r>
          </w:p>
          <w:p>
            <w:pPr>
              <w:jc w:val="center"/>
              <w:rPr>
                <w:sz w:val="22"/>
                <w:szCs w:val="22"/>
              </w:rPr>
            </w:pPr>
            <w:r>
              <w:rPr>
                <w:rFonts w:ascii="宋体" w:hAnsi="宋体" w:eastAsia="宋体" w:cs="宋体"/>
                <w:sz w:val="22"/>
              </w:rPr>
              <w:t>附表13为空表（略）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4）其他应付款明细信息如下：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4</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其他应付款明细表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sz w:val="20"/>
          <w:szCs w:val="20"/>
        </w:rPr>
      </w:pPr>
    </w:p>
    <w:tbl>
      <w:tblPr>
        <w:tblStyle w:val="35"/>
        <w:tblW w:w="85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4"/>
        <w:gridCol w:w="42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4" w:type="dxa"/>
            <w:tcBorders>
              <w:top w:val="single" w:color="auto" w:sz="4" w:space="0"/>
              <w:bottom w:val="single" w:color="auto" w:sz="4" w:space="0"/>
            </w:tcBorders>
            <w:shd w:val="clear" w:color="FFFFFF" w:fill="FFFFFF"/>
            <w:vAlign w:val="center"/>
          </w:tcPr>
          <w:p>
            <w:pPr>
              <w:widowControl w:val="0"/>
              <w:jc w:val="center"/>
              <w:rPr>
                <w:sz w:val="22"/>
                <w:szCs w:val="22"/>
              </w:rPr>
            </w:pPr>
            <w:r>
              <w:rPr>
                <w:rFonts w:hint="eastAsia"/>
                <w:b/>
                <w:bCs/>
                <w:sz w:val="20"/>
                <w:szCs w:val="20"/>
              </w:rPr>
              <w:t>债权人</w:t>
            </w:r>
          </w:p>
        </w:tc>
        <w:tc>
          <w:tcPr>
            <w:tcW w:w="4264" w:type="dxa"/>
            <w:tcBorders>
              <w:top w:val="single" w:color="auto" w:sz="4" w:space="0"/>
              <w:bottom w:val="single" w:color="auto" w:sz="4" w:space="0"/>
            </w:tcBorders>
            <w:shd w:val="clear" w:color="FFFFFF" w:fill="FFFFFF"/>
            <w:vAlign w:val="center"/>
          </w:tcPr>
          <w:p>
            <w:pPr>
              <w:widowControl w:val="0"/>
              <w:jc w:val="center"/>
              <w:rPr>
                <w:sz w:val="22"/>
                <w:szCs w:val="22"/>
              </w:rPr>
            </w:pPr>
            <w:r>
              <w:rPr>
                <w:rFonts w:hint="eastAsia"/>
                <w:b/>
                <w:bCs/>
                <w:sz w:val="20"/>
                <w:szCs w:val="20"/>
              </w:rPr>
              <w:t>年末数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exact"/>
        </w:trPr>
        <w:tc>
          <w:tcPr>
            <w:tcW w:w="4264" w:type="dxa"/>
            <w:tcBorders>
              <w:top w:val="single" w:color="auto" w:sz="4" w:space="0"/>
            </w:tcBorders>
            <w:shd w:val="clear" w:color="FFFFFF" w:fill="FFFFFF"/>
          </w:tcPr>
          <w:p>
            <w:pPr>
              <w:widowControl w:val="0"/>
              <w:jc w:val="both"/>
              <w:rPr>
                <w:sz w:val="22"/>
                <w:szCs w:val="22"/>
              </w:rPr>
            </w:pPr>
          </w:p>
        </w:tc>
        <w:tc>
          <w:tcPr>
            <w:tcW w:w="4264" w:type="dxa"/>
            <w:tcBorders>
              <w:top w:val="single" w:color="auto" w:sz="4" w:space="0"/>
            </w:tcBorders>
            <w:shd w:val="clear" w:color="FFFFFF" w:fill="FFFFFF"/>
          </w:tcPr>
          <w:p>
            <w:pPr>
              <w:widowControl w:val="0"/>
              <w:jc w:val="both"/>
              <w:rPr>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应付本部门内部单位</w:t>
            </w:r>
          </w:p>
        </w:tc>
        <w:tc>
          <w:tcPr>
            <w:tcW w:w="4264"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应付本部门以外的同级政府单位</w:t>
            </w:r>
          </w:p>
        </w:tc>
        <w:tc>
          <w:tcPr>
            <w:tcW w:w="4264"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应付本部门以外的非同级政府单位</w:t>
            </w:r>
          </w:p>
        </w:tc>
        <w:tc>
          <w:tcPr>
            <w:tcW w:w="4264"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应付同级财政</w:t>
            </w:r>
          </w:p>
        </w:tc>
        <w:tc>
          <w:tcPr>
            <w:tcW w:w="4264"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应付其他单位</w:t>
            </w:r>
          </w:p>
        </w:tc>
        <w:tc>
          <w:tcPr>
            <w:tcW w:w="4264" w:type="dxa"/>
            <w:shd w:val="clear" w:color="FFFFFF" w:fill="FFFFFF"/>
          </w:tcPr>
          <w:p>
            <w:pPr>
              <w:pageBreakBefore w:val="0"/>
              <w:widowControl w:val="0"/>
              <w:jc w:val="right"/>
              <w:textAlignment w:val="auto"/>
            </w:pPr>
            <w:r>
              <w:rPr>
                <w:b w:val="0"/>
                <w:i w:val="0"/>
                <w:color w:val="auto"/>
                <w:position w:val="-1"/>
                <w:sz w:val="20"/>
                <w:u w:val="none"/>
              </w:rPr>
              <w:t>3,808.04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4264" w:type="dxa"/>
            <w:tcBorders>
              <w:top w:val="single" w:color="auto" w:sz="4" w:space="0"/>
              <w:bottom w:val="single" w:color="auto" w:sz="4" w:space="0"/>
            </w:tcBorders>
            <w:shd w:val="clear" w:color="FFFFFF" w:fill="FFFFFF"/>
          </w:tcPr>
          <w:p>
            <w:pPr>
              <w:pageBreakBefore w:val="0"/>
              <w:widowControl w:val="0"/>
              <w:jc w:val="center"/>
              <w:textAlignment w:val="auto"/>
            </w:pPr>
            <w:r>
              <w:rPr>
                <w:b/>
                <w:i w:val="0"/>
                <w:color w:val="auto"/>
                <w:position w:val="-1"/>
                <w:sz w:val="20"/>
                <w:u w:val="none"/>
              </w:rPr>
              <w:t>合计</w:t>
            </w:r>
          </w:p>
        </w:tc>
        <w:tc>
          <w:tcPr>
            <w:tcW w:w="4264" w:type="dxa"/>
            <w:tcBorders>
              <w:top w:val="single" w:color="auto" w:sz="4" w:space="0"/>
              <w:bottom w:val="single" w:color="auto" w:sz="4" w:space="0"/>
            </w:tcBorders>
            <w:shd w:val="clear" w:color="FFFFFF" w:fill="FFFFFF"/>
          </w:tcPr>
          <w:p>
            <w:pPr>
              <w:pageBreakBefore w:val="0"/>
              <w:widowControl w:val="0"/>
              <w:jc w:val="right"/>
              <w:textAlignment w:val="auto"/>
            </w:pPr>
            <w:r>
              <w:rPr>
                <w:b w:val="0"/>
                <w:i w:val="0"/>
                <w:color w:val="auto"/>
                <w:position w:val="-1"/>
                <w:sz w:val="20"/>
                <w:u w:val="none"/>
              </w:rPr>
              <w:t>3,808.04</w:t>
            </w:r>
          </w:p>
        </w:tc>
      </w:tr>
    </w:tbl>
    <w:p>
      <w:pPr>
        <w:rPr>
          <w:sz w:val="22"/>
          <w:szCs w:val="22"/>
        </w:rPr>
      </w:pPr>
      <w:r>
        <w:rPr>
          <w:rFonts w:hint="eastAsia"/>
          <w:sz w:val="20"/>
          <w:szCs w:val="20"/>
        </w:rPr>
        <w:t>注：“应付同级财政”主要包括预拨经费、向同级财政部门借入的款项</w:t>
      </w: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5）长期借款明细信息如下：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5</w:t>
            </w:r>
            <w:r>
              <w:rPr>
                <w:sz w:val="22"/>
                <w:szCs w:val="22"/>
              </w:rPr>
              <w:t>-</w:t>
            </w:r>
            <w:r>
              <w:rPr>
                <w:rFonts w:hint="eastAsia"/>
                <w:sz w:val="22"/>
                <w:szCs w:val="22"/>
              </w:rPr>
              <w:t>1</w:t>
            </w:r>
          </w:p>
          <w:p>
            <w:pPr>
              <w:jc w:val="center"/>
              <w:rPr>
                <w:sz w:val="22"/>
                <w:szCs w:val="22"/>
              </w:rPr>
            </w:pPr>
            <w:r>
              <w:rPr>
                <w:rFonts w:ascii="宋体" w:hAnsi="宋体" w:eastAsia="宋体" w:cs="宋体"/>
                <w:sz w:val="22"/>
              </w:rPr>
              <w:t>附表15-1为空表（略）</w:t>
            </w:r>
          </w:p>
        </w:tc>
      </w:tr>
    </w:tbl>
    <w:p>
      <w:pPr>
        <w:spacing w:line="20" w:lineRule="exact"/>
        <w:jc w:val="right"/>
        <w:rPr>
          <w:sz w:val="20"/>
          <w:szCs w:val="20"/>
        </w:rPr>
      </w:pPr>
    </w:p>
    <w:p>
      <w:pPr>
        <w:pStyle w:val="110"/>
        <w:ind w:firstLine="600"/>
      </w:pP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5</w:t>
            </w:r>
            <w:r>
              <w:rPr>
                <w:sz w:val="22"/>
                <w:szCs w:val="22"/>
              </w:rPr>
              <w:t>-</w:t>
            </w:r>
            <w:r>
              <w:rPr>
                <w:rFonts w:hint="eastAsia"/>
                <w:sz w:val="22"/>
                <w:szCs w:val="22"/>
              </w:rPr>
              <w:t>2</w:t>
            </w:r>
          </w:p>
          <w:p>
            <w:pPr>
              <w:jc w:val="center"/>
              <w:rPr>
                <w:sz w:val="22"/>
                <w:szCs w:val="22"/>
              </w:rPr>
            </w:pPr>
            <w:r>
              <w:rPr>
                <w:rFonts w:ascii="宋体" w:hAnsi="宋体" w:eastAsia="宋体" w:cs="宋体"/>
                <w:sz w:val="22"/>
              </w:rPr>
              <w:t>附表15-2为空表（略）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6）长期应付款明细信息如下：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6</w:t>
            </w:r>
          </w:p>
          <w:p>
            <w:pPr>
              <w:jc w:val="center"/>
              <w:rPr>
                <w:sz w:val="22"/>
                <w:szCs w:val="22"/>
              </w:rPr>
            </w:pPr>
            <w:r>
              <w:rPr>
                <w:rFonts w:ascii="宋体" w:hAnsi="宋体" w:eastAsia="宋体" w:cs="宋体"/>
                <w:sz w:val="22"/>
              </w:rPr>
              <w:t>附表16为空表（略）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7）事业收入明细信息如下：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7</w:t>
            </w:r>
          </w:p>
          <w:p>
            <w:pPr>
              <w:jc w:val="center"/>
              <w:rPr>
                <w:sz w:val="22"/>
                <w:szCs w:val="22"/>
              </w:rPr>
            </w:pPr>
            <w:r>
              <w:rPr>
                <w:rFonts w:ascii="宋体" w:hAnsi="宋体" w:eastAsia="宋体" w:cs="宋体"/>
                <w:sz w:val="22"/>
              </w:rPr>
              <w:t>附表17为空表（略）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8）经营收入明细信息如下：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8</w:t>
            </w:r>
          </w:p>
          <w:p>
            <w:pPr>
              <w:jc w:val="center"/>
              <w:rPr>
                <w:sz w:val="22"/>
                <w:szCs w:val="22"/>
              </w:rPr>
            </w:pPr>
            <w:r>
              <w:rPr>
                <w:rFonts w:ascii="宋体" w:hAnsi="宋体" w:eastAsia="宋体" w:cs="宋体"/>
                <w:sz w:val="22"/>
              </w:rPr>
              <w:t>附表18为空表（略）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（19）非同级财政拨款收入明细信息如下：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附表19</w:t>
            </w:r>
          </w:p>
          <w:p>
            <w:pPr>
              <w:jc w:val="center"/>
              <w:rPr>
                <w:sz w:val="22"/>
                <w:szCs w:val="22"/>
              </w:rPr>
            </w:pPr>
            <w:r>
              <w:rPr>
                <w:rFonts w:ascii="宋体" w:hAnsi="宋体" w:eastAsia="宋体" w:cs="宋体"/>
                <w:sz w:val="22"/>
              </w:rPr>
              <w:t>附表19为空表（略）</w:t>
            </w:r>
          </w:p>
        </w:tc>
      </w:tr>
    </w:tbl>
    <w:p>
      <w:pPr>
        <w:spacing w:line="20" w:lineRule="exact"/>
        <w:jc w:val="right"/>
        <w:rPr>
          <w:sz w:val="20"/>
          <w:szCs w:val="20"/>
        </w:rPr>
      </w:pPr>
    </w:p>
    <w:p>
      <w:r>
        <w:rPr>
          <w:sz w:val="22"/>
        </w:rPr>
        <w:t>注：“来自非同级财政”是指收到其他财政部门的拨款。</w:t>
      </w:r>
    </w:p>
    <w:p>
      <w:pPr>
        <w:pStyle w:val="110"/>
        <w:ind w:firstLine="600"/>
        <w:outlineLvl w:val="3"/>
        <w:rPr>
          <w:rFonts w:ascii="宋体" w:hAnsi="宋体" w:eastAsia="宋体"/>
        </w:rPr>
      </w:pPr>
      <w:r>
        <w:rPr>
          <w:rFonts w:hint="eastAsia" w:ascii="宋体" w:hAnsi="宋体" w:eastAsia="宋体"/>
        </w:rPr>
        <w:t>（20）其他收入明细信息如下：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附表20</w:t>
            </w:r>
          </w:p>
          <w:p>
            <w:pPr>
              <w:jc w:val="center"/>
              <w:rPr>
                <w:sz w:val="22"/>
                <w:szCs w:val="22"/>
              </w:rPr>
            </w:pPr>
            <w:r>
              <w:rPr>
                <w:rFonts w:ascii="宋体" w:hAnsi="宋体" w:eastAsia="宋体" w:cs="宋体"/>
                <w:sz w:val="22"/>
              </w:rPr>
              <w:t>附表20为空表（略）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（21）业务活动费用明细信息如下：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2</w:t>
            </w:r>
            <w:r>
              <w:rPr>
                <w:rFonts w:hint="eastAsia"/>
                <w:sz w:val="22"/>
                <w:szCs w:val="22"/>
              </w:rPr>
              <w:t>1</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业务活动费用明细表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tabs>
          <w:tab w:val="left" w:pos="4242"/>
          <w:tab w:val="left" w:pos="6754"/>
        </w:tabs>
        <w:spacing w:line="20" w:lineRule="exact"/>
        <w:rPr>
          <w:b/>
          <w:bCs/>
          <w:sz w:val="20"/>
          <w:szCs w:val="20"/>
        </w:rPr>
      </w:pPr>
    </w:p>
    <w:tbl>
      <w:tblPr>
        <w:tblStyle w:val="35"/>
        <w:tblW w:w="85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227"/>
        <w:gridCol w:w="2458"/>
        <w:gridCol w:w="28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227" w:type="dxa"/>
            <w:tcBorders>
              <w:top w:val="single" w:color="auto" w:sz="4" w:space="0"/>
              <w:bottom w:val="single" w:color="auto" w:sz="4" w:space="0"/>
            </w:tcBorders>
            <w:shd w:val="clear" w:color="FFFFFF" w:fill="FFFFFF"/>
          </w:tcPr>
          <w:p>
            <w:pPr>
              <w:widowControl/>
              <w:jc w:val="center"/>
              <w:rPr>
                <w:b/>
                <w:bCs/>
                <w:sz w:val="20"/>
                <w:szCs w:val="20"/>
              </w:rPr>
            </w:pPr>
            <w:r>
              <w:rPr>
                <w:rFonts w:hint="eastAsia"/>
                <w:b/>
                <w:bCs/>
                <w:sz w:val="20"/>
                <w:szCs w:val="20"/>
              </w:rPr>
              <w:t>项目</w:t>
            </w:r>
          </w:p>
        </w:tc>
        <w:tc>
          <w:tcPr>
            <w:tcW w:w="2458" w:type="dxa"/>
            <w:tcBorders>
              <w:top w:val="single" w:color="auto" w:sz="4" w:space="0"/>
              <w:bottom w:val="single" w:color="auto" w:sz="4" w:space="0"/>
            </w:tcBorders>
            <w:shd w:val="clear" w:color="FFFFFF" w:fill="FFFFFF"/>
          </w:tcPr>
          <w:p>
            <w:pPr>
              <w:widowControl w:val="0"/>
              <w:jc w:val="center"/>
              <w:rPr>
                <w:b/>
                <w:bCs/>
                <w:sz w:val="20"/>
                <w:szCs w:val="20"/>
              </w:rPr>
            </w:pPr>
            <w:r>
              <w:rPr>
                <w:rFonts w:hint="eastAsia"/>
                <w:b/>
                <w:bCs/>
                <w:sz w:val="20"/>
                <w:szCs w:val="20"/>
              </w:rPr>
              <w:t>本年数</w:t>
            </w:r>
          </w:p>
        </w:tc>
        <w:tc>
          <w:tcPr>
            <w:tcW w:w="2843" w:type="dxa"/>
            <w:tcBorders>
              <w:top w:val="single" w:color="auto" w:sz="4" w:space="0"/>
              <w:bottom w:val="single" w:color="auto" w:sz="4" w:space="0"/>
            </w:tcBorders>
            <w:shd w:val="clear" w:color="FFFFFF" w:fill="FFFFFF"/>
          </w:tcPr>
          <w:p>
            <w:pPr>
              <w:widowControl w:val="0"/>
              <w:jc w:val="center"/>
              <w:rPr>
                <w:b/>
                <w:bCs/>
                <w:sz w:val="20"/>
                <w:szCs w:val="20"/>
              </w:rPr>
            </w:pPr>
            <w:r>
              <w:rPr>
                <w:rFonts w:hint="eastAsia"/>
                <w:b/>
                <w:bCs/>
                <w:sz w:val="20"/>
                <w:szCs w:val="20"/>
              </w:rPr>
              <w:t>上年数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exact"/>
        </w:trPr>
        <w:tc>
          <w:tcPr>
            <w:tcW w:w="3227" w:type="dxa"/>
            <w:tcBorders>
              <w:top w:val="single" w:color="auto" w:sz="4" w:space="0"/>
            </w:tcBorders>
            <w:shd w:val="clear" w:color="FFFFFF" w:fill="FFFFFF"/>
          </w:tcPr>
          <w:p>
            <w:pPr>
              <w:widowControl w:val="0"/>
              <w:jc w:val="both"/>
            </w:pPr>
          </w:p>
        </w:tc>
        <w:tc>
          <w:tcPr>
            <w:tcW w:w="2458" w:type="dxa"/>
            <w:tcBorders>
              <w:top w:val="single" w:color="auto" w:sz="4" w:space="0"/>
            </w:tcBorders>
            <w:shd w:val="clear" w:color="FFFFFF" w:fill="FFFFFF"/>
          </w:tcPr>
          <w:p>
            <w:pPr>
              <w:widowControl w:val="0"/>
              <w:jc w:val="both"/>
            </w:pPr>
          </w:p>
        </w:tc>
        <w:tc>
          <w:tcPr>
            <w:tcW w:w="2843" w:type="dxa"/>
            <w:tcBorders>
              <w:top w:val="single" w:color="auto" w:sz="4" w:space="0"/>
            </w:tcBorders>
            <w:shd w:val="clear" w:color="FFFFFF" w:fill="FFFFFF"/>
          </w:tcPr>
          <w:p>
            <w:pPr>
              <w:widowControl w:val="0"/>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工资和福利费用</w:t>
            </w:r>
          </w:p>
        </w:tc>
        <w:tc>
          <w:tcPr>
            <w:tcW w:w="2458" w:type="dxa"/>
            <w:shd w:val="clear" w:color="FFFFFF" w:fill="FFFFFF"/>
          </w:tcPr>
          <w:p>
            <w:pPr>
              <w:pageBreakBefore w:val="0"/>
              <w:widowControl w:val="0"/>
              <w:jc w:val="right"/>
              <w:textAlignment w:val="auto"/>
            </w:pPr>
            <w:r>
              <w:rPr>
                <w:b w:val="0"/>
                <w:i w:val="0"/>
                <w:color w:val="auto"/>
                <w:position w:val="-1"/>
                <w:sz w:val="20"/>
                <w:u w:val="none"/>
              </w:rPr>
              <w:t>182.34</w:t>
            </w:r>
          </w:p>
        </w:tc>
        <w:tc>
          <w:tcPr>
            <w:tcW w:w="2843" w:type="dxa"/>
            <w:shd w:val="clear" w:color="FFFFFF" w:fill="FFFFFF"/>
          </w:tcPr>
          <w:p>
            <w:pPr>
              <w:pageBreakBefore w:val="0"/>
              <w:widowControl w:val="0"/>
              <w:jc w:val="right"/>
              <w:textAlignment w:val="auto"/>
            </w:pPr>
            <w:r>
              <w:rPr>
                <w:b w:val="0"/>
                <w:i w:val="0"/>
                <w:color w:val="auto"/>
                <w:position w:val="-1"/>
                <w:sz w:val="20"/>
                <w:u w:val="none"/>
              </w:rPr>
              <w:t>24.65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商品和服务费用</w:t>
            </w:r>
          </w:p>
        </w:tc>
        <w:tc>
          <w:tcPr>
            <w:tcW w:w="2458" w:type="dxa"/>
            <w:shd w:val="clear" w:color="FFFFFF" w:fill="FFFFFF"/>
          </w:tcPr>
          <w:p>
            <w:pPr>
              <w:pageBreakBefore w:val="0"/>
              <w:widowControl w:val="0"/>
              <w:jc w:val="right"/>
              <w:textAlignment w:val="auto"/>
            </w:pPr>
            <w:r>
              <w:rPr>
                <w:b w:val="0"/>
                <w:i w:val="0"/>
                <w:color w:val="auto"/>
                <w:position w:val="-1"/>
                <w:sz w:val="20"/>
                <w:u w:val="none"/>
              </w:rPr>
              <w:t>1,285.35</w:t>
            </w:r>
          </w:p>
        </w:tc>
        <w:tc>
          <w:tcPr>
            <w:tcW w:w="2843" w:type="dxa"/>
            <w:shd w:val="clear" w:color="FFFFFF" w:fill="FFFFFF"/>
          </w:tcPr>
          <w:p>
            <w:pPr>
              <w:pageBreakBefore w:val="0"/>
              <w:widowControl w:val="0"/>
              <w:jc w:val="right"/>
              <w:textAlignment w:val="auto"/>
            </w:pPr>
            <w:r>
              <w:rPr>
                <w:b w:val="0"/>
                <w:i w:val="0"/>
                <w:color w:val="auto"/>
                <w:position w:val="-1"/>
                <w:sz w:val="20"/>
                <w:u w:val="none"/>
              </w:rPr>
              <w:t>2,042.34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对个人和家庭的补助费用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对企业补助费用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固定资产折旧费用</w:t>
            </w:r>
          </w:p>
        </w:tc>
        <w:tc>
          <w:tcPr>
            <w:tcW w:w="2458" w:type="dxa"/>
            <w:shd w:val="clear" w:color="FFFFFF" w:fill="FFFFFF"/>
          </w:tcPr>
          <w:p>
            <w:pPr>
              <w:pageBreakBefore w:val="0"/>
              <w:widowControl w:val="0"/>
              <w:jc w:val="right"/>
              <w:textAlignment w:val="auto"/>
            </w:pPr>
            <w:r>
              <w:rPr>
                <w:b w:val="0"/>
                <w:i w:val="0"/>
                <w:color w:val="auto"/>
                <w:position w:val="-1"/>
                <w:sz w:val="20"/>
                <w:u w:val="none"/>
              </w:rPr>
              <w:t>7.35</w:t>
            </w:r>
          </w:p>
        </w:tc>
        <w:tc>
          <w:tcPr>
            <w:tcW w:w="2843" w:type="dxa"/>
            <w:shd w:val="clear" w:color="FFFFFF" w:fill="FFFFFF"/>
          </w:tcPr>
          <w:p>
            <w:pPr>
              <w:pageBreakBefore w:val="0"/>
              <w:widowControl w:val="0"/>
              <w:jc w:val="right"/>
              <w:textAlignment w:val="auto"/>
            </w:pPr>
            <w:r>
              <w:rPr>
                <w:b w:val="0"/>
                <w:i w:val="0"/>
                <w:color w:val="auto"/>
                <w:position w:val="-1"/>
                <w:sz w:val="20"/>
                <w:u w:val="none"/>
              </w:rPr>
              <w:t>9.01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无形资产摊销费用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公共基础设施折旧（摊销）费用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保障性住房折旧费用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计提专用基金</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其他业务活动费用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3227" w:type="dxa"/>
            <w:tcBorders>
              <w:top w:val="single" w:color="auto" w:sz="4" w:space="0"/>
              <w:bottom w:val="single" w:color="auto" w:sz="4" w:space="0"/>
            </w:tcBorders>
            <w:shd w:val="clear" w:color="FFFFFF" w:fill="FFFFFF"/>
          </w:tcPr>
          <w:p>
            <w:pPr>
              <w:pageBreakBefore w:val="0"/>
              <w:widowControl w:val="0"/>
              <w:jc w:val="center"/>
              <w:textAlignment w:val="auto"/>
            </w:pPr>
            <w:r>
              <w:rPr>
                <w:b/>
                <w:i w:val="0"/>
                <w:color w:val="auto"/>
                <w:position w:val="-1"/>
                <w:sz w:val="20"/>
                <w:u w:val="none"/>
              </w:rPr>
              <w:t>合计</w:t>
            </w:r>
          </w:p>
        </w:tc>
        <w:tc>
          <w:tcPr>
            <w:tcW w:w="2458" w:type="dxa"/>
            <w:tcBorders>
              <w:top w:val="single" w:color="auto" w:sz="4" w:space="0"/>
              <w:bottom w:val="single" w:color="auto" w:sz="4" w:space="0"/>
            </w:tcBorders>
            <w:shd w:val="clear" w:color="FFFFFF" w:fill="FFFFFF"/>
          </w:tcPr>
          <w:p>
            <w:pPr>
              <w:pageBreakBefore w:val="0"/>
              <w:widowControl w:val="0"/>
              <w:jc w:val="right"/>
              <w:textAlignment w:val="auto"/>
            </w:pPr>
            <w:r>
              <w:rPr>
                <w:b w:val="0"/>
                <w:i w:val="0"/>
                <w:color w:val="auto"/>
                <w:position w:val="-1"/>
                <w:sz w:val="20"/>
                <w:u w:val="none"/>
              </w:rPr>
              <w:t>1,475.04</w:t>
            </w:r>
          </w:p>
        </w:tc>
        <w:tc>
          <w:tcPr>
            <w:tcW w:w="2843" w:type="dxa"/>
            <w:tcBorders>
              <w:top w:val="single" w:color="auto" w:sz="4" w:space="0"/>
              <w:bottom w:val="single" w:color="auto" w:sz="4" w:space="0"/>
            </w:tcBorders>
            <w:shd w:val="clear" w:color="FFFFFF" w:fill="FFFFFF"/>
          </w:tcPr>
          <w:p>
            <w:pPr>
              <w:pageBreakBefore w:val="0"/>
              <w:widowControl w:val="0"/>
              <w:jc w:val="right"/>
              <w:textAlignment w:val="auto"/>
            </w:pPr>
            <w:r>
              <w:rPr>
                <w:b w:val="0"/>
                <w:i w:val="0"/>
                <w:color w:val="auto"/>
                <w:position w:val="-1"/>
                <w:sz w:val="20"/>
                <w:u w:val="none"/>
              </w:rPr>
              <w:t>2,076.00</w:t>
            </w:r>
          </w:p>
        </w:tc>
      </w:tr>
    </w:tbl>
    <w:p/>
    <w:p>
      <w:pPr>
        <w:pStyle w:val="110"/>
        <w:ind w:firstLine="600"/>
        <w:outlineLvl w:val="3"/>
        <w:rPr>
          <w:rFonts w:ascii="宋体" w:hAnsi="宋体" w:eastAsia="宋体"/>
        </w:rPr>
      </w:pPr>
      <w:r>
        <w:rPr>
          <w:rFonts w:hint="eastAsia" w:ascii="宋体" w:hAnsi="宋体" w:eastAsia="宋体"/>
        </w:rPr>
        <w:t>（22）单位管理费用明细信息如下：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2</w:t>
            </w:r>
            <w:r>
              <w:rPr>
                <w:rFonts w:hint="eastAsia"/>
                <w:sz w:val="22"/>
                <w:szCs w:val="22"/>
              </w:rPr>
              <w:t>2</w:t>
            </w:r>
          </w:p>
          <w:p>
            <w:pPr>
              <w:jc w:val="center"/>
              <w:rPr>
                <w:sz w:val="22"/>
                <w:szCs w:val="22"/>
              </w:rPr>
            </w:pPr>
            <w:r>
              <w:rPr>
                <w:rFonts w:ascii="宋体" w:hAnsi="宋体" w:eastAsia="宋体" w:cs="宋体"/>
                <w:sz w:val="22"/>
              </w:rPr>
              <w:t>附表22为空表（略）</w:t>
            </w:r>
          </w:p>
        </w:tc>
      </w:tr>
    </w:tbl>
    <w:p>
      <w:pPr>
        <w:tabs>
          <w:tab w:val="left" w:pos="4242"/>
          <w:tab w:val="left" w:pos="6754"/>
        </w:tabs>
        <w:spacing w:line="20" w:lineRule="exact"/>
        <w:rPr>
          <w:b/>
          <w:bCs/>
          <w:sz w:val="20"/>
          <w:szCs w:val="20"/>
        </w:rPr>
      </w:pPr>
    </w:p>
    <w:p>
      <w:pPr>
        <w:rPr>
          <w:b/>
          <w:bCs/>
          <w:sz w:val="22"/>
          <w:szCs w:val="22"/>
        </w:rPr>
      </w:pPr>
    </w:p>
    <w:p>
      <w:pPr>
        <w:pStyle w:val="110"/>
        <w:ind w:firstLine="600"/>
        <w:outlineLvl w:val="3"/>
        <w:rPr>
          <w:rFonts w:ascii="宋体" w:hAnsi="宋体" w:eastAsia="宋体"/>
        </w:rPr>
      </w:pPr>
      <w:r>
        <w:rPr>
          <w:rFonts w:hint="eastAsia" w:ascii="宋体" w:hAnsi="宋体" w:eastAsia="宋体"/>
        </w:rPr>
        <w:t>（23）经营费用明细信息如下：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2</w:t>
            </w:r>
            <w:r>
              <w:rPr>
                <w:rFonts w:hint="eastAsia"/>
                <w:sz w:val="22"/>
                <w:szCs w:val="22"/>
              </w:rPr>
              <w:t>3</w:t>
            </w:r>
          </w:p>
          <w:p>
            <w:pPr>
              <w:jc w:val="center"/>
              <w:rPr>
                <w:sz w:val="22"/>
                <w:szCs w:val="22"/>
              </w:rPr>
            </w:pPr>
            <w:r>
              <w:rPr>
                <w:rFonts w:ascii="宋体" w:hAnsi="宋体" w:eastAsia="宋体" w:cs="宋体"/>
                <w:sz w:val="22"/>
              </w:rPr>
              <w:t>附表23为空表（略）</w:t>
            </w:r>
          </w:p>
        </w:tc>
      </w:tr>
    </w:tbl>
    <w:p>
      <w:pPr>
        <w:tabs>
          <w:tab w:val="left" w:pos="4242"/>
          <w:tab w:val="left" w:pos="6754"/>
        </w:tabs>
        <w:spacing w:line="20" w:lineRule="exact"/>
        <w:rPr>
          <w:b/>
          <w:bCs/>
          <w:sz w:val="20"/>
          <w:szCs w:val="20"/>
        </w:rPr>
      </w:pPr>
    </w:p>
    <w:p/>
    <w:p>
      <w:pPr>
        <w:pStyle w:val="110"/>
        <w:ind w:firstLine="600"/>
        <w:outlineLvl w:val="3"/>
        <w:rPr>
          <w:rFonts w:ascii="宋体" w:hAnsi="宋体" w:eastAsia="宋体"/>
        </w:rPr>
      </w:pPr>
      <w:r>
        <w:rPr>
          <w:rFonts w:hint="eastAsia" w:ascii="宋体" w:hAnsi="宋体" w:eastAsia="宋体"/>
        </w:rPr>
        <w:t>（24）商品和服务费用明细信息如下：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2</w:t>
            </w:r>
            <w:r>
              <w:rPr>
                <w:rFonts w:hint="eastAsia"/>
                <w:sz w:val="22"/>
                <w:szCs w:val="22"/>
              </w:rPr>
              <w:t>4</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商品和服务费用明细表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sz w:val="20"/>
          <w:szCs w:val="20"/>
        </w:rPr>
      </w:pPr>
    </w:p>
    <w:tbl>
      <w:tblPr>
        <w:tblStyle w:val="35"/>
        <w:tblW w:w="85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77"/>
        <w:gridCol w:w="993"/>
        <w:gridCol w:w="1275"/>
        <w:gridCol w:w="1276"/>
        <w:gridCol w:w="9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077" w:type="dxa"/>
            <w:vMerge w:val="restart"/>
            <w:tcBorders>
              <w:top w:val="single" w:color="auto" w:sz="4" w:space="0"/>
            </w:tcBorders>
            <w:shd w:val="clear" w:color="FFFFFF" w:fill="FFFFFF"/>
          </w:tcPr>
          <w:p>
            <w:pPr>
              <w:widowControl w:val="0"/>
              <w:spacing w:line="480" w:lineRule="auto"/>
              <w:jc w:val="center"/>
              <w:rPr>
                <w:sz w:val="22"/>
                <w:szCs w:val="22"/>
              </w:rPr>
            </w:pPr>
            <w:r>
              <w:rPr>
                <w:rFonts w:hint="eastAsia"/>
                <w:sz w:val="22"/>
                <w:szCs w:val="22"/>
              </w:rPr>
              <w:t>项目</w:t>
            </w:r>
          </w:p>
        </w:tc>
        <w:tc>
          <w:tcPr>
            <w:tcW w:w="4451" w:type="dxa"/>
            <w:gridSpan w:val="4"/>
            <w:tcBorders>
              <w:top w:val="single" w:color="auto" w:sz="4" w:space="0"/>
              <w:bottom w:val="single" w:color="auto" w:sz="4" w:space="0"/>
            </w:tcBorders>
            <w:shd w:val="clear" w:color="FFFFFF" w:fill="FFFFFF"/>
          </w:tcPr>
          <w:p>
            <w:pPr>
              <w:widowControl w:val="0"/>
              <w:jc w:val="center"/>
              <w:rPr>
                <w:sz w:val="22"/>
                <w:szCs w:val="22"/>
              </w:rPr>
            </w:pPr>
            <w:r>
              <w:rPr>
                <w:rFonts w:hint="eastAsia"/>
                <w:sz w:val="22"/>
                <w:szCs w:val="22"/>
              </w:rPr>
              <w:t>本年数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077" w:type="dxa"/>
            <w:vMerge w:val="continue"/>
            <w:tcBorders>
              <w:bottom w:val="single" w:color="auto" w:sz="4" w:space="0"/>
            </w:tcBorders>
            <w:shd w:val="clear" w:color="FFFFFF" w:fill="FFFFFF"/>
          </w:tcPr>
          <w:p>
            <w:pPr>
              <w:widowControl w:val="0"/>
              <w:jc w:val="center"/>
              <w:rPr>
                <w:sz w:val="22"/>
                <w:szCs w:val="22"/>
              </w:rPr>
            </w:pPr>
          </w:p>
        </w:tc>
        <w:tc>
          <w:tcPr>
            <w:tcW w:w="993" w:type="dxa"/>
            <w:tcBorders>
              <w:top w:val="single" w:color="auto" w:sz="4" w:space="0"/>
              <w:bottom w:val="single" w:color="auto" w:sz="4" w:space="0"/>
            </w:tcBorders>
            <w:shd w:val="clear" w:color="FFFFFF" w:fill="FFFFFF"/>
          </w:tcPr>
          <w:p>
            <w:pPr>
              <w:widowControl w:val="0"/>
              <w:spacing w:line="480" w:lineRule="auto"/>
              <w:jc w:val="center"/>
              <w:rPr>
                <w:sz w:val="22"/>
                <w:szCs w:val="22"/>
              </w:rPr>
            </w:pPr>
            <w:r>
              <w:rPr>
                <w:rFonts w:hint="eastAsia"/>
                <w:sz w:val="22"/>
                <w:szCs w:val="22"/>
              </w:rPr>
              <w:t>合计</w:t>
            </w:r>
          </w:p>
        </w:tc>
        <w:tc>
          <w:tcPr>
            <w:tcW w:w="1275" w:type="dxa"/>
            <w:tcBorders>
              <w:top w:val="single" w:color="auto" w:sz="4" w:space="0"/>
              <w:bottom w:val="single" w:color="auto" w:sz="4" w:space="0"/>
            </w:tcBorders>
            <w:shd w:val="clear" w:color="FFFFFF" w:fill="FFFFFF"/>
          </w:tcPr>
          <w:p>
            <w:pPr>
              <w:widowControl w:val="0"/>
              <w:jc w:val="center"/>
              <w:rPr>
                <w:sz w:val="22"/>
                <w:szCs w:val="22"/>
              </w:rPr>
            </w:pPr>
            <w:r>
              <w:rPr>
                <w:rFonts w:hint="eastAsia"/>
                <w:sz w:val="22"/>
                <w:szCs w:val="22"/>
              </w:rPr>
              <w:t>业务活动费用</w:t>
            </w:r>
          </w:p>
        </w:tc>
        <w:tc>
          <w:tcPr>
            <w:tcW w:w="1276" w:type="dxa"/>
            <w:tcBorders>
              <w:top w:val="single" w:color="auto" w:sz="4" w:space="0"/>
              <w:bottom w:val="single" w:color="auto" w:sz="4" w:space="0"/>
            </w:tcBorders>
            <w:shd w:val="clear" w:color="FFFFFF" w:fill="FFFFFF"/>
          </w:tcPr>
          <w:p>
            <w:pPr>
              <w:widowControl w:val="0"/>
              <w:jc w:val="center"/>
              <w:rPr>
                <w:sz w:val="22"/>
                <w:szCs w:val="22"/>
              </w:rPr>
            </w:pPr>
            <w:r>
              <w:rPr>
                <w:rFonts w:hint="eastAsia"/>
                <w:sz w:val="22"/>
                <w:szCs w:val="22"/>
              </w:rPr>
              <w:t>单位管理费用</w:t>
            </w:r>
          </w:p>
        </w:tc>
        <w:tc>
          <w:tcPr>
            <w:tcW w:w="907" w:type="dxa"/>
            <w:tcBorders>
              <w:top w:val="single" w:color="auto" w:sz="4" w:space="0"/>
              <w:bottom w:val="single" w:color="auto" w:sz="4" w:space="0"/>
            </w:tcBorders>
            <w:shd w:val="clear" w:color="FFFFFF" w:fill="FFFFFF"/>
          </w:tcPr>
          <w:p>
            <w:pPr>
              <w:widowControl w:val="0"/>
              <w:jc w:val="center"/>
              <w:rPr>
                <w:sz w:val="22"/>
                <w:szCs w:val="22"/>
              </w:rPr>
            </w:pPr>
            <w:r>
              <w:rPr>
                <w:rFonts w:hint="eastAsia"/>
                <w:sz w:val="22"/>
                <w:szCs w:val="22"/>
              </w:rPr>
              <w:t>经营</w:t>
            </w:r>
          </w:p>
          <w:p>
            <w:pPr>
              <w:widowControl w:val="0"/>
              <w:jc w:val="center"/>
              <w:rPr>
                <w:sz w:val="22"/>
                <w:szCs w:val="22"/>
              </w:rPr>
            </w:pPr>
            <w:r>
              <w:rPr>
                <w:rFonts w:hint="eastAsia"/>
                <w:sz w:val="22"/>
                <w:szCs w:val="22"/>
              </w:rPr>
              <w:t>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exact"/>
        </w:trPr>
        <w:tc>
          <w:tcPr>
            <w:tcW w:w="4077" w:type="dxa"/>
            <w:tcBorders>
              <w:top w:val="single" w:color="auto" w:sz="4" w:space="0"/>
            </w:tcBorders>
            <w:shd w:val="clear" w:color="FFFFFF" w:fill="FFFFFF"/>
          </w:tcPr>
          <w:p>
            <w:pPr>
              <w:widowControl w:val="0"/>
              <w:jc w:val="both"/>
              <w:rPr>
                <w:sz w:val="22"/>
                <w:szCs w:val="22"/>
              </w:rPr>
            </w:pPr>
          </w:p>
        </w:tc>
        <w:tc>
          <w:tcPr>
            <w:tcW w:w="993" w:type="dxa"/>
            <w:tcBorders>
              <w:top w:val="single" w:color="auto" w:sz="4" w:space="0"/>
            </w:tcBorders>
            <w:shd w:val="clear" w:color="FFFFFF" w:fill="FFFFFF"/>
          </w:tcPr>
          <w:p>
            <w:pPr>
              <w:widowControl w:val="0"/>
              <w:jc w:val="both"/>
              <w:rPr>
                <w:sz w:val="22"/>
                <w:szCs w:val="22"/>
              </w:rPr>
            </w:pPr>
          </w:p>
        </w:tc>
        <w:tc>
          <w:tcPr>
            <w:tcW w:w="1275" w:type="dxa"/>
            <w:tcBorders>
              <w:top w:val="single" w:color="auto" w:sz="4" w:space="0"/>
            </w:tcBorders>
            <w:shd w:val="clear" w:color="FFFFFF" w:fill="FFFFFF"/>
          </w:tcPr>
          <w:p>
            <w:pPr>
              <w:widowControl w:val="0"/>
              <w:jc w:val="both"/>
              <w:rPr>
                <w:sz w:val="22"/>
                <w:szCs w:val="22"/>
              </w:rPr>
            </w:pPr>
          </w:p>
        </w:tc>
        <w:tc>
          <w:tcPr>
            <w:tcW w:w="1276" w:type="dxa"/>
            <w:tcBorders>
              <w:top w:val="single" w:color="auto" w:sz="4" w:space="0"/>
            </w:tcBorders>
            <w:shd w:val="clear" w:color="FFFFFF" w:fill="FFFFFF"/>
          </w:tcPr>
          <w:p>
            <w:pPr>
              <w:widowControl w:val="0"/>
              <w:jc w:val="both"/>
              <w:rPr>
                <w:sz w:val="22"/>
                <w:szCs w:val="22"/>
              </w:rPr>
            </w:pPr>
          </w:p>
        </w:tc>
        <w:tc>
          <w:tcPr>
            <w:tcW w:w="907" w:type="dxa"/>
            <w:tcBorders>
              <w:top w:val="single" w:color="auto" w:sz="4" w:space="0"/>
            </w:tcBorders>
            <w:shd w:val="clear" w:color="FFFFFF" w:fill="FFFFFF"/>
          </w:tcPr>
          <w:p>
            <w:pPr>
              <w:widowControl w:val="0"/>
              <w:jc w:val="both"/>
              <w:rPr>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077" w:type="dxa"/>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支付给部门内部单位</w:t>
            </w:r>
          </w:p>
        </w:tc>
        <w:tc>
          <w:tcPr>
            <w:tcW w:w="993"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5"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6"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077" w:type="dxa"/>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支付给本部门以外的同级政府单位</w:t>
            </w:r>
          </w:p>
        </w:tc>
        <w:tc>
          <w:tcPr>
            <w:tcW w:w="993"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5"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6"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077" w:type="dxa"/>
            <w:shd w:val="clear" w:color="FFFFFF" w:fill="FFFFFF"/>
          </w:tcPr>
          <w:p>
            <w:pPr>
              <w:pageBreakBefore w:val="0"/>
              <w:widowControl w:val="0"/>
              <w:jc w:val="left"/>
              <w:textAlignment w:val="auto"/>
            </w:pPr>
            <w:r>
              <w:rPr>
                <w:rFonts w:ascii="Times New Roman" w:hAnsi="Times New Roman" w:eastAsia="Times New Roman" w:cs="Times New Roman"/>
                <w:b w:val="0"/>
                <w:i w:val="0"/>
                <w:color w:val="auto"/>
                <w:position w:val="-1"/>
                <w:sz w:val="20"/>
                <w:u w:val="none"/>
              </w:rPr>
              <w:t>支付给本部门以外的非同级政府单位</w:t>
            </w:r>
          </w:p>
        </w:tc>
        <w:tc>
          <w:tcPr>
            <w:tcW w:w="993"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5"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6"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077" w:type="dxa"/>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支付给其他单位</w:t>
            </w:r>
          </w:p>
        </w:tc>
        <w:tc>
          <w:tcPr>
            <w:tcW w:w="993"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1,285.35</w:t>
            </w:r>
          </w:p>
        </w:tc>
        <w:tc>
          <w:tcPr>
            <w:tcW w:w="1275"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1,285.35</w:t>
            </w:r>
          </w:p>
        </w:tc>
        <w:tc>
          <w:tcPr>
            <w:tcW w:w="1276"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4077" w:type="dxa"/>
            <w:tcBorders>
              <w:top w:val="single" w:color="auto" w:sz="4" w:space="0"/>
              <w:bottom w:val="single" w:color="auto" w:sz="4" w:space="0"/>
            </w:tcBorders>
            <w:shd w:val="clear" w:color="FFFFFF" w:fill="FFFFFF"/>
          </w:tcPr>
          <w:p>
            <w:pPr>
              <w:pageBreakBefore w:val="0"/>
              <w:widowControl w:val="0"/>
              <w:jc w:val="center"/>
              <w:textAlignment w:val="auto"/>
            </w:pPr>
            <w:r>
              <w:rPr>
                <w:rFonts w:ascii="Times New Roman" w:hAnsi="Times New Roman" w:eastAsia="Times New Roman" w:cs="Times New Roman"/>
                <w:b/>
                <w:i w:val="0"/>
                <w:color w:val="auto"/>
                <w:position w:val="-1"/>
                <w:sz w:val="20"/>
                <w:u w:val="none"/>
              </w:rPr>
              <w:t>合计</w:t>
            </w:r>
          </w:p>
        </w:tc>
        <w:tc>
          <w:tcPr>
            <w:tcW w:w="993" w:type="dxa"/>
            <w:tcBorders>
              <w:top w:val="single" w:color="auto" w:sz="4" w:space="0"/>
              <w:bottom w:val="single" w:color="auto" w:sz="4" w:space="0"/>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1,285.35</w:t>
            </w:r>
          </w:p>
        </w:tc>
        <w:tc>
          <w:tcPr>
            <w:tcW w:w="1275" w:type="dxa"/>
            <w:tcBorders>
              <w:top w:val="single" w:color="auto" w:sz="4" w:space="0"/>
              <w:bottom w:val="single" w:color="auto" w:sz="4" w:space="0"/>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1,285.35</w:t>
            </w:r>
          </w:p>
        </w:tc>
        <w:tc>
          <w:tcPr>
            <w:tcW w:w="1276" w:type="dxa"/>
            <w:tcBorders>
              <w:top w:val="single" w:color="auto" w:sz="4" w:space="0"/>
              <w:bottom w:val="single" w:color="auto" w:sz="4" w:space="0"/>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tcBorders>
              <w:top w:val="single" w:color="auto" w:sz="4" w:space="0"/>
              <w:bottom w:val="single" w:color="auto" w:sz="4" w:space="0"/>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bl>
    <w:p>
      <w:pPr>
        <w:rPr>
          <w:sz w:val="22"/>
          <w:szCs w:val="22"/>
        </w:rPr>
      </w:pPr>
    </w:p>
    <w:p>
      <w:pPr>
        <w:pStyle w:val="4"/>
        <w:numPr>
          <w:ilvl w:val="0"/>
          <w:numId w:val="2"/>
        </w:numPr>
        <w:spacing w:before="0" w:after="0" w:line="360" w:lineRule="auto"/>
        <w:ind w:firstLine="602"/>
        <w:jc w:val="left"/>
        <w:rPr>
          <w:rFonts w:hint="eastAsia" w:ascii="仿宋" w:hAnsi="仿宋" w:eastAsia="仿宋"/>
          <w:b/>
        </w:rPr>
      </w:pPr>
      <w:bookmarkStart w:id="68" w:name="_Toc35500812"/>
      <w:bookmarkStart w:id="69" w:name="_Toc35452586"/>
      <w:r>
        <w:rPr>
          <w:rFonts w:hint="eastAsia" w:ascii="仿宋" w:hAnsi="仿宋" w:eastAsia="仿宋"/>
          <w:b/>
        </w:rPr>
        <w:t>需要说明的其他事项。</w:t>
      </w:r>
      <w:bookmarkEnd w:id="68"/>
      <w:bookmarkEnd w:id="69"/>
    </w:p>
    <w:p>
      <w:pPr>
        <w:rPr>
          <w:rFonts w:hint="default" w:eastAsia="宋体"/>
          <w:color w:val="auto"/>
          <w:lang w:val="en-US" w:eastAsia="zh-CN"/>
        </w:rPr>
      </w:pPr>
      <w:r>
        <w:rPr>
          <w:rFonts w:hint="eastAsia"/>
          <w:color w:val="auto"/>
          <w:lang w:val="en-US" w:eastAsia="zh-CN"/>
        </w:rPr>
        <w:t xml:space="preserve">        无</w:t>
      </w:r>
    </w:p>
    <w:p>
      <w:pPr>
        <w:pStyle w:val="2"/>
        <w:spacing w:before="0" w:after="0" w:line="360" w:lineRule="auto"/>
        <w:rPr>
          <w:rFonts w:ascii="宋体" w:eastAsia="宋体"/>
          <w:sz w:val="32"/>
          <w:szCs w:val="32"/>
        </w:rPr>
      </w:pPr>
      <w:bookmarkStart w:id="70" w:name="_Toc35452587"/>
      <w:bookmarkStart w:id="71" w:name="_Toc503548887"/>
      <w:bookmarkStart w:id="72" w:name="_Toc436083530"/>
      <w:bookmarkStart w:id="73" w:name="_Toc35500813"/>
      <w:r>
        <w:rPr>
          <w:rFonts w:hint="eastAsia" w:ascii="宋体" w:eastAsia="宋体"/>
          <w:sz w:val="32"/>
          <w:szCs w:val="32"/>
        </w:rPr>
        <w:t>二、政府部门财务分析</w:t>
      </w:r>
      <w:bookmarkEnd w:id="70"/>
      <w:bookmarkEnd w:id="71"/>
      <w:bookmarkEnd w:id="72"/>
      <w:bookmarkEnd w:id="73"/>
    </w:p>
    <w:p>
      <w:pPr>
        <w:pStyle w:val="4"/>
        <w:spacing w:before="0" w:after="0" w:line="360" w:lineRule="auto"/>
        <w:ind w:firstLine="602"/>
        <w:jc w:val="left"/>
        <w:rPr>
          <w:rFonts w:ascii="仿宋" w:hAnsi="仿宋" w:eastAsia="仿宋" w:cs="黑体"/>
          <w:b/>
          <w:spacing w:val="-8"/>
        </w:rPr>
      </w:pPr>
      <w:bookmarkStart w:id="74" w:name="_Toc503548888"/>
      <w:bookmarkStart w:id="75" w:name="_Toc436083531"/>
      <w:bookmarkStart w:id="76" w:name="_Toc35500814"/>
      <w:bookmarkStart w:id="77" w:name="_Toc35452588"/>
      <w:bookmarkStart w:id="78" w:name="_Toc436083532"/>
      <w:bookmarkStart w:id="79" w:name="_Toc503548889"/>
      <w:bookmarkStart w:id="80" w:name="_Toc35500815"/>
      <w:r>
        <w:rPr>
          <w:rFonts w:hint="eastAsia" w:ascii="仿宋" w:hAnsi="仿宋" w:eastAsia="仿宋"/>
          <w:b/>
        </w:rPr>
        <w:t>（一）</w:t>
      </w:r>
      <w:bookmarkEnd w:id="74"/>
      <w:bookmarkEnd w:id="75"/>
      <w:r>
        <w:rPr>
          <w:rFonts w:ascii="仿宋" w:hAnsi="仿宋" w:eastAsia="仿宋" w:cs="黑体"/>
          <w:b/>
          <w:spacing w:val="-8"/>
        </w:rPr>
        <w:t>政府部门工作目标完成情况。</w:t>
      </w:r>
      <w:bookmarkEnd w:id="76"/>
      <w:bookmarkEnd w:id="77"/>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莫力达瓦达斡尔族自治旗阿尔拉镇人民政府职能及工作任务，</w:t>
      </w:r>
    </w:p>
    <w:p>
      <w:pPr>
        <w:pStyle w:val="110"/>
        <w:spacing w:line="360" w:lineRule="auto"/>
        <w:ind w:left="0" w:leftChars="0" w:firstLine="0" w:firstLineChars="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(1)执行本级人民代表大会的决议和上级国家行政机关的决定和命令，发布决定和命令；</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 xml:space="preserve">(2)执行本行政区域内的经济和社会发展计划、预算，管理本行政区域内的经济、教育、科学、文化、卫生、体育事业和财政、民政、公安、司法行政、计划生育等行政工作； </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(3)保护社会主义的全民所有的财产和劳动群众集体所有的财产，保护公民私人所有的合法财产，维护社会秩序，保障公民的人身权利、民主权利和其他权利；</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 xml:space="preserve">(4)保护各种经济组织的合法权益； </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(5)保障少数民族的权利和尊重少数民族的风俗习惯；</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(6)办理上级人民政府交办的其他事项。</w:t>
      </w:r>
    </w:p>
    <w:p>
      <w:pPr>
        <w:pStyle w:val="4"/>
        <w:spacing w:before="0" w:after="0" w:line="360" w:lineRule="auto"/>
        <w:ind w:firstLine="602"/>
        <w:jc w:val="left"/>
        <w:rPr>
          <w:rFonts w:hint="eastAsia" w:ascii="仿宋" w:hAnsi="仿宋" w:eastAsia="仿宋" w:cs="仿宋"/>
          <w:sz w:val="32"/>
          <w:szCs w:val="32"/>
        </w:rPr>
      </w:pPr>
      <w:r>
        <w:rPr>
          <w:rFonts w:hint="eastAsia" w:ascii="仿宋" w:hAnsi="仿宋" w:eastAsia="仿宋" w:cs="仿宋"/>
          <w:sz w:val="32"/>
          <w:szCs w:val="32"/>
        </w:rPr>
        <w:t>(一)部门职能</w:t>
      </w:r>
    </w:p>
    <w:p>
      <w:pPr>
        <w:pStyle w:val="4"/>
        <w:spacing w:before="0" w:after="0" w:line="360" w:lineRule="auto"/>
        <w:ind w:firstLine="602"/>
        <w:jc w:val="lef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阿尔拉镇人民在旗委、旗政府的正确领导下，在2020年度全面、超额完成了年初计划。</w:t>
      </w:r>
    </w:p>
    <w:p>
      <w:pPr>
        <w:pStyle w:val="4"/>
        <w:spacing w:before="0" w:after="0" w:line="360" w:lineRule="auto"/>
        <w:ind w:firstLine="602"/>
        <w:jc w:val="left"/>
        <w:rPr>
          <w:rFonts w:hint="eastAsia" w:ascii="仿宋" w:hAnsi="仿宋" w:eastAsia="仿宋" w:cs="仿宋"/>
          <w:b w:val="0"/>
          <w:bCs/>
          <w:sz w:val="32"/>
          <w:szCs w:val="32"/>
          <w:lang w:eastAsia="zh-CN"/>
        </w:rPr>
      </w:pPr>
      <w:r>
        <w:rPr>
          <w:rFonts w:hint="eastAsia" w:ascii="仿宋" w:hAnsi="仿宋" w:eastAsia="仿宋" w:cs="仿宋"/>
          <w:b w:val="0"/>
          <w:bCs/>
          <w:sz w:val="32"/>
          <w:szCs w:val="32"/>
        </w:rPr>
        <w:t>(</w:t>
      </w:r>
      <w:r>
        <w:rPr>
          <w:rFonts w:hint="eastAsia" w:ascii="仿宋" w:hAnsi="仿宋" w:eastAsia="仿宋" w:cs="仿宋"/>
          <w:b w:val="0"/>
          <w:bCs/>
          <w:sz w:val="32"/>
          <w:szCs w:val="32"/>
          <w:lang w:val="en-US" w:eastAsia="zh-CN"/>
        </w:rPr>
        <w:t>二</w:t>
      </w:r>
      <w:r>
        <w:rPr>
          <w:rFonts w:hint="eastAsia" w:ascii="仿宋" w:hAnsi="仿宋" w:eastAsia="仿宋" w:cs="仿宋"/>
          <w:b w:val="0"/>
          <w:bCs/>
          <w:sz w:val="32"/>
          <w:szCs w:val="32"/>
        </w:rPr>
        <w:t>)主要职责</w:t>
      </w:r>
      <w:r>
        <w:rPr>
          <w:rFonts w:hint="eastAsia" w:ascii="仿宋" w:hAnsi="仿宋" w:eastAsia="仿宋" w:cs="仿宋"/>
          <w:b w:val="0"/>
          <w:bCs/>
          <w:sz w:val="32"/>
          <w:szCs w:val="32"/>
          <w:lang w:eastAsia="zh-CN"/>
        </w:rPr>
        <w:t>：</w:t>
      </w:r>
    </w:p>
    <w:p>
      <w:pPr>
        <w:ind w:firstLine="640" w:firstLineChars="200"/>
        <w:rPr>
          <w:rFonts w:hint="eastAsia" w:ascii="仿宋" w:hAnsi="仿宋" w:eastAsia="仿宋" w:cs="仿宋"/>
          <w:bCs/>
          <w:kern w:val="2"/>
          <w:sz w:val="32"/>
          <w:szCs w:val="32"/>
          <w:lang w:val="en-US" w:eastAsia="zh-CN" w:bidi="ar-SA"/>
        </w:rPr>
      </w:pPr>
      <w:r>
        <w:rPr>
          <w:rFonts w:hint="eastAsia" w:ascii="仿宋" w:hAnsi="仿宋" w:eastAsia="仿宋" w:cs="仿宋"/>
          <w:bCs/>
          <w:kern w:val="2"/>
          <w:sz w:val="32"/>
          <w:szCs w:val="32"/>
          <w:lang w:val="en-US" w:eastAsia="zh-CN" w:bidi="ar-SA"/>
        </w:rPr>
        <w:t>1.组织起草或审核以旗政府、镇政府名义发布的公文，组织起草《莫力达瓦达斡尔族自治旗哈达阳镇政府工作报告》等</w:t>
      </w:r>
    </w:p>
    <w:p>
      <w:pPr>
        <w:ind w:firstLine="640" w:firstLineChars="200"/>
        <w:rPr>
          <w:rFonts w:hint="eastAsia" w:ascii="仿宋" w:hAnsi="仿宋" w:eastAsia="仿宋" w:cs="仿宋"/>
          <w:bCs/>
          <w:kern w:val="2"/>
          <w:sz w:val="32"/>
          <w:szCs w:val="32"/>
          <w:lang w:val="en-US" w:eastAsia="zh-CN" w:bidi="ar-SA"/>
        </w:rPr>
      </w:pPr>
      <w:r>
        <w:rPr>
          <w:rFonts w:hint="eastAsia" w:ascii="仿宋" w:hAnsi="仿宋" w:eastAsia="仿宋" w:cs="仿宋"/>
          <w:bCs/>
          <w:kern w:val="2"/>
          <w:sz w:val="32"/>
          <w:szCs w:val="32"/>
          <w:lang w:val="en-US" w:eastAsia="zh-CN" w:bidi="ar-SA"/>
        </w:rPr>
        <w:t>2.研究旗政府和各乡各部门请示旗政府的有关事项并提出拟办意见，报政府有关领导决定。</w:t>
      </w:r>
    </w:p>
    <w:p>
      <w:pPr>
        <w:ind w:firstLine="640" w:firstLineChars="200"/>
        <w:rPr>
          <w:rFonts w:hint="eastAsia" w:ascii="仿宋" w:hAnsi="仿宋" w:eastAsia="仿宋" w:cs="仿宋"/>
          <w:bCs/>
          <w:kern w:val="2"/>
          <w:sz w:val="32"/>
          <w:szCs w:val="32"/>
          <w:lang w:val="en-US" w:eastAsia="zh-CN" w:bidi="ar-SA"/>
        </w:rPr>
      </w:pPr>
      <w:r>
        <w:rPr>
          <w:rFonts w:hint="eastAsia" w:ascii="仿宋" w:hAnsi="仿宋" w:eastAsia="仿宋" w:cs="仿宋"/>
          <w:bCs/>
          <w:kern w:val="2"/>
          <w:sz w:val="32"/>
          <w:szCs w:val="32"/>
          <w:lang w:val="en-US" w:eastAsia="zh-CN" w:bidi="ar-SA"/>
        </w:rPr>
        <w:t>3.负责镇政府会议的准备和组织工作，协助市政府领导部署会议决定事项的实施。</w:t>
      </w:r>
    </w:p>
    <w:p>
      <w:pPr>
        <w:ind w:firstLine="640" w:firstLineChars="200"/>
        <w:rPr>
          <w:rFonts w:hint="eastAsia" w:ascii="仿宋" w:hAnsi="仿宋" w:eastAsia="仿宋" w:cs="仿宋"/>
          <w:bCs/>
          <w:kern w:val="2"/>
          <w:sz w:val="32"/>
          <w:szCs w:val="32"/>
          <w:lang w:val="en-US" w:eastAsia="zh-CN" w:bidi="ar-SA"/>
        </w:rPr>
      </w:pPr>
      <w:r>
        <w:rPr>
          <w:rFonts w:hint="eastAsia" w:ascii="仿宋" w:hAnsi="仿宋" w:eastAsia="仿宋" w:cs="仿宋"/>
          <w:bCs/>
          <w:kern w:val="2"/>
          <w:sz w:val="32"/>
          <w:szCs w:val="32"/>
          <w:lang w:val="en-US" w:eastAsia="zh-CN" w:bidi="ar-SA"/>
        </w:rPr>
        <w:t>4.</w:t>
      </w:r>
      <w:r>
        <w:rPr>
          <w:rFonts w:hint="eastAsia" w:ascii="仿宋" w:hAnsi="仿宋" w:eastAsia="仿宋" w:cs="仿宋"/>
          <w:sz w:val="32"/>
          <w:szCs w:val="32"/>
          <w:lang w:val="en-US" w:eastAsia="zh-CN"/>
        </w:rPr>
        <w:t>负责阿尔拉镇日常政务性工作</w:t>
      </w:r>
      <w:r>
        <w:rPr>
          <w:rFonts w:hint="eastAsia" w:ascii="仿宋" w:hAnsi="仿宋" w:eastAsia="仿宋" w:cs="仿宋"/>
          <w:bCs/>
          <w:kern w:val="2"/>
          <w:sz w:val="32"/>
          <w:szCs w:val="32"/>
          <w:lang w:val="en-US" w:eastAsia="zh-CN" w:bidi="ar-SA"/>
        </w:rPr>
        <w:t>。</w:t>
      </w:r>
    </w:p>
    <w:p>
      <w:pPr>
        <w:ind w:firstLine="640" w:firstLineChars="200"/>
        <w:rPr>
          <w:rFonts w:hint="default" w:ascii="仿宋" w:hAnsi="仿宋" w:eastAsia="仿宋" w:cs="仿宋"/>
          <w:bCs/>
          <w:kern w:val="2"/>
          <w:sz w:val="32"/>
          <w:szCs w:val="32"/>
          <w:lang w:val="en-US" w:eastAsia="zh-CN" w:bidi="ar-SA"/>
        </w:rPr>
      </w:pPr>
      <w:r>
        <w:rPr>
          <w:rFonts w:hint="eastAsia" w:ascii="仿宋" w:hAnsi="仿宋" w:eastAsia="仿宋" w:cs="仿宋"/>
          <w:bCs/>
          <w:kern w:val="2"/>
          <w:sz w:val="32"/>
          <w:szCs w:val="32"/>
          <w:lang w:val="en-US" w:eastAsia="zh-CN" w:bidi="ar-SA"/>
        </w:rPr>
        <w:t>5.</w:t>
      </w:r>
      <w:r>
        <w:rPr>
          <w:rFonts w:hint="eastAsia" w:ascii="仿宋" w:hAnsi="仿宋" w:eastAsia="仿宋" w:cs="仿宋"/>
          <w:sz w:val="32"/>
          <w:szCs w:val="32"/>
          <w:lang w:val="en-US" w:eastAsia="zh-CN"/>
        </w:rPr>
        <w:t>完成旗委、旗政府和其他上级部门交办的其他工作。</w:t>
      </w:r>
    </w:p>
    <w:p>
      <w:pPr>
        <w:pStyle w:val="4"/>
        <w:spacing w:before="0" w:after="0" w:line="360" w:lineRule="auto"/>
        <w:ind w:firstLine="602"/>
        <w:jc w:val="left"/>
        <w:rPr>
          <w:rFonts w:ascii="仿宋" w:hAnsi="仿宋" w:eastAsia="仿宋"/>
          <w:b/>
        </w:rPr>
      </w:pPr>
      <w:r>
        <w:rPr>
          <w:rFonts w:hint="eastAsia" w:ascii="仿宋" w:hAnsi="仿宋" w:eastAsia="仿宋"/>
          <w:b/>
        </w:rPr>
        <w:t>（二）</w:t>
      </w:r>
      <w:bookmarkEnd w:id="78"/>
      <w:bookmarkEnd w:id="79"/>
      <w:r>
        <w:rPr>
          <w:rFonts w:ascii="仿宋" w:hAnsi="仿宋" w:eastAsia="仿宋"/>
          <w:b/>
        </w:rPr>
        <w:t>政府部门财务状况分析。</w:t>
      </w:r>
      <w:bookmarkEnd w:id="80"/>
    </w:p>
    <w:p>
      <w:pPr>
        <w:spacing w:line="360" w:lineRule="auto"/>
        <w:ind w:firstLine="600" w:firstLineChars="200"/>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t>1.</w:t>
      </w:r>
      <w:r>
        <w:rPr>
          <w:rFonts w:hint="eastAsia" w:ascii="仿宋" w:hAnsi="仿宋" w:eastAsia="仿宋"/>
          <w:color w:val="000000" w:themeColor="text1"/>
          <w:sz w:val="30"/>
          <w:szCs w:val="30"/>
          <w:lang w:val="en-US" w:eastAsia="zh-CN"/>
          <w14:textFill>
            <w14:solidFill>
              <w14:schemeClr w14:val="tx1"/>
            </w14:solidFill>
          </w14:textFill>
        </w:rPr>
        <w:t>本</w:t>
      </w:r>
      <w:r>
        <w:rPr>
          <w:rFonts w:ascii="仿宋" w:hAnsi="仿宋" w:eastAsia="仿宋"/>
          <w:color w:val="000000" w:themeColor="text1"/>
          <w:sz w:val="30"/>
          <w:szCs w:val="30"/>
          <w14:textFill>
            <w14:solidFill>
              <w14:schemeClr w14:val="tx1"/>
            </w14:solidFill>
          </w14:textFill>
        </w:rPr>
        <w:t>部门的货币资金</w:t>
      </w:r>
      <w:r>
        <w:rPr>
          <w:rFonts w:hint="eastAsia" w:ascii="仿宋" w:hAnsi="仿宋" w:eastAsia="仿宋"/>
          <w:color w:val="000000" w:themeColor="text1"/>
          <w:sz w:val="30"/>
          <w:szCs w:val="30"/>
          <w:lang w:val="en-US" w:eastAsia="zh-CN"/>
          <w14:textFill>
            <w14:solidFill>
              <w14:schemeClr w14:val="tx1"/>
            </w14:solidFill>
          </w14:textFill>
        </w:rPr>
        <w:t>1.23%</w:t>
      </w:r>
      <w:r>
        <w:rPr>
          <w:rFonts w:ascii="仿宋" w:hAnsi="仿宋" w:eastAsia="仿宋"/>
          <w:color w:val="000000" w:themeColor="text1"/>
          <w:sz w:val="30"/>
          <w:szCs w:val="30"/>
          <w14:textFill>
            <w14:solidFill>
              <w14:schemeClr w14:val="tx1"/>
            </w14:solidFill>
          </w14:textFill>
        </w:rPr>
        <w:t>、固定资产</w:t>
      </w:r>
      <w:r>
        <w:rPr>
          <w:rFonts w:hint="eastAsia" w:ascii="仿宋" w:hAnsi="仿宋" w:eastAsia="仿宋"/>
          <w:color w:val="000000" w:themeColor="text1"/>
          <w:sz w:val="30"/>
          <w:szCs w:val="30"/>
          <w:lang w:val="en-US" w:eastAsia="zh-CN"/>
          <w14:textFill>
            <w14:solidFill>
              <w14:schemeClr w14:val="tx1"/>
            </w14:solidFill>
          </w14:textFill>
        </w:rPr>
        <w:t>净值5.93%</w:t>
      </w:r>
      <w:r>
        <w:rPr>
          <w:rFonts w:ascii="仿宋" w:hAnsi="仿宋" w:eastAsia="仿宋"/>
          <w:color w:val="000000" w:themeColor="text1"/>
          <w:sz w:val="30"/>
          <w:szCs w:val="30"/>
          <w14:textFill>
            <w14:solidFill>
              <w14:schemeClr w14:val="tx1"/>
            </w14:solidFill>
          </w14:textFill>
        </w:rPr>
        <w:t>、</w:t>
      </w:r>
      <w:r>
        <w:rPr>
          <w:rFonts w:hint="eastAsia" w:ascii="仿宋" w:hAnsi="仿宋" w:eastAsia="仿宋"/>
          <w:color w:val="000000" w:themeColor="text1"/>
          <w:sz w:val="30"/>
          <w:szCs w:val="30"/>
          <w:lang w:val="en-US" w:eastAsia="zh-CN"/>
          <w14:textFill>
            <w14:solidFill>
              <w14:schemeClr w14:val="tx1"/>
            </w14:solidFill>
          </w14:textFill>
        </w:rPr>
        <w:t>预付账款15.62%</w:t>
      </w:r>
      <w:r>
        <w:rPr>
          <w:rFonts w:hint="eastAsia" w:ascii="仿宋" w:hAnsi="仿宋" w:eastAsia="仿宋"/>
          <w:color w:val="000000" w:themeColor="text1"/>
          <w:sz w:val="30"/>
          <w:szCs w:val="30"/>
          <w:lang w:eastAsia="zh-CN"/>
          <w14:textFill>
            <w14:solidFill>
              <w14:schemeClr w14:val="tx1"/>
            </w14:solidFill>
          </w14:textFill>
        </w:rPr>
        <w:t>、</w:t>
      </w:r>
      <w:r>
        <w:rPr>
          <w:rFonts w:hint="eastAsia" w:ascii="仿宋" w:hAnsi="仿宋" w:eastAsia="仿宋"/>
          <w:color w:val="000000" w:themeColor="text1"/>
          <w:sz w:val="30"/>
          <w:szCs w:val="30"/>
          <w:lang w:val="en-US" w:eastAsia="zh-CN"/>
          <w14:textFill>
            <w14:solidFill>
              <w14:schemeClr w14:val="tx1"/>
            </w14:solidFill>
          </w14:textFill>
        </w:rPr>
        <w:t>其他应收款净额24.67%</w:t>
      </w:r>
      <w:r>
        <w:rPr>
          <w:rFonts w:ascii="仿宋" w:hAnsi="仿宋" w:eastAsia="仿宋"/>
          <w:color w:val="000000" w:themeColor="text1"/>
          <w:sz w:val="30"/>
          <w:szCs w:val="30"/>
          <w14:textFill>
            <w14:solidFill>
              <w14:schemeClr w14:val="tx1"/>
            </w14:solidFill>
          </w14:textFill>
        </w:rPr>
        <w:t>、</w:t>
      </w:r>
      <w:r>
        <w:rPr>
          <w:rFonts w:hint="eastAsia" w:ascii="仿宋" w:hAnsi="仿宋" w:eastAsia="仿宋"/>
          <w:color w:val="000000" w:themeColor="text1"/>
          <w:sz w:val="30"/>
          <w:szCs w:val="30"/>
          <w:lang w:val="en-US" w:eastAsia="zh-CN"/>
          <w14:textFill>
            <w14:solidFill>
              <w14:schemeClr w14:val="tx1"/>
            </w14:solidFill>
          </w14:textFill>
        </w:rPr>
        <w:t>财政应返还额度52.54%。</w:t>
      </w:r>
      <w:r>
        <w:rPr>
          <w:rFonts w:ascii="仿宋" w:hAnsi="仿宋" w:eastAsia="仿宋"/>
          <w:color w:val="000000" w:themeColor="text1"/>
          <w:sz w:val="30"/>
          <w:szCs w:val="30"/>
          <w14:textFill>
            <w14:solidFill>
              <w14:schemeClr w14:val="tx1"/>
            </w14:solidFill>
          </w14:textFill>
        </w:rPr>
        <w:t>长期投资、在建</w:t>
      </w:r>
      <w:r>
        <w:rPr>
          <w:rFonts w:hint="eastAsia" w:ascii="仿宋" w:hAnsi="仿宋" w:eastAsia="仿宋"/>
          <w:color w:val="000000" w:themeColor="text1"/>
          <w:sz w:val="30"/>
          <w:szCs w:val="30"/>
          <w14:textFill>
            <w14:solidFill>
              <w14:schemeClr w14:val="tx1"/>
            </w14:solidFill>
          </w14:textFill>
        </w:rPr>
        <w:t>工程、公共基础设施、政府储备物资、保障性住房等重要资产</w:t>
      </w:r>
      <w:r>
        <w:rPr>
          <w:rFonts w:ascii="仿宋" w:hAnsi="仿宋" w:eastAsia="仿宋"/>
          <w:color w:val="000000" w:themeColor="text1"/>
          <w:sz w:val="30"/>
          <w:szCs w:val="30"/>
          <w14:textFill>
            <w14:solidFill>
              <w14:schemeClr w14:val="tx1"/>
            </w14:solidFill>
          </w14:textFill>
        </w:rPr>
        <w:t>项目</w:t>
      </w:r>
      <w:r>
        <w:rPr>
          <w:rFonts w:hint="eastAsia" w:ascii="仿宋" w:hAnsi="仿宋" w:eastAsia="仿宋"/>
          <w:color w:val="000000" w:themeColor="text1"/>
          <w:sz w:val="30"/>
          <w:szCs w:val="30"/>
          <w:lang w:val="en-US" w:eastAsia="zh-CN"/>
          <w14:textFill>
            <w14:solidFill>
              <w14:schemeClr w14:val="tx1"/>
            </w14:solidFill>
          </w14:textFill>
        </w:rPr>
        <w:t>占比0%</w:t>
      </w:r>
      <w:r>
        <w:rPr>
          <w:rFonts w:ascii="仿宋" w:hAnsi="仿宋" w:eastAsia="仿宋"/>
          <w:color w:val="000000" w:themeColor="text1"/>
          <w:sz w:val="30"/>
          <w:szCs w:val="30"/>
          <w14:textFill>
            <w14:solidFill>
              <w14:schemeClr w14:val="tx1"/>
            </w14:solidFill>
          </w14:textFill>
        </w:rPr>
        <w:t>，</w:t>
      </w:r>
      <w:r>
        <w:rPr>
          <w:rFonts w:hint="eastAsia" w:ascii="仿宋" w:hAnsi="仿宋" w:eastAsia="仿宋"/>
          <w:color w:val="000000" w:themeColor="text1"/>
          <w:sz w:val="30"/>
          <w:szCs w:val="30"/>
          <w:lang w:val="en-US" w:eastAsia="zh-CN"/>
          <w14:textFill>
            <w14:solidFill>
              <w14:schemeClr w14:val="tx1"/>
            </w14:solidFill>
          </w14:textFill>
        </w:rPr>
        <w:t>为</w:t>
      </w:r>
      <w:r>
        <w:rPr>
          <w:rFonts w:ascii="仿宋" w:hAnsi="仿宋" w:eastAsia="仿宋"/>
          <w:color w:val="000000" w:themeColor="text1"/>
          <w:sz w:val="30"/>
          <w:szCs w:val="30"/>
          <w14:textFill>
            <w14:solidFill>
              <w14:schemeClr w14:val="tx1"/>
            </w14:solidFill>
          </w14:textFill>
        </w:rPr>
        <w:t>提供公共服务能力的</w:t>
      </w:r>
      <w:r>
        <w:rPr>
          <w:rFonts w:hint="eastAsia" w:ascii="仿宋" w:hAnsi="仿宋" w:eastAsia="仿宋"/>
          <w:color w:val="000000" w:themeColor="text1"/>
          <w:sz w:val="30"/>
          <w:szCs w:val="30"/>
          <w:lang w:val="en-US" w:eastAsia="zh-CN"/>
          <w14:textFill>
            <w14:solidFill>
              <w14:schemeClr w14:val="tx1"/>
            </w14:solidFill>
          </w14:textFill>
        </w:rPr>
        <w:t>产生良好</w:t>
      </w:r>
      <w:r>
        <w:rPr>
          <w:rFonts w:ascii="仿宋" w:hAnsi="仿宋" w:eastAsia="仿宋"/>
          <w:color w:val="000000" w:themeColor="text1"/>
          <w:sz w:val="30"/>
          <w:szCs w:val="30"/>
          <w14:textFill>
            <w14:solidFill>
              <w14:schemeClr w14:val="tx1"/>
            </w14:solidFill>
          </w14:textFill>
        </w:rPr>
        <w:t>影响。</w:t>
      </w:r>
    </w:p>
    <w:p>
      <w:pPr>
        <w:spacing w:line="360" w:lineRule="auto"/>
        <w:jc w:val="center"/>
      </w:pPr>
      <w:r>
        <w:t>资产结构分析</w:t>
      </w:r>
      <w:r>
        <w:rPr>
          <w:rFonts w:hint="eastAsia"/>
        </w:rPr>
        <w:t>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3556000"/>
            <wp:effectExtent l="0" t="0" r="12700" b="6350"/>
            <wp:docPr id="1" name="Drawing 0" descr="资产结构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0" descr="资产结构分析"/>
                    <pic:cNvPicPr>
                      <a:picLocks noChangeAspect="1"/>
                    </pic:cNvPicPr>
                  </pic:nvPicPr>
                  <pic:blipFill>
                    <a:blip r:embed="rId10"/>
                    <a:stretch>
                      <a:fillRect/>
                    </a:stretch>
                  </pic:blipFill>
                  <pic:spPr>
                    <a:xfrm>
                      <a:off x="0" y="0"/>
                      <a:ext cx="6350000" cy="3556000"/>
                    </a:xfrm>
                    <a:prstGeom prst="rect">
                      <a:avLst/>
                    </a:prstGeom>
                  </pic:spPr>
                </pic:pic>
              </a:graphicData>
            </a:graphic>
          </wp:inline>
        </w:drawing>
      </w:r>
    </w:p>
    <w:p>
      <w:pPr>
        <w:pStyle w:val="110"/>
        <w:spacing w:line="360" w:lineRule="auto"/>
        <w:ind w:firstLine="480"/>
        <w:jc w:val="center"/>
        <w:rPr>
          <w:rFonts w:asciiTheme="minorEastAsia" w:hAnsiTheme="minorEastAsia" w:eastAsiaTheme="minorEastAsia"/>
          <w:color w:val="0070C0"/>
          <w:sz w:val="24"/>
          <w:szCs w:val="24"/>
        </w:rPr>
      </w:pPr>
    </w:p>
    <w:p>
      <w:pPr>
        <w:spacing w:line="360" w:lineRule="auto"/>
        <w:jc w:val="center"/>
      </w:pPr>
      <w:r>
        <w:t>重要资产项目年度情况分析</w:t>
      </w:r>
      <w:r>
        <w:rPr>
          <w:rFonts w:hint="eastAsia"/>
        </w:rPr>
        <w:t>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3556000"/>
            <wp:effectExtent l="0" t="0" r="12700" b="6350"/>
            <wp:docPr id="2" name="Drawing 1" descr="重要资产项目年度情况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1" descr="重要资产项目年度情况分析"/>
                    <pic:cNvPicPr>
                      <a:picLocks noChangeAspect="1"/>
                    </pic:cNvPicPr>
                  </pic:nvPicPr>
                  <pic:blipFill>
                    <a:blip r:embed="rId11"/>
                    <a:stretch>
                      <a:fillRect/>
                    </a:stretch>
                  </pic:blipFill>
                  <pic:spPr>
                    <a:xfrm>
                      <a:off x="0" y="0"/>
                      <a:ext cx="6350000" cy="3556000"/>
                    </a:xfrm>
                    <a:prstGeom prst="rect">
                      <a:avLst/>
                    </a:prstGeom>
                  </pic:spPr>
                </pic:pic>
              </a:graphicData>
            </a:graphic>
          </wp:inline>
        </w:drawing>
      </w:r>
    </w:p>
    <w:p>
      <w:pPr>
        <w:spacing w:line="360" w:lineRule="auto"/>
        <w:ind w:firstLine="480" w:firstLineChars="200"/>
        <w:rPr>
          <w:color w:val="0070C0"/>
        </w:rPr>
      </w:pPr>
    </w:p>
    <w:p>
      <w:pPr>
        <w:spacing w:line="360" w:lineRule="auto"/>
        <w:ind w:firstLine="600" w:firstLineChars="200"/>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t>2.</w:t>
      </w:r>
      <w:r>
        <w:rPr>
          <w:rFonts w:hint="eastAsia" w:ascii="仿宋" w:hAnsi="仿宋" w:eastAsia="仿宋"/>
          <w:color w:val="000000" w:themeColor="text1"/>
          <w:sz w:val="30"/>
          <w:szCs w:val="30"/>
          <w:lang w:val="en-US" w:eastAsia="zh-CN"/>
          <w14:textFill>
            <w14:solidFill>
              <w14:schemeClr w14:val="tx1"/>
            </w14:solidFill>
          </w14:textFill>
        </w:rPr>
        <w:t>不存在</w:t>
      </w:r>
      <w:r>
        <w:rPr>
          <w:rFonts w:ascii="仿宋" w:hAnsi="仿宋" w:eastAsia="仿宋"/>
          <w:color w:val="000000" w:themeColor="text1"/>
          <w:sz w:val="30"/>
          <w:szCs w:val="30"/>
          <w14:textFill>
            <w14:solidFill>
              <w14:schemeClr w14:val="tx1"/>
            </w14:solidFill>
          </w14:textFill>
        </w:rPr>
        <w:t>短期借款、长期借款等重点负债项目的增减变化情</w:t>
      </w:r>
      <w:r>
        <w:rPr>
          <w:rFonts w:hint="eastAsia" w:ascii="仿宋" w:hAnsi="仿宋" w:eastAsia="仿宋"/>
          <w:color w:val="000000" w:themeColor="text1"/>
          <w:sz w:val="30"/>
          <w:szCs w:val="30"/>
          <w14:textFill>
            <w14:solidFill>
              <w14:schemeClr w14:val="tx1"/>
            </w14:solidFill>
          </w14:textFill>
        </w:rPr>
        <w:t>况，</w:t>
      </w:r>
      <w:r>
        <w:rPr>
          <w:rFonts w:hint="eastAsia" w:ascii="仿宋" w:hAnsi="仿宋" w:eastAsia="仿宋"/>
          <w:color w:val="000000" w:themeColor="text1"/>
          <w:sz w:val="30"/>
          <w:szCs w:val="30"/>
          <w:lang w:val="en-US" w:eastAsia="zh-CN"/>
          <w14:textFill>
            <w14:solidFill>
              <w14:schemeClr w14:val="tx1"/>
            </w14:solidFill>
          </w14:textFill>
        </w:rPr>
        <w:t>其他应付款占比99.36%</w:t>
      </w:r>
      <w:r>
        <w:rPr>
          <w:rFonts w:hint="eastAsia" w:ascii="仿宋" w:hAnsi="仿宋" w:eastAsia="仿宋"/>
          <w:color w:val="000000" w:themeColor="text1"/>
          <w:sz w:val="30"/>
          <w:szCs w:val="30"/>
          <w14:textFill>
            <w14:solidFill>
              <w14:schemeClr w14:val="tx1"/>
            </w14:solidFill>
          </w14:textFill>
        </w:rPr>
        <w:t>。</w:t>
      </w:r>
    </w:p>
    <w:p>
      <w:pPr>
        <w:spacing w:line="360" w:lineRule="auto"/>
        <w:jc w:val="center"/>
      </w:pPr>
      <w:r>
        <w:rPr>
          <w:rFonts w:hint="eastAsia"/>
        </w:rPr>
        <w:t>部门债务分析图：</w:t>
      </w:r>
    </w:p>
    <w:p>
      <w:pPr>
        <w:pStyle w:val="110"/>
        <w:keepNext w:val="0"/>
        <w:keepLines w:val="0"/>
        <w:pageBreakBefore w:val="0"/>
        <w:widowControl/>
        <w:kinsoku/>
        <w:wordWrap/>
        <w:overflowPunct/>
        <w:topLinePunct w:val="0"/>
        <w:autoSpaceDE/>
        <w:autoSpaceDN/>
        <w:bidi w:val="0"/>
        <w:adjustRightInd/>
        <w:snapToGrid/>
        <w:spacing w:line="360" w:lineRule="auto"/>
        <w:ind w:left="-720" w:leftChars="-300" w:firstLine="0" w:firstLineChars="0"/>
        <w:jc w:val="center"/>
        <w:textAlignment w:val="auto"/>
        <w:rPr>
          <w:rFonts w:ascii="新宋体" w:hAnsi="新宋体" w:eastAsia="新宋体"/>
          <w:sz w:val="24"/>
          <w:szCs w:val="24"/>
        </w:rPr>
      </w:pPr>
      <w:r>
        <w:rPr>
          <w:rFonts w:ascii="新宋体" w:hAnsi="新宋体" w:eastAsia="新宋体"/>
          <w:sz w:val="24"/>
          <w:szCs w:val="24"/>
        </w:rPr>
        <w:drawing>
          <wp:inline distT="0" distB="0" distL="0" distR="0">
            <wp:extent cx="6350000" cy="3556000"/>
            <wp:effectExtent l="0" t="0" r="12700" b="6350"/>
            <wp:docPr id="3" name="Drawing 2" descr="部门债务结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2" descr="部门债务结构"/>
                    <pic:cNvPicPr>
                      <a:picLocks noChangeAspect="1"/>
                    </pic:cNvPicPr>
                  </pic:nvPicPr>
                  <pic:blipFill>
                    <a:blip r:embed="rId12"/>
                    <a:stretch>
                      <a:fillRect/>
                    </a:stretch>
                  </pic:blipFill>
                  <pic:spPr>
                    <a:xfrm>
                      <a:off x="0" y="0"/>
                      <a:ext cx="6350000" cy="3556000"/>
                    </a:xfrm>
                    <a:prstGeom prst="rect">
                      <a:avLst/>
                    </a:prstGeom>
                  </pic:spPr>
                </pic:pic>
              </a:graphicData>
            </a:graphic>
          </wp:inline>
        </w:drawing>
      </w:r>
    </w:p>
    <w:p>
      <w:pPr>
        <w:spacing w:line="360" w:lineRule="auto"/>
        <w:jc w:val="center"/>
      </w:pPr>
    </w:p>
    <w:p>
      <w:pPr>
        <w:spacing w:line="360" w:lineRule="auto"/>
        <w:jc w:val="center"/>
        <w:rPr>
          <w:rFonts w:hint="eastAsia"/>
        </w:rPr>
      </w:pPr>
      <w:r>
        <w:t>重要</w:t>
      </w:r>
      <w:r>
        <w:rPr>
          <w:rFonts w:hint="eastAsia"/>
        </w:rPr>
        <w:t>负债变化</w:t>
      </w:r>
      <w:r>
        <w:t>分析</w:t>
      </w:r>
      <w:r>
        <w:rPr>
          <w:rFonts w:hint="eastAsia"/>
        </w:rPr>
        <w:t>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rPr>
          <w:rFonts w:hint="eastAsia"/>
        </w:rPr>
      </w:pPr>
      <w:r>
        <w:rPr>
          <w:rFonts w:hint="eastAsia"/>
        </w:rPr>
        <w:drawing>
          <wp:inline distT="0" distB="0" distL="0" distR="0">
            <wp:extent cx="6350000" cy="3556000"/>
            <wp:effectExtent l="0" t="0" r="12700" b="6350"/>
            <wp:docPr id="4" name="Drawing 3" descr="重要负债变化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3" descr="重要负债变化分析"/>
                    <pic:cNvPicPr>
                      <a:picLocks noChangeAspect="1"/>
                    </pic:cNvPicPr>
                  </pic:nvPicPr>
                  <pic:blipFill>
                    <a:blip r:embed="rId13"/>
                    <a:stretch>
                      <a:fillRect/>
                    </a:stretch>
                  </pic:blipFill>
                  <pic:spPr>
                    <a:xfrm>
                      <a:off x="0" y="0"/>
                      <a:ext cx="6350000" cy="3556000"/>
                    </a:xfrm>
                    <a:prstGeom prst="rect">
                      <a:avLst/>
                    </a:prstGeom>
                  </pic:spPr>
                </pic:pic>
              </a:graphicData>
            </a:graphic>
          </wp:inline>
        </w:drawing>
      </w:r>
    </w:p>
    <w:p>
      <w:pPr>
        <w:spacing w:line="360" w:lineRule="auto"/>
        <w:ind w:firstLine="600" w:firstLineChars="200"/>
        <w:rPr>
          <w:rFonts w:ascii="仿宋" w:hAnsi="仿宋" w:eastAsia="仿宋"/>
          <w:color w:val="FF0000"/>
          <w:sz w:val="30"/>
          <w:szCs w:val="30"/>
        </w:rPr>
      </w:pPr>
      <w:r>
        <w:rPr>
          <w:rFonts w:ascii="仿宋" w:hAnsi="仿宋" w:eastAsia="仿宋"/>
          <w:color w:val="000000" w:themeColor="text1"/>
          <w:sz w:val="30"/>
          <w:szCs w:val="30"/>
          <w14:textFill>
            <w14:solidFill>
              <w14:schemeClr w14:val="tx1"/>
            </w14:solidFill>
          </w14:textFill>
        </w:rPr>
        <w:t>3.</w:t>
      </w:r>
      <w:r>
        <w:rPr>
          <w:rFonts w:ascii="仿宋" w:hAnsi="仿宋" w:eastAsia="仿宋"/>
          <w:color w:val="auto"/>
          <w:sz w:val="30"/>
          <w:szCs w:val="30"/>
        </w:rPr>
        <w:t>资产负债率</w:t>
      </w:r>
      <w:r>
        <w:rPr>
          <w:rFonts w:hint="eastAsia" w:ascii="仿宋" w:hAnsi="仿宋" w:eastAsia="仿宋"/>
          <w:color w:val="auto"/>
          <w:sz w:val="30"/>
          <w:szCs w:val="30"/>
          <w:lang w:val="en-US" w:eastAsia="zh-CN"/>
        </w:rPr>
        <w:t>261.17%</w:t>
      </w:r>
      <w:r>
        <w:rPr>
          <w:rFonts w:ascii="仿宋" w:hAnsi="仿宋" w:eastAsia="仿宋"/>
          <w:color w:val="auto"/>
          <w:sz w:val="30"/>
          <w:szCs w:val="30"/>
        </w:rPr>
        <w:t>、现金比率</w:t>
      </w:r>
      <w:r>
        <w:rPr>
          <w:rFonts w:hint="eastAsia" w:ascii="仿宋" w:hAnsi="仿宋" w:eastAsia="仿宋"/>
          <w:color w:val="auto"/>
          <w:sz w:val="30"/>
          <w:szCs w:val="30"/>
          <w:lang w:val="en-US" w:eastAsia="zh-CN"/>
        </w:rPr>
        <w:t>20.59%</w:t>
      </w:r>
      <w:r>
        <w:rPr>
          <w:rFonts w:ascii="仿宋" w:hAnsi="仿宋" w:eastAsia="仿宋"/>
          <w:color w:val="auto"/>
          <w:sz w:val="30"/>
          <w:szCs w:val="30"/>
        </w:rPr>
        <w:t>、流动比率</w:t>
      </w:r>
      <w:r>
        <w:rPr>
          <w:rFonts w:hint="eastAsia" w:ascii="仿宋" w:hAnsi="仿宋" w:eastAsia="仿宋"/>
          <w:color w:val="auto"/>
          <w:sz w:val="30"/>
          <w:szCs w:val="30"/>
          <w:lang w:val="en-US" w:eastAsia="zh-CN"/>
        </w:rPr>
        <w:t>36.02%</w:t>
      </w:r>
      <w:r>
        <w:rPr>
          <w:rFonts w:ascii="仿宋" w:hAnsi="仿宋" w:eastAsia="仿宋"/>
          <w:color w:val="auto"/>
          <w:sz w:val="30"/>
          <w:szCs w:val="30"/>
        </w:rPr>
        <w:t>、</w:t>
      </w:r>
      <w:r>
        <w:rPr>
          <w:rFonts w:hint="eastAsia" w:ascii="仿宋" w:hAnsi="仿宋" w:eastAsia="仿宋"/>
          <w:color w:val="auto"/>
          <w:sz w:val="30"/>
          <w:szCs w:val="30"/>
          <w:lang w:val="en-US" w:eastAsia="zh-CN"/>
        </w:rPr>
        <w:t>固定资产成新率50.36%</w:t>
      </w:r>
      <w:r>
        <w:rPr>
          <w:rFonts w:ascii="仿宋" w:hAnsi="仿宋" w:eastAsia="仿宋"/>
          <w:color w:val="auto"/>
          <w:sz w:val="30"/>
          <w:szCs w:val="30"/>
        </w:rPr>
        <w:t>、</w:t>
      </w:r>
      <w:r>
        <w:rPr>
          <w:rFonts w:hint="eastAsia" w:ascii="仿宋" w:hAnsi="仿宋" w:eastAsia="仿宋"/>
          <w:color w:val="auto"/>
          <w:sz w:val="30"/>
          <w:szCs w:val="30"/>
          <w:lang w:val="en-US" w:eastAsia="zh-CN"/>
        </w:rPr>
        <w:t>公共基础设施成新率0%</w:t>
      </w:r>
      <w:r>
        <w:rPr>
          <w:rFonts w:ascii="仿宋" w:hAnsi="仿宋" w:eastAsia="仿宋"/>
          <w:color w:val="auto"/>
          <w:sz w:val="30"/>
          <w:szCs w:val="30"/>
        </w:rPr>
        <w:t>、</w:t>
      </w:r>
      <w:r>
        <w:rPr>
          <w:rFonts w:hint="eastAsia" w:ascii="仿宋" w:hAnsi="仿宋" w:eastAsia="仿宋"/>
          <w:color w:val="auto"/>
          <w:sz w:val="30"/>
          <w:szCs w:val="30"/>
          <w:lang w:val="en-US" w:eastAsia="zh-CN"/>
        </w:rPr>
        <w:t>保障性住房成新率0%</w:t>
      </w:r>
      <w:r>
        <w:rPr>
          <w:rFonts w:ascii="仿宋" w:hAnsi="仿宋" w:eastAsia="仿宋"/>
          <w:color w:val="auto"/>
          <w:sz w:val="30"/>
          <w:szCs w:val="30"/>
        </w:rPr>
        <w:t>、</w:t>
      </w:r>
      <w:r>
        <w:rPr>
          <w:rFonts w:hint="eastAsia" w:ascii="仿宋" w:hAnsi="仿宋" w:eastAsia="仿宋"/>
          <w:color w:val="auto"/>
          <w:sz w:val="30"/>
          <w:szCs w:val="30"/>
          <w:lang w:val="en-US" w:eastAsia="zh-CN"/>
        </w:rPr>
        <w:t>收入费用率58.47%</w:t>
      </w:r>
      <w:r>
        <w:rPr>
          <w:rFonts w:ascii="仿宋" w:hAnsi="仿宋" w:eastAsia="仿宋"/>
          <w:color w:val="auto"/>
          <w:sz w:val="30"/>
          <w:szCs w:val="30"/>
        </w:rPr>
        <w:t>。</w:t>
      </w:r>
    </w:p>
    <w:p>
      <w:pPr>
        <w:spacing w:line="360" w:lineRule="auto"/>
        <w:jc w:val="center"/>
      </w:pPr>
      <w:r>
        <w:rPr>
          <w:rFonts w:hint="eastAsia"/>
        </w:rPr>
        <w:t>部门财务状况分析图: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3556000"/>
            <wp:effectExtent l="0" t="0" r="12700" b="6350"/>
            <wp:docPr id="5" name="Drawing 4" descr="部门财务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4" descr="部门财务分析"/>
                    <pic:cNvPicPr>
                      <a:picLocks noChangeAspect="1"/>
                    </pic:cNvPicPr>
                  </pic:nvPicPr>
                  <pic:blipFill>
                    <a:blip r:embed="rId14"/>
                    <a:stretch>
                      <a:fillRect/>
                    </a:stretch>
                  </pic:blipFill>
                  <pic:spPr>
                    <a:xfrm>
                      <a:off x="0" y="0"/>
                      <a:ext cx="6350000" cy="3556000"/>
                    </a:xfrm>
                    <a:prstGeom prst="rect">
                      <a:avLst/>
                    </a:prstGeom>
                  </pic:spPr>
                </pic:pic>
              </a:graphicData>
            </a:graphic>
          </wp:inline>
        </w:drawing>
      </w:r>
    </w:p>
    <w:p>
      <w:pPr>
        <w:spacing w:line="360" w:lineRule="auto"/>
        <w:jc w:val="center"/>
      </w:pPr>
    </w:p>
    <w:p>
      <w:pPr>
        <w:pStyle w:val="4"/>
        <w:spacing w:before="0" w:after="0" w:line="360" w:lineRule="auto"/>
        <w:ind w:firstLine="602"/>
        <w:jc w:val="left"/>
        <w:rPr>
          <w:rFonts w:ascii="仿宋" w:hAnsi="仿宋" w:eastAsia="仿宋"/>
          <w:b/>
        </w:rPr>
      </w:pPr>
      <w:bookmarkStart w:id="81" w:name="_Toc503548890"/>
      <w:bookmarkStart w:id="82" w:name="_Toc436083533"/>
      <w:bookmarkStart w:id="83" w:name="_Toc35500816"/>
      <w:r>
        <w:rPr>
          <w:rFonts w:hint="eastAsia" w:ascii="仿宋" w:hAnsi="仿宋" w:eastAsia="仿宋"/>
          <w:b/>
        </w:rPr>
        <w:t>（三）</w:t>
      </w:r>
      <w:bookmarkEnd w:id="81"/>
      <w:bookmarkEnd w:id="82"/>
      <w:r>
        <w:rPr>
          <w:rFonts w:ascii="仿宋" w:hAnsi="仿宋" w:eastAsia="仿宋"/>
          <w:b/>
        </w:rPr>
        <w:t>政府部门运行情况分析。</w:t>
      </w:r>
      <w:bookmarkEnd w:id="83"/>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1.2020年收入100%为财政拨款收入，较上年减少64.27%。</w:t>
      </w:r>
    </w:p>
    <w:p>
      <w:pPr>
        <w:spacing w:line="360" w:lineRule="auto"/>
        <w:ind w:firstLine="240"/>
        <w:jc w:val="center"/>
      </w:pPr>
      <w:r>
        <w:rPr>
          <w:rFonts w:hint="eastAsia"/>
        </w:rPr>
        <w:t>收入类结构分析图: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2781300"/>
            <wp:effectExtent l="0" t="0" r="12700" b="0"/>
            <wp:docPr id="6" name="Drawing 5" descr="收入结构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awing 5" descr="收入结构分析"/>
                    <pic:cNvPicPr>
                      <a:picLocks noChangeAspect="1"/>
                    </pic:cNvPicPr>
                  </pic:nvPicPr>
                  <pic:blipFill>
                    <a:blip r:embed="rId15"/>
                    <a:stretch>
                      <a:fillRect/>
                    </a:stretch>
                  </pic:blipFill>
                  <pic:spPr>
                    <a:xfrm>
                      <a:off x="0" y="0"/>
                      <a:ext cx="6350000" cy="2781300"/>
                    </a:xfrm>
                    <a:prstGeom prst="rect">
                      <a:avLst/>
                    </a:prstGeom>
                  </pic:spPr>
                </pic:pic>
              </a:graphicData>
            </a:graphic>
          </wp:inline>
        </w:drawing>
      </w:r>
    </w:p>
    <w:p>
      <w:pPr>
        <w:pStyle w:val="110"/>
        <w:spacing w:line="240" w:lineRule="auto"/>
        <w:ind w:firstLine="0" w:firstLineChars="0"/>
        <w:rPr>
          <w:rFonts w:hint="eastAsia" w:ascii="仿宋_GB2312" w:hAnsi="仿宋_GB2312" w:cs="仿宋_GB2312"/>
          <w:color w:val="auto"/>
          <w:szCs w:val="30"/>
          <w:lang w:val="en-US" w:eastAsia="zh-CN"/>
        </w:rPr>
      </w:pPr>
      <w:r>
        <w:rPr>
          <w:rFonts w:hint="eastAsia" w:ascii="仿宋" w:hAnsi="仿宋" w:eastAsia="仿宋"/>
          <w:color w:val="000000" w:themeColor="text1"/>
          <w:sz w:val="30"/>
          <w:szCs w:val="30"/>
          <w14:textFill>
            <w14:solidFill>
              <w14:schemeClr w14:val="tx1"/>
            </w14:solidFill>
          </w14:textFill>
        </w:rPr>
        <w:t>2.</w:t>
      </w:r>
      <w:r>
        <w:rPr>
          <w:rFonts w:hint="eastAsia" w:ascii="仿宋_GB2312" w:hAnsi="仿宋_GB2312" w:cs="仿宋_GB2312"/>
          <w:color w:val="auto"/>
          <w:szCs w:val="30"/>
          <w:lang w:val="en-US" w:eastAsia="zh-CN"/>
        </w:rPr>
        <w:t>2020年度费用按科目分类：100%为业务活动费用；按经济性质分类12.36%为工资福利支出，较上年减少11.56%；23.1%为对个人和家庭的补助费用，较上年增加12.16%，87.14%为商品和服务费用，较上年减少93.11%，1.49%为固定资产折旧费用。</w:t>
      </w:r>
    </w:p>
    <w:p>
      <w:pPr>
        <w:spacing w:line="360" w:lineRule="auto"/>
        <w:ind w:firstLine="600" w:firstLineChars="200"/>
        <w:rPr>
          <w:rFonts w:ascii="仿宋" w:hAnsi="仿宋" w:eastAsia="仿宋"/>
          <w:color w:val="0070C0"/>
          <w:sz w:val="30"/>
          <w:szCs w:val="30"/>
        </w:rPr>
      </w:pPr>
    </w:p>
    <w:p>
      <w:pPr>
        <w:spacing w:line="360" w:lineRule="auto"/>
        <w:ind w:firstLine="600" w:firstLineChars="200"/>
        <w:rPr>
          <w:rFonts w:ascii="仿宋" w:hAnsi="仿宋" w:eastAsia="仿宋"/>
          <w:color w:val="0070C0"/>
          <w:sz w:val="30"/>
          <w:szCs w:val="30"/>
        </w:rPr>
      </w:pPr>
    </w:p>
    <w:p>
      <w:pPr>
        <w:spacing w:line="360" w:lineRule="auto"/>
        <w:jc w:val="center"/>
      </w:pPr>
      <w:r>
        <w:rPr>
          <w:rFonts w:hint="eastAsia"/>
        </w:rPr>
        <w:t>费用(按科目)分析图：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rPr>
          <w:rFonts w:hint="eastAsia"/>
        </w:rPr>
        <w:drawing>
          <wp:inline distT="0" distB="0" distL="0" distR="0">
            <wp:extent cx="6350000" cy="2781300"/>
            <wp:effectExtent l="0" t="0" r="12700" b="0"/>
            <wp:docPr id="7" name="Drawing 6" descr="费用按科目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wing 6" descr="费用按科目分析"/>
                    <pic:cNvPicPr>
                      <a:picLocks noChangeAspect="1"/>
                    </pic:cNvPicPr>
                  </pic:nvPicPr>
                  <pic:blipFill>
                    <a:blip r:embed="rId16"/>
                    <a:stretch>
                      <a:fillRect/>
                    </a:stretch>
                  </pic:blipFill>
                  <pic:spPr>
                    <a:xfrm>
                      <a:off x="0" y="0"/>
                      <a:ext cx="6350000" cy="2781300"/>
                    </a:xfrm>
                    <a:prstGeom prst="rect">
                      <a:avLst/>
                    </a:prstGeom>
                  </pic:spPr>
                </pic:pic>
              </a:graphicData>
            </a:graphic>
          </wp:inline>
        </w:drawing>
      </w:r>
    </w:p>
    <w:p>
      <w:pPr>
        <w:spacing w:line="360" w:lineRule="auto"/>
        <w:jc w:val="center"/>
      </w:pPr>
      <w:r>
        <w:rPr>
          <w:rFonts w:hint="eastAsia"/>
        </w:rPr>
        <w:t>费用(按经济性质)分析图：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rPr>
          <w:rFonts w:hint="eastAsia"/>
        </w:rPr>
      </w:pPr>
      <w:r>
        <w:rPr>
          <w:rFonts w:hint="eastAsia"/>
        </w:rPr>
        <w:drawing>
          <wp:inline distT="0" distB="0" distL="0" distR="0">
            <wp:extent cx="6350000" cy="2781300"/>
            <wp:effectExtent l="0" t="0" r="12700" b="0"/>
            <wp:docPr id="8" name="Drawing 7" descr="费用按经济性质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awing 7" descr="费用按经济性质分析"/>
                    <pic:cNvPicPr>
                      <a:picLocks noChangeAspect="1"/>
                    </pic:cNvPicPr>
                  </pic:nvPicPr>
                  <pic:blipFill>
                    <a:blip r:embed="rId17"/>
                    <a:stretch>
                      <a:fillRect/>
                    </a:stretch>
                  </pic:blipFill>
                  <pic:spPr>
                    <a:xfrm>
                      <a:off x="0" y="0"/>
                      <a:ext cx="6350000" cy="2781300"/>
                    </a:xfrm>
                    <a:prstGeom prst="rect">
                      <a:avLst/>
                    </a:prstGeom>
                  </pic:spPr>
                </pic:pic>
              </a:graphicData>
            </a:graphic>
          </wp:inline>
        </w:drawing>
      </w:r>
    </w:p>
    <w:p>
      <w:pPr>
        <w:spacing w:line="360" w:lineRule="auto"/>
        <w:jc w:val="center"/>
      </w:pPr>
    </w:p>
    <w:p>
      <w:pPr>
        <w:spacing w:line="360" w:lineRule="auto"/>
        <w:ind w:firstLine="600" w:firstLineChars="200"/>
        <w:rPr>
          <w:rFonts w:ascii="仿宋" w:hAnsi="仿宋" w:eastAsia="仿宋"/>
          <w:color w:val="000000" w:themeColor="text1"/>
          <w:sz w:val="30"/>
          <w:szCs w:val="30"/>
          <w14:textFill>
            <w14:solidFill>
              <w14:schemeClr w14:val="tx1"/>
            </w14:solidFill>
          </w14:textFill>
        </w:rPr>
      </w:pPr>
      <w:r>
        <w:rPr>
          <w:rFonts w:ascii="仿宋" w:hAnsi="仿宋" w:eastAsia="仿宋"/>
          <w:color w:val="000000" w:themeColor="text1"/>
          <w:sz w:val="30"/>
          <w:szCs w:val="30"/>
          <w14:textFill>
            <w14:solidFill>
              <w14:schemeClr w14:val="tx1"/>
            </w14:solidFill>
          </w14:textFill>
        </w:rPr>
        <w:t>3.</w:t>
      </w:r>
      <w:r>
        <w:rPr>
          <w:rFonts w:hint="eastAsia" w:ascii="仿宋_GB2312" w:hAnsi="仿宋_GB2312" w:eastAsia="仿宋_GB2312" w:cs="仿宋_GB2312"/>
          <w:color w:val="auto"/>
          <w:sz w:val="30"/>
          <w:szCs w:val="30"/>
          <w:lang w:val="en-US" w:eastAsia="zh-CN" w:bidi="ar-SA"/>
        </w:rPr>
        <w:t>3.2020年度收入费用率58.47%,原因为财政拨款减少和收缩开支。</w:t>
      </w:r>
      <w:bookmarkStart w:id="88" w:name="_GoBack"/>
      <w:bookmarkEnd w:id="88"/>
    </w:p>
    <w:p>
      <w:pPr>
        <w:spacing w:line="360" w:lineRule="auto"/>
        <w:jc w:val="center"/>
      </w:pPr>
      <w:r>
        <w:rPr>
          <w:rFonts w:hint="eastAsia"/>
        </w:rPr>
        <w:t>部门财务状况分析图: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3556000"/>
            <wp:effectExtent l="0" t="0" r="12700" b="6350"/>
            <wp:docPr id="9" name="Drawing 8" descr="部门财务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rawing 8" descr="部门财务分析"/>
                    <pic:cNvPicPr>
                      <a:picLocks noChangeAspect="1"/>
                    </pic:cNvPicPr>
                  </pic:nvPicPr>
                  <pic:blipFill>
                    <a:blip r:embed="rId14"/>
                    <a:stretch>
                      <a:fillRect/>
                    </a:stretch>
                  </pic:blipFill>
                  <pic:spPr>
                    <a:xfrm>
                      <a:off x="0" y="0"/>
                      <a:ext cx="6350000" cy="3556000"/>
                    </a:xfrm>
                    <a:prstGeom prst="rect">
                      <a:avLst/>
                    </a:prstGeom>
                  </pic:spPr>
                </pic:pic>
              </a:graphicData>
            </a:graphic>
          </wp:inline>
        </w:drawing>
      </w:r>
    </w:p>
    <w:p>
      <w:pPr>
        <w:spacing w:line="360" w:lineRule="auto"/>
        <w:jc w:val="center"/>
      </w:pPr>
    </w:p>
    <w:p>
      <w:pPr>
        <w:pStyle w:val="4"/>
        <w:spacing w:before="0" w:after="0" w:line="360" w:lineRule="auto"/>
        <w:ind w:firstLine="602"/>
        <w:jc w:val="left"/>
        <w:rPr>
          <w:rFonts w:ascii="仿宋" w:hAnsi="仿宋" w:eastAsia="仿宋"/>
          <w:b/>
        </w:rPr>
      </w:pPr>
      <w:bookmarkStart w:id="84" w:name="_Toc436083534"/>
      <w:bookmarkStart w:id="85" w:name="_Toc503548891"/>
      <w:bookmarkStart w:id="86" w:name="_Toc35500817"/>
      <w:bookmarkStart w:id="87" w:name="_Toc35452589"/>
      <w:r>
        <w:rPr>
          <w:rFonts w:hint="eastAsia" w:ascii="仿宋" w:hAnsi="仿宋" w:eastAsia="仿宋"/>
          <w:b/>
        </w:rPr>
        <w:t>（四）</w:t>
      </w:r>
      <w:bookmarkEnd w:id="84"/>
      <w:bookmarkEnd w:id="85"/>
      <w:r>
        <w:rPr>
          <w:rFonts w:ascii="仿宋" w:hAnsi="仿宋" w:eastAsia="仿宋"/>
          <w:b/>
        </w:rPr>
        <w:t>政府部门财务管理情况。</w:t>
      </w:r>
      <w:bookmarkEnd w:id="86"/>
      <w:bookmarkEnd w:id="87"/>
    </w:p>
    <w:p>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1.部门预算管理：</w:t>
      </w:r>
    </w:p>
    <w:p>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部门预算编制前，做好财产清查、支出情况、异常需求分析等工作，摸清“家底”为正式编制年度预算做好准备。编制下年度部门预算时，首先对本年度的部门预算结果采取绩效评价的方法进行总结分析，将其预算执行情况和下年度的经济发展规划结合起来，预测下年度的收支状况来完成。部门预算的编制，要全面体现该部门的年度收支状况。收入方面要按照收入类别逐项核定，具体到单位和项目</w:t>
      </w:r>
      <w:r>
        <w:rPr>
          <w:rFonts w:ascii="仿宋_GB2312" w:hAnsi="仿宋_GB2312" w:eastAsia="仿宋_GB2312" w:cs="仿宋_GB2312"/>
          <w:sz w:val="30"/>
          <w:szCs w:val="30"/>
        </w:rPr>
        <w:t>;</w:t>
      </w:r>
      <w:r>
        <w:rPr>
          <w:rFonts w:hint="eastAsia"/>
        </w:rPr>
        <w:t xml:space="preserve"> </w:t>
      </w:r>
      <w:r>
        <w:rPr>
          <w:rFonts w:hint="eastAsia" w:ascii="仿宋_GB2312" w:hAnsi="仿宋_GB2312" w:eastAsia="仿宋_GB2312" w:cs="仿宋_GB2312"/>
          <w:sz w:val="30"/>
          <w:szCs w:val="30"/>
        </w:rPr>
        <w:t>支出方面要按照支出类别、支出项目的轻重缓急安排经费</w:t>
      </w:r>
      <w:r>
        <w:rPr>
          <w:rFonts w:ascii="仿宋_GB2312" w:hAnsi="仿宋_GB2312" w:eastAsia="仿宋_GB2312" w:cs="仿宋_GB2312"/>
          <w:sz w:val="30"/>
          <w:szCs w:val="30"/>
        </w:rPr>
        <w:t>;</w:t>
      </w:r>
      <w:r>
        <w:rPr>
          <w:rFonts w:hint="eastAsia"/>
        </w:rPr>
        <w:t xml:space="preserve"> </w:t>
      </w:r>
      <w:r>
        <w:rPr>
          <w:rFonts w:hint="eastAsia" w:ascii="仿宋_GB2312" w:hAnsi="仿宋_GB2312" w:eastAsia="仿宋_GB2312" w:cs="仿宋_GB2312"/>
          <w:sz w:val="30"/>
          <w:szCs w:val="30"/>
        </w:rPr>
        <w:t>对专项经费的支出要建立专门的连续性的预算计划。</w:t>
      </w:r>
    </w:p>
    <w:p>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2.</w:t>
      </w:r>
      <w:r>
        <w:rPr>
          <w:rFonts w:hint="eastAsia"/>
        </w:rPr>
        <w:t xml:space="preserve"> </w:t>
      </w:r>
      <w:r>
        <w:rPr>
          <w:rFonts w:hint="eastAsia" w:ascii="仿宋_GB2312" w:hAnsi="仿宋_GB2312" w:eastAsia="仿宋_GB2312" w:cs="仿宋_GB2312"/>
          <w:sz w:val="30"/>
          <w:szCs w:val="30"/>
        </w:rPr>
        <w:t>内控管理：</w:t>
      </w:r>
    </w:p>
    <w:p>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按照《中共中央关于全面推进依法治国若干重大问题的决定》要求，对财政资金分配使用、国有资产监管、政府投资、政府采购、公共资源转让、公共工程建设等权力集中的部门和岗位实行分事行权、分岗设权、分级授权，定期轮岗，强化内部流程控制，防止权力滥用。成立内部控制领导小组，明确小组领导和成员构成，明确内部控制领导小组下设办公室，明确内控办成员单位的职责分工；建立分工明确、责任清晰、齐抓共管的内部控制组织管理架构，层层传导压力，层层抓好落实。</w:t>
      </w:r>
    </w:p>
    <w:p>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3</w:t>
      </w:r>
      <w:r>
        <w:rPr>
          <w:rFonts w:hint="eastAsia" w:ascii="仿宋_GB2312" w:hAnsi="仿宋_GB2312" w:eastAsia="仿宋_GB2312" w:cs="仿宋_GB2312"/>
          <w:sz w:val="30"/>
          <w:szCs w:val="30"/>
        </w:rPr>
        <w:t>.绩效管理：</w:t>
      </w:r>
    </w:p>
    <w:p>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紧紧围绕年度目标任务，以提高部门执行力和行政效能为重点，采取内部考核、服务对象评议与专家评估相结合的考核方法，坚持客观公正、公开透明、注重实效、简便易行的原则，逐步实现绩效考核工作的科学化、规范化和法制化，充分发挥绩效考核的导向和激励约束作用，不断提高绩效管理水平。以预算绩效管理为切入点，将绩效管理、评价贯彻部门行政。并重点对中央财政资金对下转移支付及车购税重点项目进行专项绩效评价。</w:t>
      </w:r>
    </w:p>
    <w:p>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4</w:t>
      </w:r>
      <w:r>
        <w:rPr>
          <w:rFonts w:hint="eastAsia" w:ascii="仿宋_GB2312" w:hAnsi="仿宋_GB2312" w:eastAsia="仿宋_GB2312" w:cs="仿宋_GB2312"/>
          <w:sz w:val="30"/>
          <w:szCs w:val="30"/>
        </w:rPr>
        <w:t>.</w:t>
      </w:r>
      <w:r>
        <w:rPr>
          <w:rFonts w:hint="eastAsia"/>
        </w:rPr>
        <w:t xml:space="preserve"> </w:t>
      </w:r>
      <w:r>
        <w:rPr>
          <w:rFonts w:hint="eastAsia" w:ascii="仿宋_GB2312" w:hAnsi="仿宋_GB2312" w:eastAsia="仿宋_GB2312" w:cs="仿宋_GB2312"/>
          <w:sz w:val="30"/>
          <w:szCs w:val="30"/>
        </w:rPr>
        <w:t>人才队伍建设：</w:t>
      </w:r>
    </w:p>
    <w:p>
      <w:pPr>
        <w:ind w:firstLine="600" w:firstLineChars="200"/>
        <w:rPr>
          <w:rFonts w:ascii="仿宋_GB2312" w:hAnsi="仿宋_GB2312" w:eastAsia="仿宋_GB2312" w:cs="仿宋_GB2312"/>
          <w:sz w:val="30"/>
          <w:szCs w:val="30"/>
        </w:rPr>
      </w:pPr>
      <w:r>
        <w:rPr>
          <w:rFonts w:hint="eastAsia" w:ascii="仿宋_GB2312" w:hAnsi="仿宋_GB2312" w:eastAsia="仿宋_GB2312" w:cs="仿宋_GB2312"/>
          <w:sz w:val="30"/>
          <w:szCs w:val="30"/>
        </w:rPr>
        <w:t>定期进行财务人员专业化培训，从政策法规、会计制度等方面进行专项培训。</w:t>
      </w:r>
    </w:p>
    <w:p>
      <w:pPr>
        <w:spacing w:line="360" w:lineRule="auto"/>
        <w:ind w:firstLine="600" w:firstLineChars="200"/>
        <w:rPr>
          <w:rFonts w:ascii="仿宋" w:hAnsi="仿宋" w:eastAsia="仿宋"/>
          <w:color w:val="000000" w:themeColor="text1"/>
          <w:sz w:val="30"/>
          <w:szCs w:val="30"/>
          <w14:textFill>
            <w14:solidFill>
              <w14:schemeClr w14:val="tx1"/>
            </w14:solidFill>
          </w14:textFill>
        </w:rPr>
      </w:pPr>
    </w:p>
    <w:p>
      <w:pPr>
        <w:spacing w:line="360" w:lineRule="auto"/>
        <w:ind w:firstLine="600" w:firstLineChars="200"/>
        <w:rPr>
          <w:rFonts w:ascii="仿宋" w:hAnsi="仿宋" w:eastAsia="仿宋"/>
          <w:color w:val="0070C0"/>
          <w:sz w:val="30"/>
          <w:szCs w:val="30"/>
        </w:rPr>
      </w:pPr>
    </w:p>
    <w:sectPr>
      <w:pgSz w:w="11906" w:h="16838"/>
      <w:pgMar w:top="1440" w:right="1797" w:bottom="1440" w:left="1797"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roman"/>
    <w:pitch w:val="default"/>
    <w:sig w:usb0="A00002EF" w:usb1="4000004B" w:usb2="00000000" w:usb3="00000000" w:csb0="2000009F" w:csb1="00000000"/>
  </w:font>
  <w:font w:name="Tahoma">
    <w:panose1 w:val="020B0604030504040204"/>
    <w:charset w:val="00"/>
    <w:family w:val="swiss"/>
    <w:pitch w:val="default"/>
    <w:sig w:usb0="61007A87" w:usb1="80000000" w:usb2="00000008" w:usb3="00000000" w:csb0="200101FF" w:csb1="20280000"/>
  </w:font>
  <w:font w:name="楷体_GB2312">
    <w:panose1 w:val="02010609030101010101"/>
    <w:charset w:val="86"/>
    <w:family w:val="modern"/>
    <w:pitch w:val="default"/>
    <w:sig w:usb0="00000001" w:usb1="080E0000" w:usb2="00000000" w:usb3="00000000" w:csb0="00040000" w:csb1="00000000"/>
  </w:font>
  <w:font w:name="微软雅黑">
    <w:altName w:val="黑体"/>
    <w:panose1 w:val="020B0503020204020204"/>
    <w:charset w:val="86"/>
    <w:family w:val="swiss"/>
    <w:pitch w:val="default"/>
    <w:sig w:usb0="00000000" w:usb1="00000000" w:usb2="00000016" w:usb3="00000000" w:csb0="0004001F" w:csb1="00000000"/>
  </w:font>
  <w:font w:name="仿宋">
    <w:altName w:val="宋体"/>
    <w:panose1 w:val="02010609060101010101"/>
    <w:charset w:val="86"/>
    <w:family w:val="modern"/>
    <w:pitch w:val="default"/>
    <w:sig w:usb0="00000000" w:usb1="00000000" w:usb2="00000016" w:usb3="00000000" w:csb0="00040001" w:csb1="00000000"/>
  </w:font>
  <w:font w:name="Microsoft JhengHei">
    <w:altName w:val="PMingLiU"/>
    <w:panose1 w:val="020B0604030504040204"/>
    <w:charset w:val="88"/>
    <w:family w:val="swiss"/>
    <w:pitch w:val="default"/>
    <w:sig w:usb0="00000000" w:usb1="00000000" w:usb2="00000016" w:usb3="00000000" w:csb0="00100009" w:csb1="00000000"/>
  </w:font>
  <w:font w:name="新宋体">
    <w:panose1 w:val="02010609030101010101"/>
    <w:charset w:val="86"/>
    <w:family w:val="modern"/>
    <w:pitch w:val="default"/>
    <w:sig w:usb0="00000003" w:usb1="080E0000" w:usb2="00000000" w:usb3="00000000" w:csb0="00040001" w:csb1="00000000"/>
  </w:font>
  <w:font w:name="Segoe UI">
    <w:panose1 w:val="020B0502040204020203"/>
    <w:charset w:val="00"/>
    <w:family w:val="auto"/>
    <w:pitch w:val="default"/>
    <w:sig w:usb0="E10022FF" w:usb1="C000E47F" w:usb2="00000029" w:usb3="00000000" w:csb0="200001DF" w:csb1="20000000"/>
  </w:font>
  <w:font w:name="PMingLiU">
    <w:panose1 w:val="02020300000000000000"/>
    <w:charset w:val="88"/>
    <w:family w:val="auto"/>
    <w:pitch w:val="default"/>
    <w:sig w:usb0="00000003" w:usb1="082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rPr>
        <w:rFonts w:ascii="仿宋" w:hAnsi="仿宋" w:eastAsia="仿宋"/>
      </w:rPr>
    </w:pPr>
    <w:sdt>
      <w:sdtPr>
        <w:rPr>
          <w:rFonts w:ascii="仿宋" w:hAnsi="仿宋" w:eastAsia="仿宋"/>
        </w:rPr>
        <w:id w:val="-1690983955"/>
      </w:sdtPr>
      <w:sdtEndPr>
        <w:rPr>
          <w:rFonts w:ascii="仿宋" w:hAnsi="仿宋" w:eastAsia="仿宋"/>
        </w:rPr>
      </w:sdtEndPr>
      <w:sdtContent>
        <w:r>
          <w:rPr>
            <w:rFonts w:ascii="仿宋" w:hAnsi="仿宋" w:eastAsia="仿宋"/>
            <w:lang w:val="zh-CN"/>
          </w:rPr>
          <w:t xml:space="preserve"> </w:t>
        </w:r>
        <w:r>
          <w:rPr>
            <w:rFonts w:ascii="仿宋" w:hAnsi="仿宋" w:eastAsia="仿宋"/>
            <w:b/>
            <w:bCs/>
          </w:rPr>
          <w:fldChar w:fldCharType="begin"/>
        </w:r>
        <w:r>
          <w:rPr>
            <w:rFonts w:ascii="仿宋" w:hAnsi="仿宋" w:eastAsia="仿宋"/>
            <w:b/>
            <w:bCs/>
          </w:rPr>
          <w:instrText xml:space="preserve">PAGE</w:instrText>
        </w:r>
        <w:r>
          <w:rPr>
            <w:rFonts w:ascii="仿宋" w:hAnsi="仿宋" w:eastAsia="仿宋"/>
            <w:b/>
            <w:bCs/>
          </w:rPr>
          <w:fldChar w:fldCharType="separate"/>
        </w:r>
        <w:r>
          <w:rPr>
            <w:rFonts w:ascii="仿宋" w:hAnsi="仿宋" w:eastAsia="仿宋"/>
            <w:b/>
            <w:bCs/>
          </w:rPr>
          <w:t>15</w:t>
        </w:r>
        <w:r>
          <w:rPr>
            <w:rFonts w:ascii="仿宋" w:hAnsi="仿宋" w:eastAsia="仿宋"/>
            <w:b/>
            <w:bCs/>
          </w:rPr>
          <w:fldChar w:fldCharType="end"/>
        </w:r>
        <w:r>
          <w:rPr>
            <w:rFonts w:ascii="仿宋" w:hAnsi="仿宋" w:eastAsia="仿宋"/>
            <w:lang w:val="zh-CN"/>
          </w:rPr>
          <w:t xml:space="preserve"> / </w:t>
        </w:r>
        <w:r>
          <w:rPr>
            <w:rFonts w:ascii="仿宋" w:hAnsi="仿宋" w:eastAsia="仿宋"/>
            <w:b/>
            <w:bCs/>
          </w:rPr>
          <w:fldChar w:fldCharType="begin"/>
        </w:r>
        <w:r>
          <w:rPr>
            <w:rFonts w:ascii="仿宋" w:hAnsi="仿宋" w:eastAsia="仿宋"/>
            <w:b/>
            <w:bCs/>
          </w:rPr>
          <w:instrText xml:space="preserve">NUMPAGES</w:instrText>
        </w:r>
        <w:r>
          <w:rPr>
            <w:rFonts w:ascii="仿宋" w:hAnsi="仿宋" w:eastAsia="仿宋"/>
            <w:b/>
            <w:bCs/>
          </w:rPr>
          <w:fldChar w:fldCharType="separate"/>
        </w:r>
        <w:r>
          <w:rPr>
            <w:rFonts w:ascii="仿宋" w:hAnsi="仿宋" w:eastAsia="仿宋"/>
            <w:b/>
            <w:bCs/>
          </w:rPr>
          <w:t>15</w:t>
        </w:r>
        <w:r>
          <w:rPr>
            <w:rFonts w:ascii="仿宋" w:hAnsi="仿宋" w:eastAsia="仿宋"/>
            <w:b/>
            <w:bCs/>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仿宋" w:hAnsi="仿宋" w:eastAsia="仿宋"/>
      </w:rPr>
      <w:id w:val="1038315459"/>
    </w:sdtPr>
    <w:sdtEndPr>
      <w:rPr>
        <w:rFonts w:ascii="仿宋" w:hAnsi="仿宋" w:eastAsia="仿宋"/>
      </w:rPr>
    </w:sdtEndPr>
    <w:sdtContent>
      <w:sdt>
        <w:sdtPr>
          <w:rPr>
            <w:rFonts w:ascii="仿宋" w:hAnsi="仿宋" w:eastAsia="仿宋"/>
          </w:rPr>
          <w:id w:val="-242650556"/>
        </w:sdtPr>
        <w:sdtEndPr>
          <w:rPr>
            <w:rFonts w:ascii="仿宋" w:hAnsi="仿宋" w:eastAsia="仿宋"/>
          </w:rPr>
        </w:sdtEndPr>
        <w:sdtContent>
          <w:p>
            <w:pPr>
              <w:pStyle w:val="21"/>
              <w:jc w:val="center"/>
              <w:rPr>
                <w:rFonts w:ascii="仿宋" w:hAnsi="仿宋" w:eastAsia="仿宋"/>
              </w:rPr>
            </w:pPr>
            <w:r>
              <w:rPr>
                <w:rFonts w:ascii="仿宋" w:hAnsi="仿宋" w:eastAsia="仿宋"/>
                <w:lang w:val="zh-CN"/>
              </w:rPr>
              <w:t xml:space="preserve"> </w:t>
            </w:r>
            <w:r>
              <w:rPr>
                <w:rFonts w:ascii="仿宋" w:hAnsi="仿宋" w:eastAsia="仿宋"/>
                <w:b/>
                <w:bCs/>
              </w:rPr>
              <w:fldChar w:fldCharType="begin"/>
            </w:r>
            <w:r>
              <w:rPr>
                <w:rFonts w:ascii="仿宋" w:hAnsi="仿宋" w:eastAsia="仿宋"/>
                <w:b/>
                <w:bCs/>
              </w:rPr>
              <w:instrText xml:space="preserve">PAGE</w:instrText>
            </w:r>
            <w:r>
              <w:rPr>
                <w:rFonts w:ascii="仿宋" w:hAnsi="仿宋" w:eastAsia="仿宋"/>
                <w:b/>
                <w:bCs/>
              </w:rPr>
              <w:fldChar w:fldCharType="separate"/>
            </w:r>
            <w:r>
              <w:rPr>
                <w:rFonts w:ascii="仿宋" w:hAnsi="仿宋" w:eastAsia="仿宋"/>
                <w:b/>
                <w:bCs/>
              </w:rPr>
              <w:t>1</w:t>
            </w:r>
            <w:r>
              <w:rPr>
                <w:rFonts w:ascii="仿宋" w:hAnsi="仿宋" w:eastAsia="仿宋"/>
                <w:b/>
                <w:bCs/>
              </w:rPr>
              <w:fldChar w:fldCharType="end"/>
            </w:r>
            <w:r>
              <w:rPr>
                <w:rFonts w:ascii="仿宋" w:hAnsi="仿宋" w:eastAsia="仿宋"/>
                <w:lang w:val="zh-CN"/>
              </w:rPr>
              <w:t xml:space="preserve"> / </w:t>
            </w:r>
            <w:r>
              <w:rPr>
                <w:rFonts w:ascii="仿宋" w:hAnsi="仿宋" w:eastAsia="仿宋"/>
                <w:b/>
                <w:bCs/>
              </w:rPr>
              <w:fldChar w:fldCharType="begin"/>
            </w:r>
            <w:r>
              <w:rPr>
                <w:rFonts w:ascii="仿宋" w:hAnsi="仿宋" w:eastAsia="仿宋"/>
                <w:b/>
                <w:bCs/>
              </w:rPr>
              <w:instrText xml:space="preserve">NUMPAGES</w:instrText>
            </w:r>
            <w:r>
              <w:rPr>
                <w:rFonts w:ascii="仿宋" w:hAnsi="仿宋" w:eastAsia="仿宋"/>
                <w:b/>
                <w:bCs/>
              </w:rPr>
              <w:fldChar w:fldCharType="separate"/>
            </w:r>
            <w:r>
              <w:rPr>
                <w:rFonts w:ascii="仿宋" w:hAnsi="仿宋" w:eastAsia="仿宋"/>
                <w:b/>
                <w:bCs/>
              </w:rPr>
              <w:t>15</w:t>
            </w:r>
            <w:r>
              <w:rPr>
                <w:rFonts w:ascii="仿宋" w:hAnsi="仿宋" w:eastAsia="仿宋"/>
                <w:b/>
                <w:bCs/>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240024"/>
    </w:sdtPr>
    <w:sdtEndPr>
      <w:rPr>
        <w:rFonts w:ascii="Times New Roman" w:hAnsi="Times New Roman"/>
        <w:sz w:val="21"/>
        <w:szCs w:val="21"/>
      </w:rPr>
    </w:sdtEndPr>
    <w:sdtContent>
      <w:p>
        <w:pPr>
          <w:pStyle w:val="21"/>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rPr>
          <w:t>1</w:t>
        </w:r>
        <w:r>
          <w:rPr>
            <w:rFonts w:ascii="Times New Roman" w:hAnsi="Times New Roman"/>
            <w:sz w:val="21"/>
            <w:szCs w:val="21"/>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26"/>
        <w:rPr>
          <w:rFonts w:asciiTheme="minorEastAsia" w:hAnsiTheme="minorEastAsia" w:eastAsiaTheme="minorEastAsia"/>
          <w:sz w:val="21"/>
          <w:szCs w:val="21"/>
        </w:rPr>
      </w:pPr>
      <w:r>
        <w:rPr>
          <w:rStyle w:val="42"/>
        </w:rPr>
        <w:footnoteRef/>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表</w:t>
      </w:r>
      <w:r>
        <w:rPr>
          <w:rFonts w:asciiTheme="minorEastAsia" w:hAnsiTheme="minorEastAsia" w:eastAsiaTheme="minorEastAsia"/>
          <w:sz w:val="21"/>
          <w:szCs w:val="21"/>
        </w:rPr>
        <w:t xml:space="preserve"> 2-2 的“其他费用”包括“业务活动费用”</w:t>
      </w:r>
      <w:r>
        <w:rPr>
          <w:rFonts w:hint="eastAsia" w:asciiTheme="minorEastAsia" w:hAnsiTheme="minorEastAsia" w:eastAsiaTheme="minorEastAsia"/>
          <w:sz w:val="21"/>
          <w:szCs w:val="21"/>
        </w:rPr>
        <w:t>、</w:t>
      </w:r>
      <w:r>
        <w:rPr>
          <w:rFonts w:asciiTheme="minorEastAsia" w:hAnsiTheme="minorEastAsia" w:eastAsiaTheme="minorEastAsia"/>
          <w:sz w:val="21"/>
          <w:szCs w:val="21"/>
        </w:rPr>
        <w:t>“单位管理费用”</w:t>
      </w:r>
      <w:r>
        <w:rPr>
          <w:rFonts w:hint="eastAsia" w:asciiTheme="minorEastAsia" w:hAnsiTheme="minorEastAsia" w:eastAsiaTheme="minorEastAsia"/>
          <w:sz w:val="21"/>
          <w:szCs w:val="21"/>
        </w:rPr>
        <w:t>、</w:t>
      </w:r>
      <w:r>
        <w:rPr>
          <w:rFonts w:asciiTheme="minorEastAsia" w:hAnsiTheme="minorEastAsia" w:eastAsiaTheme="minorEastAsia"/>
          <w:sz w:val="21"/>
          <w:szCs w:val="21"/>
        </w:rPr>
        <w:t>“经营费用”等会计科目中的其他部分。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A62931"/>
    <w:multiLevelType w:val="singleLevel"/>
    <w:tmpl w:val="D1A62931"/>
    <w:lvl w:ilvl="0" w:tentative="0">
      <w:start w:val="3"/>
      <w:numFmt w:val="decimal"/>
      <w:lvlText w:val="%1."/>
      <w:lvlJc w:val="left"/>
      <w:pPr>
        <w:tabs>
          <w:tab w:val="left" w:pos="312"/>
        </w:tabs>
      </w:pPr>
    </w:lvl>
  </w:abstractNum>
  <w:abstractNum w:abstractNumId="1">
    <w:nsid w:val="1AC79617"/>
    <w:multiLevelType w:val="singleLevel"/>
    <w:tmpl w:val="1AC79617"/>
    <w:lvl w:ilvl="0" w:tentative="0">
      <w:start w:val="6"/>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hideSpellingErrors/>
  <w:documentProtection w:enforcement="0"/>
  <w:defaultTabStop w:val="420"/>
  <w:drawingGridHorizontalSpacing w:val="120"/>
  <w:drawingGridVerticalSpacing w:val="163"/>
  <w:noPunctuationKerning w:val="1"/>
  <w:characterSpacingControl w:val="doNotCompress"/>
  <w:noLineBreaksAfter w:lang="zh-CN" w:val="$([{£¥·‘“〈《「『【〔〖〝﹙﹛﹝＄（．［｛￡￥"/>
  <w:noLineBreaksBefore w:lang="zh-CN" w:val="!%),.:;&gt;?]}¢¨°·ˇˉ―‖’”…‰′″›℃∶、。〃〉》」』】〕〗〞︶︺︾﹀﹄﹚﹜﹞！＂％＇），．：；？］｀｜｝～￠"/>
  <w:footnotePr>
    <w:numFmt w:val="decimalEnclosedCircleChinese"/>
  </w:foot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0A"/>
    <w:rsid w:val="00000769"/>
    <w:rsid w:val="00001875"/>
    <w:rsid w:val="00001DA2"/>
    <w:rsid w:val="00003542"/>
    <w:rsid w:val="00003D4F"/>
    <w:rsid w:val="00005D80"/>
    <w:rsid w:val="00006043"/>
    <w:rsid w:val="000073F5"/>
    <w:rsid w:val="0001053B"/>
    <w:rsid w:val="000116C9"/>
    <w:rsid w:val="00012C4B"/>
    <w:rsid w:val="00012EB0"/>
    <w:rsid w:val="00013EC7"/>
    <w:rsid w:val="0001401B"/>
    <w:rsid w:val="00014AA7"/>
    <w:rsid w:val="00015324"/>
    <w:rsid w:val="00016B3D"/>
    <w:rsid w:val="00017068"/>
    <w:rsid w:val="00020A10"/>
    <w:rsid w:val="000220CF"/>
    <w:rsid w:val="00022E5B"/>
    <w:rsid w:val="00024E2E"/>
    <w:rsid w:val="00030B80"/>
    <w:rsid w:val="0003107E"/>
    <w:rsid w:val="0003429E"/>
    <w:rsid w:val="000355A9"/>
    <w:rsid w:val="00035C9B"/>
    <w:rsid w:val="000406AA"/>
    <w:rsid w:val="00042520"/>
    <w:rsid w:val="00043D78"/>
    <w:rsid w:val="00044F77"/>
    <w:rsid w:val="00045215"/>
    <w:rsid w:val="0004568F"/>
    <w:rsid w:val="00045AB1"/>
    <w:rsid w:val="00051605"/>
    <w:rsid w:val="000518FB"/>
    <w:rsid w:val="000550B8"/>
    <w:rsid w:val="00057002"/>
    <w:rsid w:val="00060A24"/>
    <w:rsid w:val="000648ED"/>
    <w:rsid w:val="000658F0"/>
    <w:rsid w:val="000671C8"/>
    <w:rsid w:val="00067E05"/>
    <w:rsid w:val="000705FA"/>
    <w:rsid w:val="00070862"/>
    <w:rsid w:val="00071A7A"/>
    <w:rsid w:val="00075C7E"/>
    <w:rsid w:val="00075F12"/>
    <w:rsid w:val="000774A6"/>
    <w:rsid w:val="000823CD"/>
    <w:rsid w:val="000838FB"/>
    <w:rsid w:val="00084BB6"/>
    <w:rsid w:val="000850F5"/>
    <w:rsid w:val="00086A07"/>
    <w:rsid w:val="000870A3"/>
    <w:rsid w:val="00090C8A"/>
    <w:rsid w:val="000922B9"/>
    <w:rsid w:val="000949F2"/>
    <w:rsid w:val="000958AE"/>
    <w:rsid w:val="00097B38"/>
    <w:rsid w:val="000A12FF"/>
    <w:rsid w:val="000A16A6"/>
    <w:rsid w:val="000A2130"/>
    <w:rsid w:val="000A22D9"/>
    <w:rsid w:val="000A44B0"/>
    <w:rsid w:val="000A4CD0"/>
    <w:rsid w:val="000A514F"/>
    <w:rsid w:val="000A60C9"/>
    <w:rsid w:val="000A7312"/>
    <w:rsid w:val="000A7E42"/>
    <w:rsid w:val="000B1C40"/>
    <w:rsid w:val="000B1C95"/>
    <w:rsid w:val="000B7274"/>
    <w:rsid w:val="000B7A45"/>
    <w:rsid w:val="000C0493"/>
    <w:rsid w:val="000C08B8"/>
    <w:rsid w:val="000C092E"/>
    <w:rsid w:val="000C0C01"/>
    <w:rsid w:val="000C0F1F"/>
    <w:rsid w:val="000C29C6"/>
    <w:rsid w:val="000C3DEA"/>
    <w:rsid w:val="000C48D6"/>
    <w:rsid w:val="000C490D"/>
    <w:rsid w:val="000C5B8A"/>
    <w:rsid w:val="000C6630"/>
    <w:rsid w:val="000D069C"/>
    <w:rsid w:val="000D2D84"/>
    <w:rsid w:val="000D575F"/>
    <w:rsid w:val="000D7026"/>
    <w:rsid w:val="000E296D"/>
    <w:rsid w:val="000E2AFB"/>
    <w:rsid w:val="000E552E"/>
    <w:rsid w:val="000E607C"/>
    <w:rsid w:val="000E7147"/>
    <w:rsid w:val="000F050D"/>
    <w:rsid w:val="000F0E6A"/>
    <w:rsid w:val="000F0E76"/>
    <w:rsid w:val="000F1A84"/>
    <w:rsid w:val="000F486C"/>
    <w:rsid w:val="00101331"/>
    <w:rsid w:val="00101871"/>
    <w:rsid w:val="00102186"/>
    <w:rsid w:val="00102256"/>
    <w:rsid w:val="00102702"/>
    <w:rsid w:val="0010314B"/>
    <w:rsid w:val="00103C6B"/>
    <w:rsid w:val="00104C9B"/>
    <w:rsid w:val="00105AEE"/>
    <w:rsid w:val="00107B24"/>
    <w:rsid w:val="001107A6"/>
    <w:rsid w:val="001118AF"/>
    <w:rsid w:val="00111CD8"/>
    <w:rsid w:val="00112D8E"/>
    <w:rsid w:val="001142C8"/>
    <w:rsid w:val="001147E2"/>
    <w:rsid w:val="00115725"/>
    <w:rsid w:val="00115E97"/>
    <w:rsid w:val="0012075A"/>
    <w:rsid w:val="00122A2B"/>
    <w:rsid w:val="001249B1"/>
    <w:rsid w:val="00125531"/>
    <w:rsid w:val="00126554"/>
    <w:rsid w:val="00127BC8"/>
    <w:rsid w:val="00130483"/>
    <w:rsid w:val="00130C64"/>
    <w:rsid w:val="0013119C"/>
    <w:rsid w:val="001360A0"/>
    <w:rsid w:val="00136B58"/>
    <w:rsid w:val="0013729D"/>
    <w:rsid w:val="001378A2"/>
    <w:rsid w:val="00141101"/>
    <w:rsid w:val="00141CC6"/>
    <w:rsid w:val="00143282"/>
    <w:rsid w:val="00144A75"/>
    <w:rsid w:val="0014526F"/>
    <w:rsid w:val="0015075E"/>
    <w:rsid w:val="001511CD"/>
    <w:rsid w:val="001632D2"/>
    <w:rsid w:val="0016377B"/>
    <w:rsid w:val="001641DD"/>
    <w:rsid w:val="001649F2"/>
    <w:rsid w:val="0016697A"/>
    <w:rsid w:val="00167CC1"/>
    <w:rsid w:val="00167DF7"/>
    <w:rsid w:val="00172398"/>
    <w:rsid w:val="001728C1"/>
    <w:rsid w:val="00173869"/>
    <w:rsid w:val="0018105E"/>
    <w:rsid w:val="001856D7"/>
    <w:rsid w:val="00186921"/>
    <w:rsid w:val="001871E1"/>
    <w:rsid w:val="001879A6"/>
    <w:rsid w:val="00192BFF"/>
    <w:rsid w:val="00193CDE"/>
    <w:rsid w:val="001942C0"/>
    <w:rsid w:val="001A066C"/>
    <w:rsid w:val="001A0727"/>
    <w:rsid w:val="001A206F"/>
    <w:rsid w:val="001A50A4"/>
    <w:rsid w:val="001B1C30"/>
    <w:rsid w:val="001B1E04"/>
    <w:rsid w:val="001B22EA"/>
    <w:rsid w:val="001B331A"/>
    <w:rsid w:val="001B5606"/>
    <w:rsid w:val="001B57C1"/>
    <w:rsid w:val="001B6347"/>
    <w:rsid w:val="001C449F"/>
    <w:rsid w:val="001C517D"/>
    <w:rsid w:val="001C53B3"/>
    <w:rsid w:val="001C553C"/>
    <w:rsid w:val="001C6110"/>
    <w:rsid w:val="001C74F9"/>
    <w:rsid w:val="001D0EC0"/>
    <w:rsid w:val="001D2EA7"/>
    <w:rsid w:val="001D6874"/>
    <w:rsid w:val="001D74A1"/>
    <w:rsid w:val="001E4D19"/>
    <w:rsid w:val="001E57FA"/>
    <w:rsid w:val="001F54C8"/>
    <w:rsid w:val="001F5A03"/>
    <w:rsid w:val="001F79E5"/>
    <w:rsid w:val="0020407F"/>
    <w:rsid w:val="0020598F"/>
    <w:rsid w:val="00206746"/>
    <w:rsid w:val="00206BB0"/>
    <w:rsid w:val="002076E3"/>
    <w:rsid w:val="00210A2B"/>
    <w:rsid w:val="002118F2"/>
    <w:rsid w:val="00214FEF"/>
    <w:rsid w:val="002175DD"/>
    <w:rsid w:val="00217E61"/>
    <w:rsid w:val="00217F6E"/>
    <w:rsid w:val="002209DF"/>
    <w:rsid w:val="00221E15"/>
    <w:rsid w:val="00224F54"/>
    <w:rsid w:val="00225950"/>
    <w:rsid w:val="00225E1C"/>
    <w:rsid w:val="00226734"/>
    <w:rsid w:val="00226EE9"/>
    <w:rsid w:val="00232060"/>
    <w:rsid w:val="00232F1D"/>
    <w:rsid w:val="00233FC4"/>
    <w:rsid w:val="00234B3B"/>
    <w:rsid w:val="00235F8B"/>
    <w:rsid w:val="00236D26"/>
    <w:rsid w:val="0024034A"/>
    <w:rsid w:val="002418CD"/>
    <w:rsid w:val="00241AA8"/>
    <w:rsid w:val="00242525"/>
    <w:rsid w:val="00242E1C"/>
    <w:rsid w:val="00243AED"/>
    <w:rsid w:val="00244DC8"/>
    <w:rsid w:val="00245188"/>
    <w:rsid w:val="0024707D"/>
    <w:rsid w:val="002512A3"/>
    <w:rsid w:val="00254782"/>
    <w:rsid w:val="0025565A"/>
    <w:rsid w:val="00255F1C"/>
    <w:rsid w:val="002565BE"/>
    <w:rsid w:val="002575F2"/>
    <w:rsid w:val="002578CB"/>
    <w:rsid w:val="00260466"/>
    <w:rsid w:val="00260805"/>
    <w:rsid w:val="00260A30"/>
    <w:rsid w:val="00260EEB"/>
    <w:rsid w:val="00262284"/>
    <w:rsid w:val="00262A7D"/>
    <w:rsid w:val="0026475C"/>
    <w:rsid w:val="00264D04"/>
    <w:rsid w:val="00264D9F"/>
    <w:rsid w:val="0026523B"/>
    <w:rsid w:val="00270F44"/>
    <w:rsid w:val="00271F2D"/>
    <w:rsid w:val="00272542"/>
    <w:rsid w:val="002744F3"/>
    <w:rsid w:val="00277626"/>
    <w:rsid w:val="00280B8A"/>
    <w:rsid w:val="00280F92"/>
    <w:rsid w:val="0028166B"/>
    <w:rsid w:val="002831B2"/>
    <w:rsid w:val="00291EB7"/>
    <w:rsid w:val="002924D5"/>
    <w:rsid w:val="00295DF2"/>
    <w:rsid w:val="00295E23"/>
    <w:rsid w:val="0029609F"/>
    <w:rsid w:val="0029654A"/>
    <w:rsid w:val="0029710A"/>
    <w:rsid w:val="002A04E4"/>
    <w:rsid w:val="002A1C06"/>
    <w:rsid w:val="002A2024"/>
    <w:rsid w:val="002A2C9B"/>
    <w:rsid w:val="002A3752"/>
    <w:rsid w:val="002A37E3"/>
    <w:rsid w:val="002A4231"/>
    <w:rsid w:val="002A534D"/>
    <w:rsid w:val="002B2B8B"/>
    <w:rsid w:val="002B388D"/>
    <w:rsid w:val="002B4B1E"/>
    <w:rsid w:val="002B588B"/>
    <w:rsid w:val="002B6211"/>
    <w:rsid w:val="002B62E2"/>
    <w:rsid w:val="002B7809"/>
    <w:rsid w:val="002B795A"/>
    <w:rsid w:val="002C183C"/>
    <w:rsid w:val="002C1D74"/>
    <w:rsid w:val="002C1F43"/>
    <w:rsid w:val="002C309E"/>
    <w:rsid w:val="002C4368"/>
    <w:rsid w:val="002C4683"/>
    <w:rsid w:val="002C604A"/>
    <w:rsid w:val="002D0E07"/>
    <w:rsid w:val="002D2483"/>
    <w:rsid w:val="002D26B5"/>
    <w:rsid w:val="002D2A22"/>
    <w:rsid w:val="002D4937"/>
    <w:rsid w:val="002D649B"/>
    <w:rsid w:val="002D67E7"/>
    <w:rsid w:val="002D6A3D"/>
    <w:rsid w:val="002E16FD"/>
    <w:rsid w:val="002E245A"/>
    <w:rsid w:val="002E3516"/>
    <w:rsid w:val="002E3759"/>
    <w:rsid w:val="002E45B4"/>
    <w:rsid w:val="002E691F"/>
    <w:rsid w:val="002E6C0C"/>
    <w:rsid w:val="002F0EA9"/>
    <w:rsid w:val="002F1523"/>
    <w:rsid w:val="002F34FA"/>
    <w:rsid w:val="002F3C42"/>
    <w:rsid w:val="002F4770"/>
    <w:rsid w:val="002F4EDB"/>
    <w:rsid w:val="002F6DCE"/>
    <w:rsid w:val="003000F8"/>
    <w:rsid w:val="003006A4"/>
    <w:rsid w:val="003012C1"/>
    <w:rsid w:val="00302AE0"/>
    <w:rsid w:val="003039C2"/>
    <w:rsid w:val="003060CB"/>
    <w:rsid w:val="00306E2E"/>
    <w:rsid w:val="00306F77"/>
    <w:rsid w:val="00307420"/>
    <w:rsid w:val="00311C3D"/>
    <w:rsid w:val="00314926"/>
    <w:rsid w:val="0032056A"/>
    <w:rsid w:val="00320698"/>
    <w:rsid w:val="00326C84"/>
    <w:rsid w:val="00327462"/>
    <w:rsid w:val="00333D5B"/>
    <w:rsid w:val="00335816"/>
    <w:rsid w:val="00341346"/>
    <w:rsid w:val="00341BEE"/>
    <w:rsid w:val="00341C57"/>
    <w:rsid w:val="00343C87"/>
    <w:rsid w:val="003462B8"/>
    <w:rsid w:val="003479F1"/>
    <w:rsid w:val="00350559"/>
    <w:rsid w:val="00354927"/>
    <w:rsid w:val="00361205"/>
    <w:rsid w:val="0036131C"/>
    <w:rsid w:val="0036266F"/>
    <w:rsid w:val="003632B8"/>
    <w:rsid w:val="0036359D"/>
    <w:rsid w:val="00364BE9"/>
    <w:rsid w:val="00365C39"/>
    <w:rsid w:val="0036707D"/>
    <w:rsid w:val="003707CA"/>
    <w:rsid w:val="00371E8B"/>
    <w:rsid w:val="00372264"/>
    <w:rsid w:val="0037232F"/>
    <w:rsid w:val="00373254"/>
    <w:rsid w:val="0037524B"/>
    <w:rsid w:val="00381C97"/>
    <w:rsid w:val="00382847"/>
    <w:rsid w:val="003829A0"/>
    <w:rsid w:val="0038357D"/>
    <w:rsid w:val="00385BA4"/>
    <w:rsid w:val="00387FD3"/>
    <w:rsid w:val="00392067"/>
    <w:rsid w:val="00393FE8"/>
    <w:rsid w:val="00394F7D"/>
    <w:rsid w:val="003969ED"/>
    <w:rsid w:val="003979C6"/>
    <w:rsid w:val="003A1794"/>
    <w:rsid w:val="003A1EE9"/>
    <w:rsid w:val="003A405A"/>
    <w:rsid w:val="003A6767"/>
    <w:rsid w:val="003B58BB"/>
    <w:rsid w:val="003B5EAE"/>
    <w:rsid w:val="003B78FC"/>
    <w:rsid w:val="003C0A80"/>
    <w:rsid w:val="003C4B8E"/>
    <w:rsid w:val="003C5B87"/>
    <w:rsid w:val="003C5BB6"/>
    <w:rsid w:val="003C62A8"/>
    <w:rsid w:val="003D072F"/>
    <w:rsid w:val="003D1F35"/>
    <w:rsid w:val="003D3EA0"/>
    <w:rsid w:val="003D5F6D"/>
    <w:rsid w:val="003E1876"/>
    <w:rsid w:val="003E18C3"/>
    <w:rsid w:val="003E3A15"/>
    <w:rsid w:val="003E44B6"/>
    <w:rsid w:val="003E52D0"/>
    <w:rsid w:val="003E74FE"/>
    <w:rsid w:val="003E75AE"/>
    <w:rsid w:val="003F0EC3"/>
    <w:rsid w:val="003F1734"/>
    <w:rsid w:val="003F1EE5"/>
    <w:rsid w:val="003F37D7"/>
    <w:rsid w:val="003F3DC0"/>
    <w:rsid w:val="003F532D"/>
    <w:rsid w:val="003F6B4B"/>
    <w:rsid w:val="003F7411"/>
    <w:rsid w:val="0040197A"/>
    <w:rsid w:val="0040235A"/>
    <w:rsid w:val="00404858"/>
    <w:rsid w:val="00406A6E"/>
    <w:rsid w:val="00407AD0"/>
    <w:rsid w:val="00410E70"/>
    <w:rsid w:val="00411585"/>
    <w:rsid w:val="00411BEA"/>
    <w:rsid w:val="004124B2"/>
    <w:rsid w:val="00412F4A"/>
    <w:rsid w:val="0041350E"/>
    <w:rsid w:val="004152A1"/>
    <w:rsid w:val="00415CA8"/>
    <w:rsid w:val="00420B87"/>
    <w:rsid w:val="004217D6"/>
    <w:rsid w:val="00422763"/>
    <w:rsid w:val="0042361A"/>
    <w:rsid w:val="00423902"/>
    <w:rsid w:val="00423A5F"/>
    <w:rsid w:val="004247B7"/>
    <w:rsid w:val="00426813"/>
    <w:rsid w:val="00426BB1"/>
    <w:rsid w:val="00431DB6"/>
    <w:rsid w:val="00431E78"/>
    <w:rsid w:val="004365FA"/>
    <w:rsid w:val="00436998"/>
    <w:rsid w:val="00437111"/>
    <w:rsid w:val="00437AB5"/>
    <w:rsid w:val="00441A52"/>
    <w:rsid w:val="00441A6C"/>
    <w:rsid w:val="004455B3"/>
    <w:rsid w:val="004479CB"/>
    <w:rsid w:val="00450B61"/>
    <w:rsid w:val="0045156C"/>
    <w:rsid w:val="004546B3"/>
    <w:rsid w:val="00455A18"/>
    <w:rsid w:val="004560AC"/>
    <w:rsid w:val="00460758"/>
    <w:rsid w:val="00460839"/>
    <w:rsid w:val="00461438"/>
    <w:rsid w:val="0046160E"/>
    <w:rsid w:val="0046582D"/>
    <w:rsid w:val="004672EE"/>
    <w:rsid w:val="0047032C"/>
    <w:rsid w:val="00473604"/>
    <w:rsid w:val="00473EE6"/>
    <w:rsid w:val="00474044"/>
    <w:rsid w:val="004744DB"/>
    <w:rsid w:val="004755AE"/>
    <w:rsid w:val="004756F4"/>
    <w:rsid w:val="00475A1E"/>
    <w:rsid w:val="00475C1D"/>
    <w:rsid w:val="00477567"/>
    <w:rsid w:val="004823A1"/>
    <w:rsid w:val="00487EC4"/>
    <w:rsid w:val="004939D3"/>
    <w:rsid w:val="00493C54"/>
    <w:rsid w:val="0049482B"/>
    <w:rsid w:val="00497183"/>
    <w:rsid w:val="004A0918"/>
    <w:rsid w:val="004A0FFA"/>
    <w:rsid w:val="004A5AA1"/>
    <w:rsid w:val="004A75E4"/>
    <w:rsid w:val="004B1FFF"/>
    <w:rsid w:val="004B347A"/>
    <w:rsid w:val="004B4201"/>
    <w:rsid w:val="004B481F"/>
    <w:rsid w:val="004B67B2"/>
    <w:rsid w:val="004C0072"/>
    <w:rsid w:val="004C08A5"/>
    <w:rsid w:val="004C0AD5"/>
    <w:rsid w:val="004C1B17"/>
    <w:rsid w:val="004C2304"/>
    <w:rsid w:val="004C2A23"/>
    <w:rsid w:val="004C2B6C"/>
    <w:rsid w:val="004C307C"/>
    <w:rsid w:val="004C426F"/>
    <w:rsid w:val="004D463C"/>
    <w:rsid w:val="004D7C97"/>
    <w:rsid w:val="004E075C"/>
    <w:rsid w:val="004E1E4A"/>
    <w:rsid w:val="004E2C9F"/>
    <w:rsid w:val="004E4555"/>
    <w:rsid w:val="004E612E"/>
    <w:rsid w:val="004E6ABC"/>
    <w:rsid w:val="004E73C0"/>
    <w:rsid w:val="004E7CFD"/>
    <w:rsid w:val="004F185B"/>
    <w:rsid w:val="004F2020"/>
    <w:rsid w:val="004F23C8"/>
    <w:rsid w:val="004F294C"/>
    <w:rsid w:val="004F4CDF"/>
    <w:rsid w:val="004F617B"/>
    <w:rsid w:val="004F6DCF"/>
    <w:rsid w:val="004F749E"/>
    <w:rsid w:val="004F7669"/>
    <w:rsid w:val="00501133"/>
    <w:rsid w:val="00501429"/>
    <w:rsid w:val="00503E30"/>
    <w:rsid w:val="0050421A"/>
    <w:rsid w:val="00505893"/>
    <w:rsid w:val="005058E0"/>
    <w:rsid w:val="00505ED0"/>
    <w:rsid w:val="005136AC"/>
    <w:rsid w:val="00514C0A"/>
    <w:rsid w:val="00515777"/>
    <w:rsid w:val="00517E82"/>
    <w:rsid w:val="00520829"/>
    <w:rsid w:val="00522778"/>
    <w:rsid w:val="00522A14"/>
    <w:rsid w:val="00524170"/>
    <w:rsid w:val="005263C4"/>
    <w:rsid w:val="005265FF"/>
    <w:rsid w:val="00526F99"/>
    <w:rsid w:val="00527657"/>
    <w:rsid w:val="00530903"/>
    <w:rsid w:val="00531AE8"/>
    <w:rsid w:val="00531EC4"/>
    <w:rsid w:val="0053361D"/>
    <w:rsid w:val="00535062"/>
    <w:rsid w:val="0053530D"/>
    <w:rsid w:val="0053720C"/>
    <w:rsid w:val="00537CB8"/>
    <w:rsid w:val="005434A6"/>
    <w:rsid w:val="0054542F"/>
    <w:rsid w:val="005471A0"/>
    <w:rsid w:val="00550C5C"/>
    <w:rsid w:val="00552C69"/>
    <w:rsid w:val="00555575"/>
    <w:rsid w:val="005570BA"/>
    <w:rsid w:val="00561665"/>
    <w:rsid w:val="0056294E"/>
    <w:rsid w:val="00565210"/>
    <w:rsid w:val="00565A04"/>
    <w:rsid w:val="00567528"/>
    <w:rsid w:val="00576B53"/>
    <w:rsid w:val="00586B31"/>
    <w:rsid w:val="00587292"/>
    <w:rsid w:val="005929B4"/>
    <w:rsid w:val="00595F93"/>
    <w:rsid w:val="005A1DB5"/>
    <w:rsid w:val="005A4D96"/>
    <w:rsid w:val="005A6D77"/>
    <w:rsid w:val="005A7093"/>
    <w:rsid w:val="005A7C46"/>
    <w:rsid w:val="005B1194"/>
    <w:rsid w:val="005B1AE9"/>
    <w:rsid w:val="005B2D7B"/>
    <w:rsid w:val="005B5A3C"/>
    <w:rsid w:val="005B703E"/>
    <w:rsid w:val="005C0A7D"/>
    <w:rsid w:val="005C1012"/>
    <w:rsid w:val="005C1440"/>
    <w:rsid w:val="005C284E"/>
    <w:rsid w:val="005C3A71"/>
    <w:rsid w:val="005C4BBB"/>
    <w:rsid w:val="005C7B69"/>
    <w:rsid w:val="005D28B0"/>
    <w:rsid w:val="005D3D84"/>
    <w:rsid w:val="005D55D8"/>
    <w:rsid w:val="005D6099"/>
    <w:rsid w:val="005D6706"/>
    <w:rsid w:val="005D6852"/>
    <w:rsid w:val="005E0029"/>
    <w:rsid w:val="005E1967"/>
    <w:rsid w:val="005E1BA0"/>
    <w:rsid w:val="005F0174"/>
    <w:rsid w:val="005F2993"/>
    <w:rsid w:val="005F37A4"/>
    <w:rsid w:val="005F3894"/>
    <w:rsid w:val="005F3F3D"/>
    <w:rsid w:val="005F4691"/>
    <w:rsid w:val="005F6324"/>
    <w:rsid w:val="005F7596"/>
    <w:rsid w:val="006019C3"/>
    <w:rsid w:val="00601C9D"/>
    <w:rsid w:val="006032DD"/>
    <w:rsid w:val="006046F3"/>
    <w:rsid w:val="00606051"/>
    <w:rsid w:val="00612313"/>
    <w:rsid w:val="00613747"/>
    <w:rsid w:val="00614EDD"/>
    <w:rsid w:val="00616C81"/>
    <w:rsid w:val="00622158"/>
    <w:rsid w:val="00622D9B"/>
    <w:rsid w:val="006236B4"/>
    <w:rsid w:val="00623787"/>
    <w:rsid w:val="006244E0"/>
    <w:rsid w:val="0062468A"/>
    <w:rsid w:val="00626C88"/>
    <w:rsid w:val="00626D13"/>
    <w:rsid w:val="00631E9A"/>
    <w:rsid w:val="00631F22"/>
    <w:rsid w:val="00633D13"/>
    <w:rsid w:val="00634924"/>
    <w:rsid w:val="00635C52"/>
    <w:rsid w:val="00636295"/>
    <w:rsid w:val="00640FAA"/>
    <w:rsid w:val="00641CEE"/>
    <w:rsid w:val="00642B29"/>
    <w:rsid w:val="00642DA5"/>
    <w:rsid w:val="00642E1E"/>
    <w:rsid w:val="0064338C"/>
    <w:rsid w:val="00643467"/>
    <w:rsid w:val="0064438F"/>
    <w:rsid w:val="00646035"/>
    <w:rsid w:val="006461C9"/>
    <w:rsid w:val="00646F24"/>
    <w:rsid w:val="00650DF3"/>
    <w:rsid w:val="00652400"/>
    <w:rsid w:val="00653A00"/>
    <w:rsid w:val="0066061A"/>
    <w:rsid w:val="006607A6"/>
    <w:rsid w:val="006612B3"/>
    <w:rsid w:val="0066282D"/>
    <w:rsid w:val="00663DCC"/>
    <w:rsid w:val="00664F21"/>
    <w:rsid w:val="006650B1"/>
    <w:rsid w:val="006654E2"/>
    <w:rsid w:val="006679F2"/>
    <w:rsid w:val="00667AC0"/>
    <w:rsid w:val="006711E6"/>
    <w:rsid w:val="006714D3"/>
    <w:rsid w:val="00671C86"/>
    <w:rsid w:val="006725E8"/>
    <w:rsid w:val="00677BD2"/>
    <w:rsid w:val="00677E15"/>
    <w:rsid w:val="00681398"/>
    <w:rsid w:val="00682700"/>
    <w:rsid w:val="006855DB"/>
    <w:rsid w:val="00686B5D"/>
    <w:rsid w:val="006906FD"/>
    <w:rsid w:val="00691B55"/>
    <w:rsid w:val="006922D7"/>
    <w:rsid w:val="00692810"/>
    <w:rsid w:val="006933EE"/>
    <w:rsid w:val="0069599C"/>
    <w:rsid w:val="00695A9C"/>
    <w:rsid w:val="00696848"/>
    <w:rsid w:val="006A14CE"/>
    <w:rsid w:val="006A3E5A"/>
    <w:rsid w:val="006A4575"/>
    <w:rsid w:val="006A470F"/>
    <w:rsid w:val="006A591A"/>
    <w:rsid w:val="006A6C27"/>
    <w:rsid w:val="006A6D16"/>
    <w:rsid w:val="006B160E"/>
    <w:rsid w:val="006B31A3"/>
    <w:rsid w:val="006B3DF3"/>
    <w:rsid w:val="006B4B49"/>
    <w:rsid w:val="006B4BB9"/>
    <w:rsid w:val="006B53BB"/>
    <w:rsid w:val="006B699C"/>
    <w:rsid w:val="006B6C70"/>
    <w:rsid w:val="006B770E"/>
    <w:rsid w:val="006C0FCF"/>
    <w:rsid w:val="006C50EE"/>
    <w:rsid w:val="006C54FA"/>
    <w:rsid w:val="006C5F4C"/>
    <w:rsid w:val="006C5FFC"/>
    <w:rsid w:val="006D00A4"/>
    <w:rsid w:val="006D0CB8"/>
    <w:rsid w:val="006D16E2"/>
    <w:rsid w:val="006D1EE1"/>
    <w:rsid w:val="006D2ED7"/>
    <w:rsid w:val="006D3976"/>
    <w:rsid w:val="006D534E"/>
    <w:rsid w:val="006D70C1"/>
    <w:rsid w:val="006D71AA"/>
    <w:rsid w:val="006E3072"/>
    <w:rsid w:val="006E4FA4"/>
    <w:rsid w:val="006E5499"/>
    <w:rsid w:val="006E5D09"/>
    <w:rsid w:val="006E5D2B"/>
    <w:rsid w:val="006E6377"/>
    <w:rsid w:val="006E73BF"/>
    <w:rsid w:val="006F021E"/>
    <w:rsid w:val="006F1820"/>
    <w:rsid w:val="006F25B2"/>
    <w:rsid w:val="006F2E86"/>
    <w:rsid w:val="006F483D"/>
    <w:rsid w:val="006F6017"/>
    <w:rsid w:val="00701D9F"/>
    <w:rsid w:val="00702C4F"/>
    <w:rsid w:val="00706EF1"/>
    <w:rsid w:val="007071EF"/>
    <w:rsid w:val="007110C3"/>
    <w:rsid w:val="00711204"/>
    <w:rsid w:val="00711D7D"/>
    <w:rsid w:val="007124F0"/>
    <w:rsid w:val="007129EC"/>
    <w:rsid w:val="00714952"/>
    <w:rsid w:val="00715ED1"/>
    <w:rsid w:val="007164D9"/>
    <w:rsid w:val="00716FF6"/>
    <w:rsid w:val="007174F1"/>
    <w:rsid w:val="007209C1"/>
    <w:rsid w:val="00720A59"/>
    <w:rsid w:val="0072221C"/>
    <w:rsid w:val="007236DE"/>
    <w:rsid w:val="00723E0A"/>
    <w:rsid w:val="00726964"/>
    <w:rsid w:val="00727924"/>
    <w:rsid w:val="00730223"/>
    <w:rsid w:val="00730F22"/>
    <w:rsid w:val="00731692"/>
    <w:rsid w:val="00733312"/>
    <w:rsid w:val="0073481D"/>
    <w:rsid w:val="00734FF6"/>
    <w:rsid w:val="0073576C"/>
    <w:rsid w:val="0073658A"/>
    <w:rsid w:val="00740007"/>
    <w:rsid w:val="00740BAC"/>
    <w:rsid w:val="00740CDE"/>
    <w:rsid w:val="00740DE7"/>
    <w:rsid w:val="007414ED"/>
    <w:rsid w:val="0074244B"/>
    <w:rsid w:val="00743ACF"/>
    <w:rsid w:val="0074448F"/>
    <w:rsid w:val="00747295"/>
    <w:rsid w:val="007504A0"/>
    <w:rsid w:val="007512AA"/>
    <w:rsid w:val="007525E1"/>
    <w:rsid w:val="00752FCF"/>
    <w:rsid w:val="007609BC"/>
    <w:rsid w:val="00764ED2"/>
    <w:rsid w:val="00764FF4"/>
    <w:rsid w:val="007665B0"/>
    <w:rsid w:val="00766611"/>
    <w:rsid w:val="00767014"/>
    <w:rsid w:val="00767F8B"/>
    <w:rsid w:val="00770333"/>
    <w:rsid w:val="00771B04"/>
    <w:rsid w:val="007741A2"/>
    <w:rsid w:val="007743BB"/>
    <w:rsid w:val="00777CBF"/>
    <w:rsid w:val="00777D9B"/>
    <w:rsid w:val="00780577"/>
    <w:rsid w:val="007830C8"/>
    <w:rsid w:val="00784432"/>
    <w:rsid w:val="007849C7"/>
    <w:rsid w:val="00786101"/>
    <w:rsid w:val="00786547"/>
    <w:rsid w:val="007879D6"/>
    <w:rsid w:val="00790B09"/>
    <w:rsid w:val="007920E6"/>
    <w:rsid w:val="00792C51"/>
    <w:rsid w:val="00792CCC"/>
    <w:rsid w:val="00793A3A"/>
    <w:rsid w:val="0079478B"/>
    <w:rsid w:val="00796211"/>
    <w:rsid w:val="00797D2C"/>
    <w:rsid w:val="007A13F6"/>
    <w:rsid w:val="007A187E"/>
    <w:rsid w:val="007A1AA9"/>
    <w:rsid w:val="007A2C86"/>
    <w:rsid w:val="007A35DA"/>
    <w:rsid w:val="007A39AE"/>
    <w:rsid w:val="007A40FD"/>
    <w:rsid w:val="007A421E"/>
    <w:rsid w:val="007A469B"/>
    <w:rsid w:val="007A4786"/>
    <w:rsid w:val="007A5415"/>
    <w:rsid w:val="007A5B34"/>
    <w:rsid w:val="007A615C"/>
    <w:rsid w:val="007A62A2"/>
    <w:rsid w:val="007B1999"/>
    <w:rsid w:val="007B1D2C"/>
    <w:rsid w:val="007B47C4"/>
    <w:rsid w:val="007B5070"/>
    <w:rsid w:val="007B667C"/>
    <w:rsid w:val="007B69B1"/>
    <w:rsid w:val="007B77E3"/>
    <w:rsid w:val="007B7E1B"/>
    <w:rsid w:val="007C1794"/>
    <w:rsid w:val="007C1FDD"/>
    <w:rsid w:val="007C434F"/>
    <w:rsid w:val="007D1094"/>
    <w:rsid w:val="007D1993"/>
    <w:rsid w:val="007D2C9B"/>
    <w:rsid w:val="007D3AB6"/>
    <w:rsid w:val="007D3B7B"/>
    <w:rsid w:val="007D42FD"/>
    <w:rsid w:val="007D4D1D"/>
    <w:rsid w:val="007D73B8"/>
    <w:rsid w:val="007E1BDE"/>
    <w:rsid w:val="007E416E"/>
    <w:rsid w:val="007E4F26"/>
    <w:rsid w:val="007E6D06"/>
    <w:rsid w:val="007F0ECD"/>
    <w:rsid w:val="007F599C"/>
    <w:rsid w:val="00800A2F"/>
    <w:rsid w:val="00803997"/>
    <w:rsid w:val="0080433F"/>
    <w:rsid w:val="0080608F"/>
    <w:rsid w:val="008076DD"/>
    <w:rsid w:val="00812534"/>
    <w:rsid w:val="00812D33"/>
    <w:rsid w:val="00813CEF"/>
    <w:rsid w:val="00814A7E"/>
    <w:rsid w:val="00814C59"/>
    <w:rsid w:val="008208C6"/>
    <w:rsid w:val="00833BC1"/>
    <w:rsid w:val="00834D1B"/>
    <w:rsid w:val="00836735"/>
    <w:rsid w:val="00842CE8"/>
    <w:rsid w:val="00843DFE"/>
    <w:rsid w:val="008448EA"/>
    <w:rsid w:val="008450E5"/>
    <w:rsid w:val="00846D3C"/>
    <w:rsid w:val="00850F58"/>
    <w:rsid w:val="008511AB"/>
    <w:rsid w:val="00851D08"/>
    <w:rsid w:val="0085324C"/>
    <w:rsid w:val="00854754"/>
    <w:rsid w:val="00855C5B"/>
    <w:rsid w:val="00860269"/>
    <w:rsid w:val="00860828"/>
    <w:rsid w:val="0086092B"/>
    <w:rsid w:val="00861692"/>
    <w:rsid w:val="00861849"/>
    <w:rsid w:val="00862B5E"/>
    <w:rsid w:val="00864E15"/>
    <w:rsid w:val="00865022"/>
    <w:rsid w:val="00865169"/>
    <w:rsid w:val="0086562A"/>
    <w:rsid w:val="008720EF"/>
    <w:rsid w:val="008736B6"/>
    <w:rsid w:val="008746C9"/>
    <w:rsid w:val="0087529C"/>
    <w:rsid w:val="00875EE4"/>
    <w:rsid w:val="00876A3C"/>
    <w:rsid w:val="00877315"/>
    <w:rsid w:val="00877A24"/>
    <w:rsid w:val="00880271"/>
    <w:rsid w:val="0088144D"/>
    <w:rsid w:val="00883315"/>
    <w:rsid w:val="0088771A"/>
    <w:rsid w:val="00887726"/>
    <w:rsid w:val="00891ADF"/>
    <w:rsid w:val="008932E6"/>
    <w:rsid w:val="008969B9"/>
    <w:rsid w:val="00896F79"/>
    <w:rsid w:val="008970B2"/>
    <w:rsid w:val="008A01F2"/>
    <w:rsid w:val="008A1933"/>
    <w:rsid w:val="008A4757"/>
    <w:rsid w:val="008A59E2"/>
    <w:rsid w:val="008A6808"/>
    <w:rsid w:val="008A6F86"/>
    <w:rsid w:val="008A6F88"/>
    <w:rsid w:val="008A7C7E"/>
    <w:rsid w:val="008B04D9"/>
    <w:rsid w:val="008B15BD"/>
    <w:rsid w:val="008B1627"/>
    <w:rsid w:val="008B1F63"/>
    <w:rsid w:val="008B28F1"/>
    <w:rsid w:val="008B2E64"/>
    <w:rsid w:val="008B51CA"/>
    <w:rsid w:val="008B567B"/>
    <w:rsid w:val="008B6796"/>
    <w:rsid w:val="008B79BE"/>
    <w:rsid w:val="008B7A59"/>
    <w:rsid w:val="008B7FCC"/>
    <w:rsid w:val="008C0D96"/>
    <w:rsid w:val="008C19F8"/>
    <w:rsid w:val="008C2745"/>
    <w:rsid w:val="008C2F7E"/>
    <w:rsid w:val="008C3CB2"/>
    <w:rsid w:val="008C637F"/>
    <w:rsid w:val="008C75A9"/>
    <w:rsid w:val="008C76B3"/>
    <w:rsid w:val="008C7BD1"/>
    <w:rsid w:val="008D19C1"/>
    <w:rsid w:val="008D572D"/>
    <w:rsid w:val="008D5831"/>
    <w:rsid w:val="008D724A"/>
    <w:rsid w:val="008D7E10"/>
    <w:rsid w:val="008E028E"/>
    <w:rsid w:val="008E045B"/>
    <w:rsid w:val="008F1C64"/>
    <w:rsid w:val="008F3413"/>
    <w:rsid w:val="008F503B"/>
    <w:rsid w:val="008F5402"/>
    <w:rsid w:val="008F585F"/>
    <w:rsid w:val="008F5D94"/>
    <w:rsid w:val="008F6B03"/>
    <w:rsid w:val="008F7815"/>
    <w:rsid w:val="009012E9"/>
    <w:rsid w:val="00903A27"/>
    <w:rsid w:val="00903F99"/>
    <w:rsid w:val="0090411D"/>
    <w:rsid w:val="009075BA"/>
    <w:rsid w:val="00907FF9"/>
    <w:rsid w:val="0091054E"/>
    <w:rsid w:val="0091076A"/>
    <w:rsid w:val="0091446D"/>
    <w:rsid w:val="009169A1"/>
    <w:rsid w:val="0091765A"/>
    <w:rsid w:val="009229CB"/>
    <w:rsid w:val="00923503"/>
    <w:rsid w:val="00924777"/>
    <w:rsid w:val="00925B0E"/>
    <w:rsid w:val="00927D0E"/>
    <w:rsid w:val="00930473"/>
    <w:rsid w:val="00930589"/>
    <w:rsid w:val="009332C6"/>
    <w:rsid w:val="00934774"/>
    <w:rsid w:val="00937427"/>
    <w:rsid w:val="0093781D"/>
    <w:rsid w:val="00937B78"/>
    <w:rsid w:val="009423B4"/>
    <w:rsid w:val="0094550F"/>
    <w:rsid w:val="00945533"/>
    <w:rsid w:val="009468C6"/>
    <w:rsid w:val="00950524"/>
    <w:rsid w:val="00950D55"/>
    <w:rsid w:val="0095233A"/>
    <w:rsid w:val="0095338A"/>
    <w:rsid w:val="00955C1D"/>
    <w:rsid w:val="009578F6"/>
    <w:rsid w:val="00957B36"/>
    <w:rsid w:val="009618E4"/>
    <w:rsid w:val="00962DA3"/>
    <w:rsid w:val="00963596"/>
    <w:rsid w:val="00964AD8"/>
    <w:rsid w:val="00965DBE"/>
    <w:rsid w:val="00967196"/>
    <w:rsid w:val="00967D6A"/>
    <w:rsid w:val="009703E3"/>
    <w:rsid w:val="009737A2"/>
    <w:rsid w:val="009743AE"/>
    <w:rsid w:val="009774A4"/>
    <w:rsid w:val="00977B40"/>
    <w:rsid w:val="00980B1B"/>
    <w:rsid w:val="009817D4"/>
    <w:rsid w:val="009821E0"/>
    <w:rsid w:val="00983664"/>
    <w:rsid w:val="00985693"/>
    <w:rsid w:val="009864F1"/>
    <w:rsid w:val="009866C3"/>
    <w:rsid w:val="00991971"/>
    <w:rsid w:val="00993989"/>
    <w:rsid w:val="00995352"/>
    <w:rsid w:val="00997FE0"/>
    <w:rsid w:val="009A00CB"/>
    <w:rsid w:val="009A107B"/>
    <w:rsid w:val="009B35B8"/>
    <w:rsid w:val="009B4632"/>
    <w:rsid w:val="009B52BD"/>
    <w:rsid w:val="009B5943"/>
    <w:rsid w:val="009C660A"/>
    <w:rsid w:val="009C6945"/>
    <w:rsid w:val="009C6A68"/>
    <w:rsid w:val="009C73C4"/>
    <w:rsid w:val="009D02E8"/>
    <w:rsid w:val="009D08C4"/>
    <w:rsid w:val="009D0CEB"/>
    <w:rsid w:val="009D16C6"/>
    <w:rsid w:val="009D2234"/>
    <w:rsid w:val="009D32F6"/>
    <w:rsid w:val="009D3F7C"/>
    <w:rsid w:val="009D5DF1"/>
    <w:rsid w:val="009D5FAB"/>
    <w:rsid w:val="009E05EB"/>
    <w:rsid w:val="009E093F"/>
    <w:rsid w:val="009E141C"/>
    <w:rsid w:val="009E2C9D"/>
    <w:rsid w:val="009E4B57"/>
    <w:rsid w:val="009E502C"/>
    <w:rsid w:val="009E6850"/>
    <w:rsid w:val="009E741F"/>
    <w:rsid w:val="009E77BE"/>
    <w:rsid w:val="009F0947"/>
    <w:rsid w:val="009F0BB5"/>
    <w:rsid w:val="009F4AE2"/>
    <w:rsid w:val="009F7648"/>
    <w:rsid w:val="009F7D10"/>
    <w:rsid w:val="00A00594"/>
    <w:rsid w:val="00A01115"/>
    <w:rsid w:val="00A0176B"/>
    <w:rsid w:val="00A02014"/>
    <w:rsid w:val="00A032C4"/>
    <w:rsid w:val="00A061D1"/>
    <w:rsid w:val="00A073CC"/>
    <w:rsid w:val="00A10F2D"/>
    <w:rsid w:val="00A16626"/>
    <w:rsid w:val="00A213D5"/>
    <w:rsid w:val="00A21A32"/>
    <w:rsid w:val="00A21FEA"/>
    <w:rsid w:val="00A222E8"/>
    <w:rsid w:val="00A2343E"/>
    <w:rsid w:val="00A2362E"/>
    <w:rsid w:val="00A23F13"/>
    <w:rsid w:val="00A23FA1"/>
    <w:rsid w:val="00A27823"/>
    <w:rsid w:val="00A27A8B"/>
    <w:rsid w:val="00A32AF8"/>
    <w:rsid w:val="00A37F32"/>
    <w:rsid w:val="00A41653"/>
    <w:rsid w:val="00A42009"/>
    <w:rsid w:val="00A421E7"/>
    <w:rsid w:val="00A424FD"/>
    <w:rsid w:val="00A434AC"/>
    <w:rsid w:val="00A4484A"/>
    <w:rsid w:val="00A448AF"/>
    <w:rsid w:val="00A452C6"/>
    <w:rsid w:val="00A46F63"/>
    <w:rsid w:val="00A477A8"/>
    <w:rsid w:val="00A529E9"/>
    <w:rsid w:val="00A545EF"/>
    <w:rsid w:val="00A56FD5"/>
    <w:rsid w:val="00A57049"/>
    <w:rsid w:val="00A57128"/>
    <w:rsid w:val="00A5748B"/>
    <w:rsid w:val="00A60012"/>
    <w:rsid w:val="00A61BAF"/>
    <w:rsid w:val="00A62A45"/>
    <w:rsid w:val="00A6410D"/>
    <w:rsid w:val="00A648F7"/>
    <w:rsid w:val="00A65DD0"/>
    <w:rsid w:val="00A66251"/>
    <w:rsid w:val="00A666DE"/>
    <w:rsid w:val="00A71702"/>
    <w:rsid w:val="00A801F7"/>
    <w:rsid w:val="00A825B3"/>
    <w:rsid w:val="00A83C2E"/>
    <w:rsid w:val="00A84BDA"/>
    <w:rsid w:val="00A8512D"/>
    <w:rsid w:val="00A85965"/>
    <w:rsid w:val="00A85A1B"/>
    <w:rsid w:val="00A85AA4"/>
    <w:rsid w:val="00A92C70"/>
    <w:rsid w:val="00A9347D"/>
    <w:rsid w:val="00A9749A"/>
    <w:rsid w:val="00AA237B"/>
    <w:rsid w:val="00AA27AA"/>
    <w:rsid w:val="00AA3279"/>
    <w:rsid w:val="00AA6622"/>
    <w:rsid w:val="00AB11FF"/>
    <w:rsid w:val="00AB21C5"/>
    <w:rsid w:val="00AB29FE"/>
    <w:rsid w:val="00AB30EB"/>
    <w:rsid w:val="00AB45B7"/>
    <w:rsid w:val="00AB467A"/>
    <w:rsid w:val="00AB46CD"/>
    <w:rsid w:val="00AC0063"/>
    <w:rsid w:val="00AC03FA"/>
    <w:rsid w:val="00AC0926"/>
    <w:rsid w:val="00AC3057"/>
    <w:rsid w:val="00AC3816"/>
    <w:rsid w:val="00AC6726"/>
    <w:rsid w:val="00AD13BA"/>
    <w:rsid w:val="00AD21D8"/>
    <w:rsid w:val="00AD4528"/>
    <w:rsid w:val="00AD5B1E"/>
    <w:rsid w:val="00AD64D8"/>
    <w:rsid w:val="00AD664A"/>
    <w:rsid w:val="00AD68E9"/>
    <w:rsid w:val="00AD6D2F"/>
    <w:rsid w:val="00AD6ECB"/>
    <w:rsid w:val="00AD777D"/>
    <w:rsid w:val="00AE1020"/>
    <w:rsid w:val="00AE1314"/>
    <w:rsid w:val="00AE2036"/>
    <w:rsid w:val="00AE2A4A"/>
    <w:rsid w:val="00AE38F9"/>
    <w:rsid w:val="00AE43CB"/>
    <w:rsid w:val="00AE5BF4"/>
    <w:rsid w:val="00AE7679"/>
    <w:rsid w:val="00AF142D"/>
    <w:rsid w:val="00AF36B2"/>
    <w:rsid w:val="00B00EC2"/>
    <w:rsid w:val="00B02483"/>
    <w:rsid w:val="00B0253E"/>
    <w:rsid w:val="00B02717"/>
    <w:rsid w:val="00B02824"/>
    <w:rsid w:val="00B02ECB"/>
    <w:rsid w:val="00B04717"/>
    <w:rsid w:val="00B06B5A"/>
    <w:rsid w:val="00B1082D"/>
    <w:rsid w:val="00B11421"/>
    <w:rsid w:val="00B12FFA"/>
    <w:rsid w:val="00B13C28"/>
    <w:rsid w:val="00B13F8C"/>
    <w:rsid w:val="00B143EB"/>
    <w:rsid w:val="00B144FE"/>
    <w:rsid w:val="00B150D2"/>
    <w:rsid w:val="00B16141"/>
    <w:rsid w:val="00B171C8"/>
    <w:rsid w:val="00B20BCE"/>
    <w:rsid w:val="00B21354"/>
    <w:rsid w:val="00B228B4"/>
    <w:rsid w:val="00B22A9E"/>
    <w:rsid w:val="00B23B19"/>
    <w:rsid w:val="00B24A68"/>
    <w:rsid w:val="00B2541C"/>
    <w:rsid w:val="00B25ED8"/>
    <w:rsid w:val="00B26745"/>
    <w:rsid w:val="00B2705D"/>
    <w:rsid w:val="00B33151"/>
    <w:rsid w:val="00B3377D"/>
    <w:rsid w:val="00B33F3B"/>
    <w:rsid w:val="00B3430E"/>
    <w:rsid w:val="00B34981"/>
    <w:rsid w:val="00B3547B"/>
    <w:rsid w:val="00B356D5"/>
    <w:rsid w:val="00B360D6"/>
    <w:rsid w:val="00B36A81"/>
    <w:rsid w:val="00B37D40"/>
    <w:rsid w:val="00B41000"/>
    <w:rsid w:val="00B4189C"/>
    <w:rsid w:val="00B41D7D"/>
    <w:rsid w:val="00B435C2"/>
    <w:rsid w:val="00B452A3"/>
    <w:rsid w:val="00B45668"/>
    <w:rsid w:val="00B46F09"/>
    <w:rsid w:val="00B538B3"/>
    <w:rsid w:val="00B53FA0"/>
    <w:rsid w:val="00B55C9E"/>
    <w:rsid w:val="00B56BDF"/>
    <w:rsid w:val="00B56FFD"/>
    <w:rsid w:val="00B64639"/>
    <w:rsid w:val="00B66A20"/>
    <w:rsid w:val="00B66DFA"/>
    <w:rsid w:val="00B7000A"/>
    <w:rsid w:val="00B70B10"/>
    <w:rsid w:val="00B70D3D"/>
    <w:rsid w:val="00B70FA1"/>
    <w:rsid w:val="00B74BFC"/>
    <w:rsid w:val="00B75401"/>
    <w:rsid w:val="00B77092"/>
    <w:rsid w:val="00B772C7"/>
    <w:rsid w:val="00B776A4"/>
    <w:rsid w:val="00B80B9E"/>
    <w:rsid w:val="00B84383"/>
    <w:rsid w:val="00B84C5E"/>
    <w:rsid w:val="00B867AF"/>
    <w:rsid w:val="00B872F3"/>
    <w:rsid w:val="00B9048C"/>
    <w:rsid w:val="00B90BCD"/>
    <w:rsid w:val="00B94B0D"/>
    <w:rsid w:val="00B94D48"/>
    <w:rsid w:val="00B96775"/>
    <w:rsid w:val="00B96F4A"/>
    <w:rsid w:val="00B97A87"/>
    <w:rsid w:val="00B97AEA"/>
    <w:rsid w:val="00B97FDF"/>
    <w:rsid w:val="00BA06DD"/>
    <w:rsid w:val="00BA2565"/>
    <w:rsid w:val="00BA26D4"/>
    <w:rsid w:val="00BA2B73"/>
    <w:rsid w:val="00BA388C"/>
    <w:rsid w:val="00BA44C0"/>
    <w:rsid w:val="00BA507F"/>
    <w:rsid w:val="00BA5B2C"/>
    <w:rsid w:val="00BA607A"/>
    <w:rsid w:val="00BA78BA"/>
    <w:rsid w:val="00BB12DD"/>
    <w:rsid w:val="00BB3C7E"/>
    <w:rsid w:val="00BB3E64"/>
    <w:rsid w:val="00BB4200"/>
    <w:rsid w:val="00BB64FC"/>
    <w:rsid w:val="00BB74E8"/>
    <w:rsid w:val="00BB7500"/>
    <w:rsid w:val="00BB7D40"/>
    <w:rsid w:val="00BC0C02"/>
    <w:rsid w:val="00BC1094"/>
    <w:rsid w:val="00BC34C9"/>
    <w:rsid w:val="00BC601D"/>
    <w:rsid w:val="00BC7868"/>
    <w:rsid w:val="00BC7986"/>
    <w:rsid w:val="00BD0E70"/>
    <w:rsid w:val="00BD47E1"/>
    <w:rsid w:val="00BD66D3"/>
    <w:rsid w:val="00BD79A5"/>
    <w:rsid w:val="00BE43F0"/>
    <w:rsid w:val="00BE4E10"/>
    <w:rsid w:val="00BE53D4"/>
    <w:rsid w:val="00BE5647"/>
    <w:rsid w:val="00BE7B8D"/>
    <w:rsid w:val="00BF3FCA"/>
    <w:rsid w:val="00BF44B7"/>
    <w:rsid w:val="00BF47F2"/>
    <w:rsid w:val="00BF5B3E"/>
    <w:rsid w:val="00BF6014"/>
    <w:rsid w:val="00BF607B"/>
    <w:rsid w:val="00BF65F2"/>
    <w:rsid w:val="00BF7B52"/>
    <w:rsid w:val="00C008F7"/>
    <w:rsid w:val="00C01B87"/>
    <w:rsid w:val="00C044F1"/>
    <w:rsid w:val="00C045E7"/>
    <w:rsid w:val="00C05E36"/>
    <w:rsid w:val="00C075D7"/>
    <w:rsid w:val="00C07A96"/>
    <w:rsid w:val="00C10000"/>
    <w:rsid w:val="00C1044D"/>
    <w:rsid w:val="00C11439"/>
    <w:rsid w:val="00C13953"/>
    <w:rsid w:val="00C15451"/>
    <w:rsid w:val="00C15595"/>
    <w:rsid w:val="00C15C1A"/>
    <w:rsid w:val="00C166CD"/>
    <w:rsid w:val="00C16B2A"/>
    <w:rsid w:val="00C16B33"/>
    <w:rsid w:val="00C1790C"/>
    <w:rsid w:val="00C203CB"/>
    <w:rsid w:val="00C213DB"/>
    <w:rsid w:val="00C23082"/>
    <w:rsid w:val="00C231D1"/>
    <w:rsid w:val="00C23562"/>
    <w:rsid w:val="00C23A79"/>
    <w:rsid w:val="00C23CB8"/>
    <w:rsid w:val="00C255E4"/>
    <w:rsid w:val="00C26B4E"/>
    <w:rsid w:val="00C276D0"/>
    <w:rsid w:val="00C3339F"/>
    <w:rsid w:val="00C34EE9"/>
    <w:rsid w:val="00C352E7"/>
    <w:rsid w:val="00C36E64"/>
    <w:rsid w:val="00C40963"/>
    <w:rsid w:val="00C433E7"/>
    <w:rsid w:val="00C43528"/>
    <w:rsid w:val="00C4553B"/>
    <w:rsid w:val="00C46656"/>
    <w:rsid w:val="00C47EC6"/>
    <w:rsid w:val="00C5163F"/>
    <w:rsid w:val="00C52A95"/>
    <w:rsid w:val="00C52F21"/>
    <w:rsid w:val="00C54573"/>
    <w:rsid w:val="00C553BF"/>
    <w:rsid w:val="00C56782"/>
    <w:rsid w:val="00C57F8B"/>
    <w:rsid w:val="00C602DB"/>
    <w:rsid w:val="00C60AEC"/>
    <w:rsid w:val="00C619C2"/>
    <w:rsid w:val="00C62797"/>
    <w:rsid w:val="00C62E3B"/>
    <w:rsid w:val="00C63B64"/>
    <w:rsid w:val="00C63C48"/>
    <w:rsid w:val="00C65109"/>
    <w:rsid w:val="00C65293"/>
    <w:rsid w:val="00C6552D"/>
    <w:rsid w:val="00C65AE6"/>
    <w:rsid w:val="00C6626F"/>
    <w:rsid w:val="00C7150F"/>
    <w:rsid w:val="00C74859"/>
    <w:rsid w:val="00C75F73"/>
    <w:rsid w:val="00C777CC"/>
    <w:rsid w:val="00C8099A"/>
    <w:rsid w:val="00C80FAD"/>
    <w:rsid w:val="00C83042"/>
    <w:rsid w:val="00C83787"/>
    <w:rsid w:val="00C866A6"/>
    <w:rsid w:val="00C90FBE"/>
    <w:rsid w:val="00C92B1B"/>
    <w:rsid w:val="00CA1A2E"/>
    <w:rsid w:val="00CA1BE2"/>
    <w:rsid w:val="00CA2C19"/>
    <w:rsid w:val="00CA32A1"/>
    <w:rsid w:val="00CB4445"/>
    <w:rsid w:val="00CB5731"/>
    <w:rsid w:val="00CB5860"/>
    <w:rsid w:val="00CB607A"/>
    <w:rsid w:val="00CB6B22"/>
    <w:rsid w:val="00CB6EA8"/>
    <w:rsid w:val="00CB72CE"/>
    <w:rsid w:val="00CB7D4C"/>
    <w:rsid w:val="00CC4457"/>
    <w:rsid w:val="00CC55F4"/>
    <w:rsid w:val="00CC66EE"/>
    <w:rsid w:val="00CC79A3"/>
    <w:rsid w:val="00CD129B"/>
    <w:rsid w:val="00CD1458"/>
    <w:rsid w:val="00CD368E"/>
    <w:rsid w:val="00CD3C50"/>
    <w:rsid w:val="00CD4527"/>
    <w:rsid w:val="00CD4F74"/>
    <w:rsid w:val="00CD5553"/>
    <w:rsid w:val="00CD7D13"/>
    <w:rsid w:val="00CE44FA"/>
    <w:rsid w:val="00CE4669"/>
    <w:rsid w:val="00CE573F"/>
    <w:rsid w:val="00CF1BE4"/>
    <w:rsid w:val="00CF2CF6"/>
    <w:rsid w:val="00CF33CA"/>
    <w:rsid w:val="00CF33E1"/>
    <w:rsid w:val="00CF44F5"/>
    <w:rsid w:val="00CF6C5C"/>
    <w:rsid w:val="00CF78D1"/>
    <w:rsid w:val="00D00F00"/>
    <w:rsid w:val="00D01E09"/>
    <w:rsid w:val="00D0257F"/>
    <w:rsid w:val="00D02D5A"/>
    <w:rsid w:val="00D02F77"/>
    <w:rsid w:val="00D02FEA"/>
    <w:rsid w:val="00D03309"/>
    <w:rsid w:val="00D038FE"/>
    <w:rsid w:val="00D03AD7"/>
    <w:rsid w:val="00D0593A"/>
    <w:rsid w:val="00D0657D"/>
    <w:rsid w:val="00D104AE"/>
    <w:rsid w:val="00D11B1F"/>
    <w:rsid w:val="00D11F79"/>
    <w:rsid w:val="00D13688"/>
    <w:rsid w:val="00D1421B"/>
    <w:rsid w:val="00D14F02"/>
    <w:rsid w:val="00D15577"/>
    <w:rsid w:val="00D15C32"/>
    <w:rsid w:val="00D16251"/>
    <w:rsid w:val="00D16EAC"/>
    <w:rsid w:val="00D20FEE"/>
    <w:rsid w:val="00D210DE"/>
    <w:rsid w:val="00D21E9D"/>
    <w:rsid w:val="00D23115"/>
    <w:rsid w:val="00D23367"/>
    <w:rsid w:val="00D23C33"/>
    <w:rsid w:val="00D253CA"/>
    <w:rsid w:val="00D25A65"/>
    <w:rsid w:val="00D26E01"/>
    <w:rsid w:val="00D3510F"/>
    <w:rsid w:val="00D359E0"/>
    <w:rsid w:val="00D37A1E"/>
    <w:rsid w:val="00D41427"/>
    <w:rsid w:val="00D43AA4"/>
    <w:rsid w:val="00D43EDC"/>
    <w:rsid w:val="00D43F43"/>
    <w:rsid w:val="00D45E6C"/>
    <w:rsid w:val="00D46778"/>
    <w:rsid w:val="00D46C1C"/>
    <w:rsid w:val="00D47619"/>
    <w:rsid w:val="00D47CAC"/>
    <w:rsid w:val="00D52453"/>
    <w:rsid w:val="00D557A7"/>
    <w:rsid w:val="00D5633E"/>
    <w:rsid w:val="00D6023E"/>
    <w:rsid w:val="00D60E05"/>
    <w:rsid w:val="00D620E3"/>
    <w:rsid w:val="00D63170"/>
    <w:rsid w:val="00D63178"/>
    <w:rsid w:val="00D71C47"/>
    <w:rsid w:val="00D72A8D"/>
    <w:rsid w:val="00D72AAC"/>
    <w:rsid w:val="00D73B12"/>
    <w:rsid w:val="00D74517"/>
    <w:rsid w:val="00D74C8B"/>
    <w:rsid w:val="00D770EE"/>
    <w:rsid w:val="00D80172"/>
    <w:rsid w:val="00D806D2"/>
    <w:rsid w:val="00D81037"/>
    <w:rsid w:val="00D85774"/>
    <w:rsid w:val="00D85F66"/>
    <w:rsid w:val="00D87F28"/>
    <w:rsid w:val="00D90EE9"/>
    <w:rsid w:val="00D91667"/>
    <w:rsid w:val="00D92264"/>
    <w:rsid w:val="00D92B04"/>
    <w:rsid w:val="00D9374B"/>
    <w:rsid w:val="00D9507A"/>
    <w:rsid w:val="00D96174"/>
    <w:rsid w:val="00D97F8F"/>
    <w:rsid w:val="00DA20BE"/>
    <w:rsid w:val="00DA31A8"/>
    <w:rsid w:val="00DA367D"/>
    <w:rsid w:val="00DA39AB"/>
    <w:rsid w:val="00DA3FAD"/>
    <w:rsid w:val="00DA44F7"/>
    <w:rsid w:val="00DA45BE"/>
    <w:rsid w:val="00DA5ED6"/>
    <w:rsid w:val="00DA6E21"/>
    <w:rsid w:val="00DB3184"/>
    <w:rsid w:val="00DB3F50"/>
    <w:rsid w:val="00DC0319"/>
    <w:rsid w:val="00DC3754"/>
    <w:rsid w:val="00DC5844"/>
    <w:rsid w:val="00DC6455"/>
    <w:rsid w:val="00DC7624"/>
    <w:rsid w:val="00DD089B"/>
    <w:rsid w:val="00DD231D"/>
    <w:rsid w:val="00DD71E9"/>
    <w:rsid w:val="00DD79D0"/>
    <w:rsid w:val="00DD7D0E"/>
    <w:rsid w:val="00DE3B46"/>
    <w:rsid w:val="00DE40B3"/>
    <w:rsid w:val="00DE4DA6"/>
    <w:rsid w:val="00DE6091"/>
    <w:rsid w:val="00DE7517"/>
    <w:rsid w:val="00DF0933"/>
    <w:rsid w:val="00DF0DB9"/>
    <w:rsid w:val="00DF19C0"/>
    <w:rsid w:val="00DF3034"/>
    <w:rsid w:val="00DF3DDE"/>
    <w:rsid w:val="00DF538C"/>
    <w:rsid w:val="00DF7E35"/>
    <w:rsid w:val="00E00131"/>
    <w:rsid w:val="00E00576"/>
    <w:rsid w:val="00E00B93"/>
    <w:rsid w:val="00E01FD8"/>
    <w:rsid w:val="00E077DF"/>
    <w:rsid w:val="00E12DEF"/>
    <w:rsid w:val="00E15B51"/>
    <w:rsid w:val="00E20046"/>
    <w:rsid w:val="00E21686"/>
    <w:rsid w:val="00E2211B"/>
    <w:rsid w:val="00E22A5B"/>
    <w:rsid w:val="00E23A42"/>
    <w:rsid w:val="00E24019"/>
    <w:rsid w:val="00E273DF"/>
    <w:rsid w:val="00E27E4D"/>
    <w:rsid w:val="00E32724"/>
    <w:rsid w:val="00E359EB"/>
    <w:rsid w:val="00E361AB"/>
    <w:rsid w:val="00E36C28"/>
    <w:rsid w:val="00E3734B"/>
    <w:rsid w:val="00E41E7C"/>
    <w:rsid w:val="00E45D20"/>
    <w:rsid w:val="00E462A1"/>
    <w:rsid w:val="00E46782"/>
    <w:rsid w:val="00E51D7C"/>
    <w:rsid w:val="00E52320"/>
    <w:rsid w:val="00E53712"/>
    <w:rsid w:val="00E55005"/>
    <w:rsid w:val="00E55A5A"/>
    <w:rsid w:val="00E56826"/>
    <w:rsid w:val="00E62281"/>
    <w:rsid w:val="00E63622"/>
    <w:rsid w:val="00E652D7"/>
    <w:rsid w:val="00E663A5"/>
    <w:rsid w:val="00E6712C"/>
    <w:rsid w:val="00E6783C"/>
    <w:rsid w:val="00E721A9"/>
    <w:rsid w:val="00E75BFB"/>
    <w:rsid w:val="00E772C1"/>
    <w:rsid w:val="00E81195"/>
    <w:rsid w:val="00E815FE"/>
    <w:rsid w:val="00E82EE0"/>
    <w:rsid w:val="00E84692"/>
    <w:rsid w:val="00E84730"/>
    <w:rsid w:val="00E84D7B"/>
    <w:rsid w:val="00E84F67"/>
    <w:rsid w:val="00E8556A"/>
    <w:rsid w:val="00E85700"/>
    <w:rsid w:val="00E85E09"/>
    <w:rsid w:val="00E9042F"/>
    <w:rsid w:val="00E9382B"/>
    <w:rsid w:val="00E944C5"/>
    <w:rsid w:val="00E94EBF"/>
    <w:rsid w:val="00E96904"/>
    <w:rsid w:val="00E97CBD"/>
    <w:rsid w:val="00EA13B2"/>
    <w:rsid w:val="00EA2FAB"/>
    <w:rsid w:val="00EA679F"/>
    <w:rsid w:val="00EA6D7B"/>
    <w:rsid w:val="00EB2DA0"/>
    <w:rsid w:val="00EB3F54"/>
    <w:rsid w:val="00EB42CE"/>
    <w:rsid w:val="00EB5466"/>
    <w:rsid w:val="00EB577F"/>
    <w:rsid w:val="00EB62BD"/>
    <w:rsid w:val="00EB6FEC"/>
    <w:rsid w:val="00EB772E"/>
    <w:rsid w:val="00EB785C"/>
    <w:rsid w:val="00EC0C88"/>
    <w:rsid w:val="00EC1B82"/>
    <w:rsid w:val="00EC4E80"/>
    <w:rsid w:val="00EC7E4D"/>
    <w:rsid w:val="00EC7EFF"/>
    <w:rsid w:val="00ED1FF0"/>
    <w:rsid w:val="00EE0A6D"/>
    <w:rsid w:val="00EE24DF"/>
    <w:rsid w:val="00EE578C"/>
    <w:rsid w:val="00EE736F"/>
    <w:rsid w:val="00EF10B0"/>
    <w:rsid w:val="00EF22FE"/>
    <w:rsid w:val="00EF331A"/>
    <w:rsid w:val="00EF477C"/>
    <w:rsid w:val="00EF4C3E"/>
    <w:rsid w:val="00EF6209"/>
    <w:rsid w:val="00EF7EF7"/>
    <w:rsid w:val="00F0068D"/>
    <w:rsid w:val="00F00A6A"/>
    <w:rsid w:val="00F02260"/>
    <w:rsid w:val="00F04150"/>
    <w:rsid w:val="00F042D5"/>
    <w:rsid w:val="00F05263"/>
    <w:rsid w:val="00F066E6"/>
    <w:rsid w:val="00F06876"/>
    <w:rsid w:val="00F07048"/>
    <w:rsid w:val="00F147FA"/>
    <w:rsid w:val="00F2030A"/>
    <w:rsid w:val="00F2048A"/>
    <w:rsid w:val="00F20600"/>
    <w:rsid w:val="00F20682"/>
    <w:rsid w:val="00F2097C"/>
    <w:rsid w:val="00F20A86"/>
    <w:rsid w:val="00F218D0"/>
    <w:rsid w:val="00F263B1"/>
    <w:rsid w:val="00F26C18"/>
    <w:rsid w:val="00F26FCD"/>
    <w:rsid w:val="00F3250D"/>
    <w:rsid w:val="00F3306D"/>
    <w:rsid w:val="00F34F5C"/>
    <w:rsid w:val="00F3527A"/>
    <w:rsid w:val="00F36C1A"/>
    <w:rsid w:val="00F37642"/>
    <w:rsid w:val="00F37A3B"/>
    <w:rsid w:val="00F37D14"/>
    <w:rsid w:val="00F4044E"/>
    <w:rsid w:val="00F404CA"/>
    <w:rsid w:val="00F416EB"/>
    <w:rsid w:val="00F44EF8"/>
    <w:rsid w:val="00F46C03"/>
    <w:rsid w:val="00F51970"/>
    <w:rsid w:val="00F53643"/>
    <w:rsid w:val="00F547C3"/>
    <w:rsid w:val="00F55204"/>
    <w:rsid w:val="00F56D58"/>
    <w:rsid w:val="00F56F7C"/>
    <w:rsid w:val="00F574D0"/>
    <w:rsid w:val="00F612A8"/>
    <w:rsid w:val="00F61BB1"/>
    <w:rsid w:val="00F623A0"/>
    <w:rsid w:val="00F62AB0"/>
    <w:rsid w:val="00F63F7F"/>
    <w:rsid w:val="00F640F3"/>
    <w:rsid w:val="00F71BAC"/>
    <w:rsid w:val="00F73C56"/>
    <w:rsid w:val="00F740A8"/>
    <w:rsid w:val="00F77E17"/>
    <w:rsid w:val="00F77E30"/>
    <w:rsid w:val="00F77F9A"/>
    <w:rsid w:val="00F8103F"/>
    <w:rsid w:val="00F814AF"/>
    <w:rsid w:val="00F8153C"/>
    <w:rsid w:val="00F825C7"/>
    <w:rsid w:val="00F82C69"/>
    <w:rsid w:val="00F91D30"/>
    <w:rsid w:val="00F92942"/>
    <w:rsid w:val="00F93C93"/>
    <w:rsid w:val="00F9496C"/>
    <w:rsid w:val="00F95EA5"/>
    <w:rsid w:val="00F96111"/>
    <w:rsid w:val="00F9665A"/>
    <w:rsid w:val="00FA2442"/>
    <w:rsid w:val="00FA7BE7"/>
    <w:rsid w:val="00FB0081"/>
    <w:rsid w:val="00FB1CFD"/>
    <w:rsid w:val="00FB5F96"/>
    <w:rsid w:val="00FB6724"/>
    <w:rsid w:val="00FB6969"/>
    <w:rsid w:val="00FC030A"/>
    <w:rsid w:val="00FC0842"/>
    <w:rsid w:val="00FC29B5"/>
    <w:rsid w:val="00FD0526"/>
    <w:rsid w:val="00FD0A65"/>
    <w:rsid w:val="00FD1C7C"/>
    <w:rsid w:val="00FD1EDD"/>
    <w:rsid w:val="00FD6DA2"/>
    <w:rsid w:val="00FD7CD9"/>
    <w:rsid w:val="00FE0CB2"/>
    <w:rsid w:val="00FE51F8"/>
    <w:rsid w:val="00FE7B21"/>
    <w:rsid w:val="00FF2EB0"/>
    <w:rsid w:val="00FF413B"/>
    <w:rsid w:val="00FF540B"/>
    <w:rsid w:val="01F11B18"/>
    <w:rsid w:val="029F7BBA"/>
    <w:rsid w:val="03EF3EBE"/>
    <w:rsid w:val="06AB09E0"/>
    <w:rsid w:val="06ED7B55"/>
    <w:rsid w:val="08BB41C4"/>
    <w:rsid w:val="09A71DD4"/>
    <w:rsid w:val="09DB5A42"/>
    <w:rsid w:val="0B3B6E1E"/>
    <w:rsid w:val="0B683C73"/>
    <w:rsid w:val="0B801934"/>
    <w:rsid w:val="0BA83DBF"/>
    <w:rsid w:val="0C0000E3"/>
    <w:rsid w:val="0C002F86"/>
    <w:rsid w:val="0C1D28C8"/>
    <w:rsid w:val="0F281C8E"/>
    <w:rsid w:val="0F9A5C11"/>
    <w:rsid w:val="106E6475"/>
    <w:rsid w:val="11571580"/>
    <w:rsid w:val="12533C20"/>
    <w:rsid w:val="137228B7"/>
    <w:rsid w:val="13DF2F4B"/>
    <w:rsid w:val="147A7CA1"/>
    <w:rsid w:val="162D1484"/>
    <w:rsid w:val="17203968"/>
    <w:rsid w:val="176E6749"/>
    <w:rsid w:val="190943FD"/>
    <w:rsid w:val="194C41A2"/>
    <w:rsid w:val="19C911CE"/>
    <w:rsid w:val="19CC64C5"/>
    <w:rsid w:val="19E6543B"/>
    <w:rsid w:val="1A8846F7"/>
    <w:rsid w:val="1BA2279D"/>
    <w:rsid w:val="1BDD7480"/>
    <w:rsid w:val="1D0E671F"/>
    <w:rsid w:val="1D590126"/>
    <w:rsid w:val="1DC57DAF"/>
    <w:rsid w:val="1DFA6DC7"/>
    <w:rsid w:val="1E4E4D40"/>
    <w:rsid w:val="1F0B3FB7"/>
    <w:rsid w:val="20BF0E4A"/>
    <w:rsid w:val="219813EA"/>
    <w:rsid w:val="25186637"/>
    <w:rsid w:val="253533C5"/>
    <w:rsid w:val="256E139B"/>
    <w:rsid w:val="25986D72"/>
    <w:rsid w:val="25C07769"/>
    <w:rsid w:val="25C6791F"/>
    <w:rsid w:val="295D392A"/>
    <w:rsid w:val="2A5D3C60"/>
    <w:rsid w:val="2A7206A3"/>
    <w:rsid w:val="2ACC0667"/>
    <w:rsid w:val="2AEE502C"/>
    <w:rsid w:val="2B42677D"/>
    <w:rsid w:val="2B873022"/>
    <w:rsid w:val="2CF6456B"/>
    <w:rsid w:val="2E691D45"/>
    <w:rsid w:val="2FFC4700"/>
    <w:rsid w:val="312471AE"/>
    <w:rsid w:val="31557CCD"/>
    <w:rsid w:val="3217196E"/>
    <w:rsid w:val="32920CB3"/>
    <w:rsid w:val="32A84462"/>
    <w:rsid w:val="34660969"/>
    <w:rsid w:val="34B61A22"/>
    <w:rsid w:val="34CE3358"/>
    <w:rsid w:val="3581018C"/>
    <w:rsid w:val="35C75346"/>
    <w:rsid w:val="36585409"/>
    <w:rsid w:val="36F60A58"/>
    <w:rsid w:val="37601390"/>
    <w:rsid w:val="392C4A6D"/>
    <w:rsid w:val="39A44463"/>
    <w:rsid w:val="3AE15444"/>
    <w:rsid w:val="3BE20E40"/>
    <w:rsid w:val="3DB637BE"/>
    <w:rsid w:val="3F263985"/>
    <w:rsid w:val="4048469C"/>
    <w:rsid w:val="41D86A6A"/>
    <w:rsid w:val="459E2F7E"/>
    <w:rsid w:val="46C24E55"/>
    <w:rsid w:val="471A4266"/>
    <w:rsid w:val="482B4650"/>
    <w:rsid w:val="4B600FCC"/>
    <w:rsid w:val="4C71622C"/>
    <w:rsid w:val="4D735295"/>
    <w:rsid w:val="4D983E25"/>
    <w:rsid w:val="4E5237F7"/>
    <w:rsid w:val="4EAF01A5"/>
    <w:rsid w:val="50311597"/>
    <w:rsid w:val="504944AB"/>
    <w:rsid w:val="5123678D"/>
    <w:rsid w:val="530357AF"/>
    <w:rsid w:val="549254B8"/>
    <w:rsid w:val="56E1439E"/>
    <w:rsid w:val="57164316"/>
    <w:rsid w:val="581E0F10"/>
    <w:rsid w:val="585356D7"/>
    <w:rsid w:val="585356F2"/>
    <w:rsid w:val="59DF1227"/>
    <w:rsid w:val="5AF85669"/>
    <w:rsid w:val="5C93729E"/>
    <w:rsid w:val="5CF96949"/>
    <w:rsid w:val="5DAE40E6"/>
    <w:rsid w:val="5DB51860"/>
    <w:rsid w:val="5E3C5805"/>
    <w:rsid w:val="625F02AF"/>
    <w:rsid w:val="62B20BD0"/>
    <w:rsid w:val="62F26BD0"/>
    <w:rsid w:val="62FD772E"/>
    <w:rsid w:val="63371A62"/>
    <w:rsid w:val="63C302AB"/>
    <w:rsid w:val="6505341F"/>
    <w:rsid w:val="6566705C"/>
    <w:rsid w:val="65C74A5F"/>
    <w:rsid w:val="6BBC1E9A"/>
    <w:rsid w:val="6D925B1D"/>
    <w:rsid w:val="6DD37E7B"/>
    <w:rsid w:val="6DFD3B4E"/>
    <w:rsid w:val="6E0C50BA"/>
    <w:rsid w:val="6F425301"/>
    <w:rsid w:val="70712977"/>
    <w:rsid w:val="70EA1818"/>
    <w:rsid w:val="72EB1277"/>
    <w:rsid w:val="73C4583A"/>
    <w:rsid w:val="75A335AF"/>
    <w:rsid w:val="764C5F9F"/>
    <w:rsid w:val="769A17C7"/>
    <w:rsid w:val="793965D3"/>
    <w:rsid w:val="7A07406A"/>
    <w:rsid w:val="7A3B0BCF"/>
    <w:rsid w:val="7A45554D"/>
    <w:rsid w:val="7ACB0FD3"/>
    <w:rsid w:val="7C16483B"/>
    <w:rsid w:val="7DD07EAD"/>
    <w:rsid w:val="7F0864C5"/>
    <w:rsid w:val="7FD12041"/>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uiPriority="99" w:name="Normal Indent"/>
    <w:lsdException w:qFormat="1" w:unhideWhenUsed="0"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99" w:semiHidden="0" w:name="Emphasis"/>
    <w:lsdException w:qFormat="1" w:unhideWhenUsed="0"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paragraph" w:styleId="2">
    <w:name w:val="heading 1"/>
    <w:basedOn w:val="1"/>
    <w:next w:val="1"/>
    <w:link w:val="43"/>
    <w:qFormat/>
    <w:uiPriority w:val="99"/>
    <w:pPr>
      <w:keepNext/>
      <w:keepLines/>
      <w:widowControl w:val="0"/>
      <w:spacing w:before="340" w:after="330" w:line="576" w:lineRule="auto"/>
      <w:jc w:val="both"/>
      <w:outlineLvl w:val="0"/>
    </w:pPr>
    <w:rPr>
      <w:rFonts w:ascii="仿宋_GB2312" w:eastAsia="仿宋_GB2312" w:cs="Times New Roman"/>
      <w:b/>
      <w:color w:val="000000"/>
      <w:kern w:val="44"/>
      <w:sz w:val="44"/>
      <w:szCs w:val="20"/>
    </w:rPr>
  </w:style>
  <w:style w:type="paragraph" w:styleId="3">
    <w:name w:val="heading 2"/>
    <w:basedOn w:val="1"/>
    <w:next w:val="1"/>
    <w:link w:val="44"/>
    <w:qFormat/>
    <w:uiPriority w:val="99"/>
    <w:pPr>
      <w:keepNext/>
      <w:keepLines/>
      <w:widowControl w:val="0"/>
      <w:spacing w:before="260" w:after="260"/>
      <w:jc w:val="center"/>
      <w:outlineLvl w:val="1"/>
    </w:pPr>
    <w:rPr>
      <w:rFonts w:eastAsia="华文中宋" w:cs="Times New Roman"/>
      <w:b/>
      <w:bCs/>
      <w:sz w:val="30"/>
      <w:szCs w:val="44"/>
    </w:rPr>
  </w:style>
  <w:style w:type="paragraph" w:styleId="4">
    <w:name w:val="heading 3"/>
    <w:basedOn w:val="1"/>
    <w:next w:val="1"/>
    <w:link w:val="45"/>
    <w:qFormat/>
    <w:uiPriority w:val="99"/>
    <w:pPr>
      <w:keepNext/>
      <w:keepLines/>
      <w:widowControl w:val="0"/>
      <w:spacing w:before="260" w:after="260"/>
      <w:ind w:firstLine="200" w:firstLineChars="200"/>
      <w:jc w:val="center"/>
      <w:outlineLvl w:val="2"/>
    </w:pPr>
    <w:rPr>
      <w:rFonts w:ascii="Calibri" w:hAnsi="Calibri" w:eastAsia="黑体" w:cs="Times New Roman"/>
      <w:bCs/>
      <w:kern w:val="2"/>
      <w:sz w:val="30"/>
      <w:szCs w:val="32"/>
    </w:rPr>
  </w:style>
  <w:style w:type="paragraph" w:styleId="5">
    <w:name w:val="heading 4"/>
    <w:basedOn w:val="4"/>
    <w:next w:val="1"/>
    <w:link w:val="46"/>
    <w:qFormat/>
    <w:uiPriority w:val="99"/>
    <w:pPr>
      <w:spacing w:before="280" w:after="290"/>
      <w:jc w:val="left"/>
      <w:outlineLvl w:val="3"/>
    </w:pPr>
    <w:rPr>
      <w:rFonts w:ascii="Cambria" w:hAnsi="Cambria" w:eastAsia="仿宋_GB2312"/>
      <w:b/>
      <w:szCs w:val="28"/>
    </w:rPr>
  </w:style>
  <w:style w:type="paragraph" w:styleId="6">
    <w:name w:val="heading 5"/>
    <w:basedOn w:val="1"/>
    <w:next w:val="1"/>
    <w:link w:val="47"/>
    <w:qFormat/>
    <w:uiPriority w:val="99"/>
    <w:pPr>
      <w:keepNext/>
      <w:keepLines/>
      <w:widowControl w:val="0"/>
      <w:spacing w:before="280" w:after="290" w:line="376" w:lineRule="auto"/>
      <w:jc w:val="both"/>
      <w:outlineLvl w:val="4"/>
    </w:pPr>
    <w:rPr>
      <w:rFonts w:ascii="Calibri" w:hAnsi="Calibri" w:cs="Times New Roman"/>
      <w:b/>
      <w:bCs/>
      <w:kern w:val="2"/>
      <w:sz w:val="28"/>
      <w:szCs w:val="28"/>
    </w:rPr>
  </w:style>
  <w:style w:type="paragraph" w:styleId="7">
    <w:name w:val="heading 6"/>
    <w:basedOn w:val="1"/>
    <w:next w:val="1"/>
    <w:link w:val="48"/>
    <w:qFormat/>
    <w:uiPriority w:val="99"/>
    <w:pPr>
      <w:keepNext/>
      <w:keepLines/>
      <w:widowControl w:val="0"/>
      <w:spacing w:before="240" w:after="64" w:line="319" w:lineRule="auto"/>
      <w:ind w:left="1276"/>
      <w:jc w:val="both"/>
      <w:outlineLvl w:val="5"/>
    </w:pPr>
    <w:rPr>
      <w:rFonts w:ascii="Arial" w:hAnsi="Arial" w:eastAsia="仿宋_GB2312" w:cs="Times New Roman"/>
      <w:b/>
      <w:bCs/>
      <w:color w:val="000000"/>
      <w:kern w:val="16"/>
      <w:sz w:val="30"/>
      <w:szCs w:val="30"/>
    </w:rPr>
  </w:style>
  <w:style w:type="paragraph" w:styleId="8">
    <w:name w:val="heading 7"/>
    <w:basedOn w:val="1"/>
    <w:next w:val="1"/>
    <w:link w:val="49"/>
    <w:qFormat/>
    <w:uiPriority w:val="99"/>
    <w:pPr>
      <w:keepNext/>
      <w:keepLines/>
      <w:widowControl w:val="0"/>
      <w:spacing w:before="240" w:after="64" w:line="319" w:lineRule="auto"/>
      <w:ind w:left="1276"/>
      <w:jc w:val="both"/>
      <w:outlineLvl w:val="6"/>
    </w:pPr>
    <w:rPr>
      <w:rFonts w:ascii="仿宋_GB2312" w:eastAsia="仿宋_GB2312" w:cs="Times New Roman"/>
      <w:b/>
      <w:bCs/>
      <w:color w:val="000000"/>
      <w:kern w:val="16"/>
      <w:sz w:val="30"/>
      <w:szCs w:val="30"/>
    </w:rPr>
  </w:style>
  <w:style w:type="paragraph" w:styleId="9">
    <w:name w:val="heading 8"/>
    <w:basedOn w:val="1"/>
    <w:next w:val="1"/>
    <w:link w:val="50"/>
    <w:qFormat/>
    <w:uiPriority w:val="99"/>
    <w:pPr>
      <w:keepNext/>
      <w:keepLines/>
      <w:widowControl w:val="0"/>
      <w:spacing w:before="240" w:after="64" w:line="320" w:lineRule="auto"/>
      <w:jc w:val="both"/>
      <w:outlineLvl w:val="7"/>
    </w:pPr>
    <w:rPr>
      <w:rFonts w:ascii="Cambria" w:hAnsi="Cambria" w:cs="Times New Roman"/>
      <w:kern w:val="2"/>
    </w:rPr>
  </w:style>
  <w:style w:type="paragraph" w:styleId="10">
    <w:name w:val="heading 9"/>
    <w:basedOn w:val="1"/>
    <w:next w:val="1"/>
    <w:link w:val="51"/>
    <w:qFormat/>
    <w:uiPriority w:val="99"/>
    <w:pPr>
      <w:overflowPunct w:val="0"/>
      <w:autoSpaceDE w:val="0"/>
      <w:autoSpaceDN w:val="0"/>
      <w:adjustRightInd w:val="0"/>
      <w:spacing w:before="240" w:after="60" w:line="360" w:lineRule="auto"/>
      <w:ind w:left="1276"/>
      <w:jc w:val="both"/>
      <w:textAlignment w:val="baseline"/>
      <w:outlineLvl w:val="8"/>
    </w:pPr>
    <w:rPr>
      <w:rFonts w:ascii="Arial" w:hAnsi="Arial" w:eastAsia="仿宋_GB2312" w:cs="Times New Roman"/>
      <w:i/>
      <w:iCs/>
      <w:color w:val="000000"/>
      <w:sz w:val="18"/>
      <w:szCs w:val="18"/>
    </w:rPr>
  </w:style>
  <w:style w:type="character" w:default="1" w:styleId="36">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99"/>
    <w:pPr>
      <w:ind w:left="1440"/>
    </w:pPr>
    <w:rPr>
      <w:rFonts w:asciiTheme="minorHAnsi" w:hAnsiTheme="minorHAnsi" w:cstheme="minorHAnsi"/>
      <w:sz w:val="18"/>
      <w:szCs w:val="18"/>
    </w:rPr>
  </w:style>
  <w:style w:type="paragraph" w:styleId="12">
    <w:name w:val="Document Map"/>
    <w:basedOn w:val="1"/>
    <w:link w:val="107"/>
    <w:semiHidden/>
    <w:qFormat/>
    <w:uiPriority w:val="99"/>
    <w:pPr>
      <w:widowControl w:val="0"/>
      <w:jc w:val="both"/>
    </w:pPr>
    <w:rPr>
      <w:rFonts w:hAnsi="Calibri" w:cs="Times New Roman"/>
      <w:kern w:val="2"/>
      <w:sz w:val="18"/>
      <w:szCs w:val="20"/>
    </w:rPr>
  </w:style>
  <w:style w:type="paragraph" w:styleId="13">
    <w:name w:val="annotation text"/>
    <w:basedOn w:val="1"/>
    <w:link w:val="127"/>
    <w:semiHidden/>
    <w:qFormat/>
    <w:uiPriority w:val="99"/>
    <w:pPr>
      <w:widowControl w:val="0"/>
    </w:pPr>
    <w:rPr>
      <w:rFonts w:ascii="仿宋_GB2312" w:eastAsia="仿宋_GB2312" w:cs="Times New Roman"/>
      <w:color w:val="000000"/>
      <w:kern w:val="16"/>
      <w:sz w:val="30"/>
      <w:szCs w:val="30"/>
    </w:rPr>
  </w:style>
  <w:style w:type="paragraph" w:styleId="14">
    <w:name w:val="Body Text"/>
    <w:basedOn w:val="1"/>
    <w:qFormat/>
    <w:uiPriority w:val="1"/>
    <w:pPr>
      <w:spacing w:before="61"/>
      <w:ind w:left="117"/>
    </w:pPr>
    <w:rPr>
      <w:sz w:val="30"/>
      <w:szCs w:val="30"/>
    </w:rPr>
  </w:style>
  <w:style w:type="paragraph" w:styleId="15">
    <w:name w:val="Body Text Indent"/>
    <w:basedOn w:val="1"/>
    <w:link w:val="126"/>
    <w:qFormat/>
    <w:uiPriority w:val="99"/>
    <w:pPr>
      <w:widowControl w:val="0"/>
      <w:ind w:firstLine="600" w:firstLineChars="200"/>
      <w:jc w:val="both"/>
    </w:pPr>
    <w:rPr>
      <w:rFonts w:ascii="仿宋_GB2312" w:hAnsi="Calibri" w:eastAsia="仿宋_GB2312" w:cs="Times New Roman"/>
      <w:sz w:val="30"/>
      <w:szCs w:val="20"/>
    </w:rPr>
  </w:style>
  <w:style w:type="paragraph" w:styleId="16">
    <w:name w:val="toc 5"/>
    <w:basedOn w:val="1"/>
    <w:next w:val="1"/>
    <w:qFormat/>
    <w:uiPriority w:val="99"/>
    <w:pPr>
      <w:ind w:left="960"/>
    </w:pPr>
    <w:rPr>
      <w:rFonts w:asciiTheme="minorHAnsi" w:hAnsiTheme="minorHAnsi" w:cstheme="minorHAnsi"/>
      <w:sz w:val="18"/>
      <w:szCs w:val="18"/>
    </w:rPr>
  </w:style>
  <w:style w:type="paragraph" w:styleId="17">
    <w:name w:val="toc 3"/>
    <w:basedOn w:val="1"/>
    <w:next w:val="1"/>
    <w:link w:val="112"/>
    <w:qFormat/>
    <w:uiPriority w:val="39"/>
    <w:pPr>
      <w:ind w:left="480"/>
    </w:pPr>
    <w:rPr>
      <w:rFonts w:asciiTheme="minorHAnsi" w:hAnsiTheme="minorHAnsi" w:cstheme="minorHAnsi"/>
      <w:i/>
      <w:iCs/>
      <w:sz w:val="20"/>
      <w:szCs w:val="20"/>
    </w:rPr>
  </w:style>
  <w:style w:type="paragraph" w:styleId="18">
    <w:name w:val="toc 8"/>
    <w:basedOn w:val="1"/>
    <w:next w:val="1"/>
    <w:qFormat/>
    <w:uiPriority w:val="99"/>
    <w:pPr>
      <w:ind w:left="1680"/>
    </w:pPr>
    <w:rPr>
      <w:rFonts w:asciiTheme="minorHAnsi" w:hAnsiTheme="minorHAnsi" w:cstheme="minorHAnsi"/>
      <w:sz w:val="18"/>
      <w:szCs w:val="18"/>
    </w:rPr>
  </w:style>
  <w:style w:type="paragraph" w:styleId="19">
    <w:name w:val="Body Text Indent 2"/>
    <w:basedOn w:val="1"/>
    <w:qFormat/>
    <w:uiPriority w:val="0"/>
    <w:pPr>
      <w:spacing w:after="120" w:line="480" w:lineRule="auto"/>
      <w:ind w:left="420" w:leftChars="200"/>
    </w:pPr>
  </w:style>
  <w:style w:type="paragraph" w:styleId="20">
    <w:name w:val="Balloon Text"/>
    <w:basedOn w:val="1"/>
    <w:link w:val="103"/>
    <w:semiHidden/>
    <w:qFormat/>
    <w:uiPriority w:val="99"/>
    <w:pPr>
      <w:widowControl w:val="0"/>
      <w:jc w:val="both"/>
    </w:pPr>
    <w:rPr>
      <w:rFonts w:ascii="Calibri" w:hAnsi="Calibri" w:cs="Times New Roman"/>
      <w:kern w:val="2"/>
      <w:sz w:val="18"/>
      <w:szCs w:val="20"/>
    </w:rPr>
  </w:style>
  <w:style w:type="paragraph" w:styleId="21">
    <w:name w:val="footer"/>
    <w:basedOn w:val="1"/>
    <w:link w:val="76"/>
    <w:qFormat/>
    <w:uiPriority w:val="99"/>
    <w:pPr>
      <w:tabs>
        <w:tab w:val="center" w:pos="4153"/>
        <w:tab w:val="right" w:pos="8306"/>
      </w:tabs>
      <w:snapToGrid w:val="0"/>
    </w:pPr>
    <w:rPr>
      <w:rFonts w:cs="Times New Roman"/>
      <w:sz w:val="18"/>
      <w:szCs w:val="18"/>
    </w:rPr>
  </w:style>
  <w:style w:type="paragraph" w:styleId="22">
    <w:name w:val="header"/>
    <w:basedOn w:val="1"/>
    <w:link w:val="75"/>
    <w:qFormat/>
    <w:uiPriority w:val="99"/>
    <w:pPr>
      <w:pBdr>
        <w:bottom w:val="single" w:color="auto" w:sz="6" w:space="1"/>
      </w:pBdr>
      <w:tabs>
        <w:tab w:val="center" w:pos="4153"/>
        <w:tab w:val="right" w:pos="8306"/>
      </w:tabs>
      <w:snapToGrid w:val="0"/>
      <w:jc w:val="center"/>
    </w:pPr>
    <w:rPr>
      <w:rFonts w:cs="Times New Roman"/>
      <w:sz w:val="18"/>
      <w:szCs w:val="18"/>
    </w:rPr>
  </w:style>
  <w:style w:type="paragraph" w:styleId="23">
    <w:name w:val="toc 1"/>
    <w:basedOn w:val="17"/>
    <w:next w:val="1"/>
    <w:link w:val="113"/>
    <w:qFormat/>
    <w:uiPriority w:val="39"/>
    <w:pPr>
      <w:spacing w:before="120" w:after="120"/>
      <w:ind w:left="0"/>
    </w:pPr>
    <w:rPr>
      <w:b/>
      <w:bCs/>
      <w:i w:val="0"/>
      <w:iCs w:val="0"/>
      <w:caps/>
    </w:rPr>
  </w:style>
  <w:style w:type="paragraph" w:styleId="24">
    <w:name w:val="toc 4"/>
    <w:basedOn w:val="1"/>
    <w:next w:val="1"/>
    <w:qFormat/>
    <w:uiPriority w:val="39"/>
    <w:pPr>
      <w:ind w:left="720"/>
    </w:pPr>
    <w:rPr>
      <w:rFonts w:asciiTheme="minorHAnsi" w:hAnsiTheme="minorHAnsi" w:cstheme="minorHAnsi"/>
      <w:sz w:val="18"/>
      <w:szCs w:val="18"/>
    </w:rPr>
  </w:style>
  <w:style w:type="paragraph" w:styleId="25">
    <w:name w:val="Subtitle"/>
    <w:basedOn w:val="1"/>
    <w:next w:val="1"/>
    <w:link w:val="109"/>
    <w:qFormat/>
    <w:uiPriority w:val="99"/>
    <w:pPr>
      <w:widowControl w:val="0"/>
      <w:spacing w:before="240" w:after="60" w:line="312" w:lineRule="auto"/>
      <w:jc w:val="center"/>
      <w:outlineLvl w:val="1"/>
    </w:pPr>
    <w:rPr>
      <w:rFonts w:ascii="Cambria" w:hAnsi="Cambria" w:cs="Times New Roman"/>
      <w:b/>
      <w:bCs/>
      <w:kern w:val="28"/>
      <w:sz w:val="30"/>
      <w:szCs w:val="32"/>
    </w:rPr>
  </w:style>
  <w:style w:type="paragraph" w:styleId="26">
    <w:name w:val="footnote text"/>
    <w:basedOn w:val="1"/>
    <w:link w:val="105"/>
    <w:semiHidden/>
    <w:qFormat/>
    <w:uiPriority w:val="99"/>
    <w:pPr>
      <w:widowControl w:val="0"/>
      <w:snapToGrid w:val="0"/>
    </w:pPr>
    <w:rPr>
      <w:rFonts w:ascii="Calibri" w:hAnsi="Calibri" w:cs="Times New Roman"/>
      <w:kern w:val="2"/>
      <w:sz w:val="18"/>
      <w:szCs w:val="20"/>
    </w:rPr>
  </w:style>
  <w:style w:type="paragraph" w:styleId="27">
    <w:name w:val="toc 6"/>
    <w:basedOn w:val="1"/>
    <w:next w:val="1"/>
    <w:qFormat/>
    <w:uiPriority w:val="99"/>
    <w:pPr>
      <w:ind w:left="1200"/>
    </w:pPr>
    <w:rPr>
      <w:rFonts w:asciiTheme="minorHAnsi" w:hAnsiTheme="minorHAnsi" w:cstheme="minorHAnsi"/>
      <w:sz w:val="18"/>
      <w:szCs w:val="18"/>
    </w:rPr>
  </w:style>
  <w:style w:type="paragraph" w:styleId="28">
    <w:name w:val="toc 2"/>
    <w:basedOn w:val="23"/>
    <w:next w:val="1"/>
    <w:link w:val="114"/>
    <w:qFormat/>
    <w:uiPriority w:val="39"/>
    <w:pPr>
      <w:spacing w:before="0" w:after="0"/>
      <w:ind w:left="240"/>
    </w:pPr>
    <w:rPr>
      <w:b w:val="0"/>
      <w:bCs w:val="0"/>
      <w:caps w:val="0"/>
      <w:smallCaps/>
    </w:rPr>
  </w:style>
  <w:style w:type="paragraph" w:styleId="29">
    <w:name w:val="toc 9"/>
    <w:basedOn w:val="1"/>
    <w:next w:val="1"/>
    <w:qFormat/>
    <w:uiPriority w:val="99"/>
    <w:pPr>
      <w:ind w:left="1920"/>
    </w:pPr>
    <w:rPr>
      <w:rFonts w:asciiTheme="minorHAnsi" w:hAnsiTheme="minorHAnsi" w:cstheme="minorHAnsi"/>
      <w:sz w:val="18"/>
      <w:szCs w:val="18"/>
    </w:rPr>
  </w:style>
  <w:style w:type="paragraph" w:styleId="30">
    <w:name w:val="HTML Preformatted"/>
    <w:basedOn w:val="1"/>
    <w:link w:val="140"/>
    <w:semiHidden/>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cs="Times New Roman"/>
    </w:rPr>
  </w:style>
  <w:style w:type="paragraph" w:styleId="31">
    <w:name w:val="Normal (Web)"/>
    <w:basedOn w:val="1"/>
    <w:qFormat/>
    <w:uiPriority w:val="99"/>
    <w:pPr>
      <w:spacing w:before="100" w:beforeAutospacing="1" w:after="100" w:afterAutospacing="1"/>
    </w:pPr>
  </w:style>
  <w:style w:type="paragraph" w:styleId="32">
    <w:name w:val="Title"/>
    <w:basedOn w:val="1"/>
    <w:next w:val="1"/>
    <w:link w:val="108"/>
    <w:qFormat/>
    <w:uiPriority w:val="99"/>
    <w:pPr>
      <w:widowControl w:val="0"/>
      <w:spacing w:before="240" w:after="60"/>
      <w:jc w:val="center"/>
      <w:outlineLvl w:val="0"/>
    </w:pPr>
    <w:rPr>
      <w:rFonts w:ascii="Cambria" w:hAnsi="Cambria" w:cs="Times New Roman"/>
      <w:b/>
      <w:bCs/>
      <w:kern w:val="2"/>
      <w:sz w:val="32"/>
      <w:szCs w:val="32"/>
    </w:rPr>
  </w:style>
  <w:style w:type="paragraph" w:styleId="33">
    <w:name w:val="annotation subject"/>
    <w:basedOn w:val="13"/>
    <w:next w:val="13"/>
    <w:link w:val="128"/>
    <w:semiHidden/>
    <w:qFormat/>
    <w:uiPriority w:val="99"/>
    <w:rPr>
      <w:b/>
      <w:bCs/>
    </w:rPr>
  </w:style>
  <w:style w:type="table" w:styleId="35">
    <w:name w:val="Table Grid"/>
    <w:basedOn w:val="34"/>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locked/>
    <w:uiPriority w:val="0"/>
    <w:rPr>
      <w:b/>
      <w:bCs/>
    </w:rPr>
  </w:style>
  <w:style w:type="character" w:styleId="38">
    <w:name w:val="page number"/>
    <w:basedOn w:val="36"/>
    <w:qFormat/>
    <w:uiPriority w:val="99"/>
    <w:rPr>
      <w:rFonts w:eastAsia="宋体" w:cs="Times New Roman"/>
      <w:kern w:val="2"/>
      <w:sz w:val="24"/>
      <w:lang w:val="en-US" w:eastAsia="zh-CN"/>
    </w:rPr>
  </w:style>
  <w:style w:type="character" w:styleId="39">
    <w:name w:val="Emphasis"/>
    <w:basedOn w:val="36"/>
    <w:qFormat/>
    <w:uiPriority w:val="99"/>
    <w:rPr>
      <w:rFonts w:cs="Times New Roman"/>
      <w:i/>
    </w:rPr>
  </w:style>
  <w:style w:type="character" w:styleId="40">
    <w:name w:val="Hyperlink"/>
    <w:basedOn w:val="36"/>
    <w:qFormat/>
    <w:uiPriority w:val="99"/>
    <w:rPr>
      <w:rFonts w:cs="Times New Roman"/>
      <w:color w:val="0000FF"/>
      <w:u w:val="single"/>
    </w:rPr>
  </w:style>
  <w:style w:type="character" w:styleId="41">
    <w:name w:val="annotation reference"/>
    <w:basedOn w:val="36"/>
    <w:semiHidden/>
    <w:qFormat/>
    <w:uiPriority w:val="99"/>
    <w:rPr>
      <w:rFonts w:eastAsia="宋体" w:cs="Times New Roman"/>
      <w:kern w:val="2"/>
      <w:sz w:val="21"/>
      <w:lang w:val="en-US" w:eastAsia="zh-CN"/>
    </w:rPr>
  </w:style>
  <w:style w:type="character" w:styleId="42">
    <w:name w:val="footnote reference"/>
    <w:basedOn w:val="36"/>
    <w:semiHidden/>
    <w:qFormat/>
    <w:uiPriority w:val="99"/>
    <w:rPr>
      <w:rFonts w:eastAsia="宋体" w:cs="Times New Roman"/>
      <w:kern w:val="2"/>
      <w:sz w:val="24"/>
      <w:vertAlign w:val="superscript"/>
      <w:lang w:val="en-US" w:eastAsia="zh-CN"/>
    </w:rPr>
  </w:style>
  <w:style w:type="character" w:customStyle="1" w:styleId="43">
    <w:name w:val="标题 1 字符"/>
    <w:basedOn w:val="36"/>
    <w:link w:val="2"/>
    <w:qFormat/>
    <w:locked/>
    <w:uiPriority w:val="99"/>
    <w:rPr>
      <w:rFonts w:ascii="仿宋_GB2312" w:hAnsi="宋体" w:eastAsia="仿宋_GB2312"/>
      <w:b/>
      <w:color w:val="000000"/>
      <w:kern w:val="44"/>
      <w:sz w:val="44"/>
    </w:rPr>
  </w:style>
  <w:style w:type="character" w:customStyle="1" w:styleId="44">
    <w:name w:val="标题 2 字符"/>
    <w:basedOn w:val="36"/>
    <w:link w:val="3"/>
    <w:qFormat/>
    <w:locked/>
    <w:uiPriority w:val="99"/>
    <w:rPr>
      <w:rFonts w:ascii="宋体" w:hAnsi="宋体" w:eastAsia="华文中宋"/>
      <w:b/>
      <w:bCs/>
      <w:sz w:val="30"/>
      <w:szCs w:val="44"/>
    </w:rPr>
  </w:style>
  <w:style w:type="character" w:customStyle="1" w:styleId="45">
    <w:name w:val="标题 3 字符"/>
    <w:basedOn w:val="36"/>
    <w:link w:val="4"/>
    <w:qFormat/>
    <w:locked/>
    <w:uiPriority w:val="99"/>
    <w:rPr>
      <w:rFonts w:ascii="Calibri" w:hAnsi="Calibri" w:eastAsia="黑体"/>
      <w:kern w:val="2"/>
      <w:sz w:val="32"/>
    </w:rPr>
  </w:style>
  <w:style w:type="character" w:customStyle="1" w:styleId="46">
    <w:name w:val="标题 4 字符"/>
    <w:basedOn w:val="36"/>
    <w:link w:val="5"/>
    <w:qFormat/>
    <w:locked/>
    <w:uiPriority w:val="99"/>
    <w:rPr>
      <w:rFonts w:ascii="Cambria" w:hAnsi="Cambria" w:eastAsia="仿宋_GB2312"/>
      <w:b/>
      <w:kern w:val="2"/>
      <w:sz w:val="28"/>
    </w:rPr>
  </w:style>
  <w:style w:type="character" w:customStyle="1" w:styleId="47">
    <w:name w:val="标题 5 字符"/>
    <w:basedOn w:val="36"/>
    <w:link w:val="6"/>
    <w:qFormat/>
    <w:locked/>
    <w:uiPriority w:val="99"/>
    <w:rPr>
      <w:rFonts w:ascii="Calibri" w:hAnsi="Calibri"/>
      <w:b/>
      <w:kern w:val="2"/>
      <w:sz w:val="28"/>
    </w:rPr>
  </w:style>
  <w:style w:type="character" w:customStyle="1" w:styleId="48">
    <w:name w:val="标题 6 字符"/>
    <w:basedOn w:val="36"/>
    <w:link w:val="7"/>
    <w:qFormat/>
    <w:locked/>
    <w:uiPriority w:val="99"/>
    <w:rPr>
      <w:rFonts w:ascii="Arial" w:hAnsi="Arial" w:eastAsia="仿宋_GB2312"/>
      <w:b/>
      <w:color w:val="000000"/>
      <w:kern w:val="16"/>
      <w:sz w:val="30"/>
    </w:rPr>
  </w:style>
  <w:style w:type="character" w:customStyle="1" w:styleId="49">
    <w:name w:val="标题 7 字符"/>
    <w:basedOn w:val="36"/>
    <w:link w:val="8"/>
    <w:qFormat/>
    <w:locked/>
    <w:uiPriority w:val="99"/>
    <w:rPr>
      <w:rFonts w:ascii="仿宋_GB2312" w:hAnsi="宋体" w:eastAsia="仿宋_GB2312"/>
      <w:b/>
      <w:color w:val="000000"/>
      <w:kern w:val="16"/>
      <w:sz w:val="30"/>
    </w:rPr>
  </w:style>
  <w:style w:type="character" w:customStyle="1" w:styleId="50">
    <w:name w:val="标题 8 字符"/>
    <w:basedOn w:val="36"/>
    <w:link w:val="9"/>
    <w:qFormat/>
    <w:locked/>
    <w:uiPriority w:val="99"/>
    <w:rPr>
      <w:rFonts w:ascii="Cambria" w:hAnsi="Cambria" w:eastAsia="宋体"/>
      <w:kern w:val="2"/>
      <w:sz w:val="24"/>
    </w:rPr>
  </w:style>
  <w:style w:type="character" w:customStyle="1" w:styleId="51">
    <w:name w:val="标题 9 字符"/>
    <w:basedOn w:val="36"/>
    <w:link w:val="10"/>
    <w:qFormat/>
    <w:locked/>
    <w:uiPriority w:val="99"/>
    <w:rPr>
      <w:rFonts w:ascii="Arial" w:hAnsi="Arial" w:eastAsia="仿宋_GB2312"/>
      <w:i/>
      <w:color w:val="000000"/>
      <w:sz w:val="18"/>
    </w:rPr>
  </w:style>
  <w:style w:type="paragraph" w:customStyle="1" w:styleId="52">
    <w:name w:val="font52478"/>
    <w:basedOn w:val="1"/>
    <w:qFormat/>
    <w:uiPriority w:val="99"/>
    <w:pPr>
      <w:spacing w:before="100" w:beforeAutospacing="1" w:after="100" w:afterAutospacing="1"/>
    </w:pPr>
    <w:rPr>
      <w:sz w:val="18"/>
      <w:szCs w:val="18"/>
    </w:rPr>
  </w:style>
  <w:style w:type="paragraph" w:customStyle="1" w:styleId="53">
    <w:name w:val="xl85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sz w:val="20"/>
      <w:szCs w:val="20"/>
    </w:rPr>
  </w:style>
  <w:style w:type="paragraph" w:customStyle="1" w:styleId="54">
    <w:name w:val="xl86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sz w:val="20"/>
      <w:szCs w:val="20"/>
    </w:rPr>
  </w:style>
  <w:style w:type="paragraph" w:customStyle="1" w:styleId="55">
    <w:name w:val="xl872478"/>
    <w:basedOn w:val="1"/>
    <w:qFormat/>
    <w:uiPriority w:val="99"/>
    <w:pPr>
      <w:spacing w:before="100" w:beforeAutospacing="1" w:after="100" w:afterAutospacing="1"/>
      <w:textAlignment w:val="center"/>
    </w:pPr>
    <w:rPr>
      <w:color w:val="000000"/>
      <w:sz w:val="22"/>
      <w:szCs w:val="22"/>
    </w:rPr>
  </w:style>
  <w:style w:type="paragraph" w:customStyle="1" w:styleId="56">
    <w:name w:val="xl88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color w:val="000000"/>
      <w:sz w:val="20"/>
      <w:szCs w:val="20"/>
    </w:rPr>
  </w:style>
  <w:style w:type="paragraph" w:customStyle="1" w:styleId="57">
    <w:name w:val="xl892478"/>
    <w:basedOn w:val="1"/>
    <w:qFormat/>
    <w:uiPriority w:val="99"/>
    <w:pPr>
      <w:spacing w:before="100" w:beforeAutospacing="1" w:after="100" w:afterAutospacing="1"/>
      <w:textAlignment w:val="center"/>
    </w:pPr>
    <w:rPr>
      <w:color w:val="000000"/>
      <w:sz w:val="20"/>
      <w:szCs w:val="20"/>
    </w:rPr>
  </w:style>
  <w:style w:type="paragraph" w:customStyle="1" w:styleId="58">
    <w:name w:val="xl902478"/>
    <w:basedOn w:val="1"/>
    <w:qFormat/>
    <w:uiPriority w:val="99"/>
    <w:pPr>
      <w:spacing w:before="100" w:beforeAutospacing="1" w:after="100" w:afterAutospacing="1"/>
      <w:textAlignment w:val="center"/>
    </w:pPr>
    <w:rPr>
      <w:b/>
      <w:bCs/>
      <w:color w:val="000000"/>
      <w:sz w:val="20"/>
      <w:szCs w:val="20"/>
    </w:rPr>
  </w:style>
  <w:style w:type="paragraph" w:customStyle="1" w:styleId="59">
    <w:name w:val="xl912478"/>
    <w:basedOn w:val="1"/>
    <w:qFormat/>
    <w:uiPriority w:val="99"/>
    <w:pPr>
      <w:pBdr>
        <w:bottom w:val="single" w:color="auto" w:sz="4" w:space="0"/>
      </w:pBdr>
      <w:spacing w:before="100" w:beforeAutospacing="1" w:after="100" w:afterAutospacing="1"/>
      <w:jc w:val="center"/>
      <w:textAlignment w:val="center"/>
    </w:pPr>
    <w:rPr>
      <w:b/>
      <w:bCs/>
      <w:sz w:val="32"/>
      <w:szCs w:val="32"/>
    </w:rPr>
  </w:style>
  <w:style w:type="paragraph" w:customStyle="1" w:styleId="60">
    <w:name w:val="xl922478"/>
    <w:basedOn w:val="1"/>
    <w:qFormat/>
    <w:uiPriority w:val="99"/>
    <w:pPr>
      <w:spacing w:before="100" w:beforeAutospacing="1" w:after="100" w:afterAutospacing="1"/>
      <w:textAlignment w:val="center"/>
    </w:pPr>
    <w:rPr>
      <w:rFonts w:ascii="黑体" w:hAnsi="黑体" w:eastAsia="黑体"/>
      <w:color w:val="000000"/>
      <w:sz w:val="22"/>
      <w:szCs w:val="22"/>
    </w:rPr>
  </w:style>
  <w:style w:type="paragraph" w:customStyle="1" w:styleId="61">
    <w:name w:val="xl93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sz w:val="22"/>
      <w:szCs w:val="22"/>
    </w:rPr>
  </w:style>
  <w:style w:type="paragraph" w:customStyle="1" w:styleId="62">
    <w:name w:val="xl94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color w:val="000000"/>
      <w:sz w:val="22"/>
      <w:szCs w:val="22"/>
    </w:rPr>
  </w:style>
  <w:style w:type="paragraph" w:customStyle="1" w:styleId="63">
    <w:name w:val="xl952478"/>
    <w:basedOn w:val="1"/>
    <w:qFormat/>
    <w:uiPriority w:val="99"/>
    <w:pPr>
      <w:pBdr>
        <w:top w:val="single" w:color="auto" w:sz="4" w:space="1"/>
        <w:left w:val="single" w:color="auto" w:sz="4" w:space="1"/>
        <w:bottom w:val="single" w:color="auto" w:sz="4" w:space="0"/>
      </w:pBdr>
      <w:spacing w:before="100" w:beforeAutospacing="1" w:after="100" w:afterAutospacing="1"/>
      <w:jc w:val="center"/>
      <w:textAlignment w:val="center"/>
    </w:pPr>
    <w:rPr>
      <w:b/>
      <w:bCs/>
      <w:sz w:val="20"/>
      <w:szCs w:val="20"/>
    </w:rPr>
  </w:style>
  <w:style w:type="paragraph" w:customStyle="1" w:styleId="64">
    <w:name w:val="xl962478"/>
    <w:basedOn w:val="1"/>
    <w:qFormat/>
    <w:uiPriority w:val="99"/>
    <w:pPr>
      <w:pBdr>
        <w:top w:val="single" w:color="auto" w:sz="4" w:space="1"/>
        <w:bottom w:val="single" w:color="auto" w:sz="4" w:space="0"/>
      </w:pBdr>
      <w:spacing w:before="100" w:beforeAutospacing="1" w:after="100" w:afterAutospacing="1"/>
      <w:jc w:val="center"/>
      <w:textAlignment w:val="center"/>
    </w:pPr>
    <w:rPr>
      <w:b/>
      <w:bCs/>
      <w:sz w:val="20"/>
      <w:szCs w:val="20"/>
    </w:rPr>
  </w:style>
  <w:style w:type="paragraph" w:customStyle="1" w:styleId="65">
    <w:name w:val="xl972478"/>
    <w:basedOn w:val="1"/>
    <w:qFormat/>
    <w:uiPriority w:val="99"/>
    <w:pPr>
      <w:pBdr>
        <w:top w:val="single" w:color="auto" w:sz="4" w:space="1"/>
        <w:bottom w:val="single" w:color="auto" w:sz="4" w:space="0"/>
        <w:right w:val="single" w:color="auto" w:sz="4" w:space="1"/>
      </w:pBdr>
      <w:spacing w:before="100" w:beforeAutospacing="1" w:after="100" w:afterAutospacing="1"/>
      <w:jc w:val="center"/>
      <w:textAlignment w:val="center"/>
    </w:pPr>
    <w:rPr>
      <w:b/>
      <w:bCs/>
      <w:sz w:val="20"/>
      <w:szCs w:val="20"/>
    </w:rPr>
  </w:style>
  <w:style w:type="paragraph" w:customStyle="1" w:styleId="66">
    <w:name w:val="xl98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sz w:val="20"/>
      <w:szCs w:val="20"/>
    </w:rPr>
  </w:style>
  <w:style w:type="paragraph" w:customStyle="1" w:styleId="67">
    <w:name w:val="xl99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sz w:val="20"/>
      <w:szCs w:val="20"/>
    </w:rPr>
  </w:style>
  <w:style w:type="paragraph" w:customStyle="1" w:styleId="68">
    <w:name w:val="xl100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color w:val="000000"/>
      <w:sz w:val="20"/>
      <w:szCs w:val="20"/>
    </w:rPr>
  </w:style>
  <w:style w:type="paragraph" w:customStyle="1" w:styleId="69">
    <w:name w:val="xl101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color w:val="000000"/>
      <w:sz w:val="20"/>
      <w:szCs w:val="20"/>
    </w:rPr>
  </w:style>
  <w:style w:type="paragraph" w:customStyle="1" w:styleId="70">
    <w:name w:val="xl102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sz w:val="20"/>
      <w:szCs w:val="20"/>
    </w:rPr>
  </w:style>
  <w:style w:type="paragraph" w:customStyle="1" w:styleId="71">
    <w:name w:val="xl1032478"/>
    <w:basedOn w:val="1"/>
    <w:qFormat/>
    <w:uiPriority w:val="99"/>
    <w:pPr>
      <w:pBdr>
        <w:top w:val="single" w:color="auto" w:sz="4" w:space="1"/>
        <w:left w:val="single" w:color="auto" w:sz="4" w:space="1"/>
        <w:right w:val="single" w:color="auto" w:sz="4" w:space="1"/>
      </w:pBdr>
      <w:spacing w:before="100" w:beforeAutospacing="1" w:after="100" w:afterAutospacing="1"/>
      <w:jc w:val="center"/>
      <w:textAlignment w:val="center"/>
    </w:pPr>
    <w:rPr>
      <w:sz w:val="20"/>
      <w:szCs w:val="20"/>
    </w:rPr>
  </w:style>
  <w:style w:type="paragraph" w:customStyle="1" w:styleId="72">
    <w:name w:val="xl1042478"/>
    <w:basedOn w:val="1"/>
    <w:qFormat/>
    <w:uiPriority w:val="99"/>
    <w:pPr>
      <w:pBdr>
        <w:left w:val="single" w:color="auto" w:sz="4" w:space="1"/>
        <w:right w:val="single" w:color="auto" w:sz="4" w:space="1"/>
      </w:pBdr>
      <w:spacing w:before="100" w:beforeAutospacing="1" w:after="100" w:afterAutospacing="1"/>
      <w:jc w:val="center"/>
      <w:textAlignment w:val="center"/>
    </w:pPr>
    <w:rPr>
      <w:sz w:val="20"/>
      <w:szCs w:val="20"/>
    </w:rPr>
  </w:style>
  <w:style w:type="paragraph" w:customStyle="1" w:styleId="73">
    <w:name w:val="xl105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rFonts w:ascii="Arial" w:hAnsi="Arial" w:cs="Arial"/>
      <w:color w:val="000000"/>
      <w:sz w:val="20"/>
      <w:szCs w:val="20"/>
    </w:rPr>
  </w:style>
  <w:style w:type="paragraph" w:customStyle="1" w:styleId="74">
    <w:name w:val="xl106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color w:val="000000"/>
      <w:sz w:val="20"/>
      <w:szCs w:val="20"/>
    </w:rPr>
  </w:style>
  <w:style w:type="character" w:customStyle="1" w:styleId="75">
    <w:name w:val="页眉 字符"/>
    <w:basedOn w:val="36"/>
    <w:link w:val="22"/>
    <w:semiHidden/>
    <w:qFormat/>
    <w:locked/>
    <w:uiPriority w:val="99"/>
    <w:rPr>
      <w:rFonts w:ascii="宋体" w:hAnsi="宋体" w:eastAsia="宋体"/>
      <w:sz w:val="18"/>
    </w:rPr>
  </w:style>
  <w:style w:type="character" w:customStyle="1" w:styleId="76">
    <w:name w:val="页脚 字符"/>
    <w:basedOn w:val="36"/>
    <w:link w:val="21"/>
    <w:qFormat/>
    <w:locked/>
    <w:uiPriority w:val="99"/>
    <w:rPr>
      <w:rFonts w:ascii="宋体" w:hAnsi="宋体" w:eastAsia="宋体"/>
      <w:sz w:val="18"/>
    </w:rPr>
  </w:style>
  <w:style w:type="paragraph" w:customStyle="1" w:styleId="77">
    <w:name w:val="List Paragraph"/>
    <w:basedOn w:val="1"/>
    <w:qFormat/>
    <w:uiPriority w:val="99"/>
    <w:pPr>
      <w:ind w:firstLine="420" w:firstLineChars="200"/>
    </w:pPr>
  </w:style>
  <w:style w:type="paragraph" w:customStyle="1" w:styleId="78">
    <w:name w:val="font56441"/>
    <w:basedOn w:val="1"/>
    <w:qFormat/>
    <w:uiPriority w:val="99"/>
    <w:pPr>
      <w:spacing w:before="100" w:beforeAutospacing="1" w:after="100" w:afterAutospacing="1"/>
    </w:pPr>
    <w:rPr>
      <w:sz w:val="18"/>
      <w:szCs w:val="18"/>
    </w:rPr>
  </w:style>
  <w:style w:type="paragraph" w:customStyle="1" w:styleId="79">
    <w:name w:val="font66441"/>
    <w:basedOn w:val="1"/>
    <w:qFormat/>
    <w:uiPriority w:val="99"/>
    <w:pPr>
      <w:spacing w:before="100" w:beforeAutospacing="1" w:after="100" w:afterAutospacing="1"/>
    </w:pPr>
    <w:rPr>
      <w:sz w:val="18"/>
      <w:szCs w:val="18"/>
    </w:rPr>
  </w:style>
  <w:style w:type="paragraph" w:customStyle="1" w:styleId="80">
    <w:name w:val="xl756441"/>
    <w:basedOn w:val="1"/>
    <w:qFormat/>
    <w:uiPriority w:val="99"/>
    <w:pPr>
      <w:shd w:val="clear" w:color="000000" w:fill="FFFFFF"/>
      <w:spacing w:before="100" w:beforeAutospacing="1" w:after="100" w:afterAutospacing="1"/>
      <w:textAlignment w:val="center"/>
    </w:pPr>
    <w:rPr>
      <w:color w:val="000000"/>
      <w:sz w:val="20"/>
      <w:szCs w:val="20"/>
    </w:rPr>
  </w:style>
  <w:style w:type="paragraph" w:customStyle="1" w:styleId="81">
    <w:name w:val="xl766441"/>
    <w:basedOn w:val="1"/>
    <w:qFormat/>
    <w:uiPriority w:val="99"/>
    <w:pPr>
      <w:shd w:val="clear" w:color="000000" w:fill="FFFFFF"/>
      <w:spacing w:before="100" w:beforeAutospacing="1" w:after="100" w:afterAutospacing="1"/>
      <w:textAlignment w:val="center"/>
    </w:pPr>
    <w:rPr>
      <w:b/>
      <w:bCs/>
      <w:color w:val="000000"/>
      <w:sz w:val="20"/>
      <w:szCs w:val="20"/>
    </w:rPr>
  </w:style>
  <w:style w:type="paragraph" w:customStyle="1" w:styleId="82">
    <w:name w:val="xl776441"/>
    <w:basedOn w:val="1"/>
    <w:qFormat/>
    <w:uiPriority w:val="99"/>
    <w:pPr>
      <w:shd w:val="clear" w:color="000000" w:fill="FFFFFF"/>
      <w:spacing w:before="100" w:beforeAutospacing="1" w:after="100" w:afterAutospacing="1"/>
      <w:textAlignment w:val="center"/>
    </w:pPr>
    <w:rPr>
      <w:color w:val="000000"/>
      <w:sz w:val="22"/>
      <w:szCs w:val="22"/>
    </w:rPr>
  </w:style>
  <w:style w:type="paragraph" w:customStyle="1" w:styleId="83">
    <w:name w:val="xl786441"/>
    <w:basedOn w:val="1"/>
    <w:qFormat/>
    <w:uiPriority w:val="99"/>
    <w:pPr>
      <w:shd w:val="clear" w:color="000000" w:fill="FFFFFF"/>
      <w:spacing w:before="100" w:beforeAutospacing="1" w:after="100" w:afterAutospacing="1"/>
      <w:textAlignment w:val="center"/>
    </w:pPr>
    <w:rPr>
      <w:rFonts w:ascii="黑体" w:hAnsi="黑体" w:eastAsia="黑体"/>
      <w:color w:val="000000"/>
      <w:sz w:val="22"/>
      <w:szCs w:val="22"/>
    </w:rPr>
  </w:style>
  <w:style w:type="paragraph" w:customStyle="1" w:styleId="84">
    <w:name w:val="xl796441"/>
    <w:basedOn w:val="1"/>
    <w:qFormat/>
    <w:uiPriority w:val="99"/>
    <w:pPr>
      <w:pBdr>
        <w:bottom w:val="single" w:color="auto" w:sz="4" w:space="0"/>
      </w:pBdr>
      <w:shd w:val="clear" w:color="000000" w:fill="FFFFFF"/>
      <w:spacing w:before="100" w:beforeAutospacing="1" w:after="100" w:afterAutospacing="1"/>
      <w:jc w:val="center"/>
      <w:textAlignment w:val="center"/>
    </w:pPr>
    <w:rPr>
      <w:rFonts w:ascii="黑体" w:hAnsi="黑体" w:eastAsia="黑体"/>
      <w:sz w:val="36"/>
      <w:szCs w:val="36"/>
    </w:rPr>
  </w:style>
  <w:style w:type="paragraph" w:customStyle="1" w:styleId="85">
    <w:name w:val="xl806441"/>
    <w:basedOn w:val="1"/>
    <w:qFormat/>
    <w:uiPriority w:val="99"/>
    <w:pPr>
      <w:spacing w:before="100" w:beforeAutospacing="1" w:after="100" w:afterAutospacing="1"/>
      <w:jc w:val="center"/>
      <w:textAlignment w:val="center"/>
    </w:pPr>
    <w:rPr>
      <w:sz w:val="28"/>
      <w:szCs w:val="28"/>
    </w:rPr>
  </w:style>
  <w:style w:type="paragraph" w:customStyle="1" w:styleId="86">
    <w:name w:val="xl816441"/>
    <w:basedOn w:val="1"/>
    <w:qFormat/>
    <w:uiPriority w:val="99"/>
    <w:pPr>
      <w:shd w:val="clear" w:color="000000" w:fill="FFFFFF"/>
      <w:spacing w:before="100" w:beforeAutospacing="1" w:after="100" w:afterAutospacing="1"/>
      <w:textAlignment w:val="center"/>
    </w:pPr>
    <w:rPr>
      <w:rFonts w:ascii="仿宋_GB2312" w:eastAsia="仿宋_GB2312"/>
      <w:color w:val="000000"/>
      <w:sz w:val="22"/>
      <w:szCs w:val="22"/>
    </w:rPr>
  </w:style>
  <w:style w:type="paragraph" w:customStyle="1" w:styleId="87">
    <w:name w:val="xl826441"/>
    <w:basedOn w:val="1"/>
    <w:qFormat/>
    <w:uiPriority w:val="99"/>
    <w:pPr>
      <w:pBdr>
        <w:top w:val="single" w:color="auto" w:sz="4" w:space="1"/>
        <w:left w:val="single" w:color="auto" w:sz="4" w:space="1"/>
        <w:bottom w:val="single" w:color="auto" w:sz="4" w:space="0"/>
      </w:pBdr>
      <w:shd w:val="clear" w:color="000000" w:fill="FFFFFF"/>
      <w:spacing w:before="100" w:beforeAutospacing="1" w:after="100" w:afterAutospacing="1"/>
      <w:jc w:val="center"/>
      <w:textAlignment w:val="center"/>
    </w:pPr>
    <w:rPr>
      <w:b/>
      <w:bCs/>
      <w:sz w:val="20"/>
      <w:szCs w:val="20"/>
    </w:rPr>
  </w:style>
  <w:style w:type="paragraph" w:customStyle="1" w:styleId="88">
    <w:name w:val="xl83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b/>
      <w:bCs/>
      <w:sz w:val="20"/>
      <w:szCs w:val="20"/>
    </w:rPr>
  </w:style>
  <w:style w:type="paragraph" w:customStyle="1" w:styleId="89">
    <w:name w:val="xl84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jc w:val="center"/>
      <w:textAlignment w:val="center"/>
    </w:pPr>
    <w:rPr>
      <w:sz w:val="20"/>
      <w:szCs w:val="20"/>
    </w:rPr>
  </w:style>
  <w:style w:type="paragraph" w:customStyle="1" w:styleId="90">
    <w:name w:val="xl85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sz w:val="20"/>
      <w:szCs w:val="20"/>
    </w:rPr>
  </w:style>
  <w:style w:type="paragraph" w:customStyle="1" w:styleId="91">
    <w:name w:val="xl86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sz w:val="20"/>
      <w:szCs w:val="20"/>
    </w:rPr>
  </w:style>
  <w:style w:type="paragraph" w:customStyle="1" w:styleId="92">
    <w:name w:val="xl87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jc w:val="center"/>
      <w:textAlignment w:val="center"/>
    </w:pPr>
    <w:rPr>
      <w:b/>
      <w:bCs/>
      <w:sz w:val="20"/>
      <w:szCs w:val="20"/>
    </w:rPr>
  </w:style>
  <w:style w:type="paragraph" w:customStyle="1" w:styleId="93">
    <w:name w:val="xl88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color w:val="000000"/>
      <w:sz w:val="20"/>
      <w:szCs w:val="20"/>
    </w:rPr>
  </w:style>
  <w:style w:type="paragraph" w:customStyle="1" w:styleId="94">
    <w:name w:val="xl89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sz w:val="20"/>
      <w:szCs w:val="20"/>
    </w:rPr>
  </w:style>
  <w:style w:type="paragraph" w:customStyle="1" w:styleId="95">
    <w:name w:val="xl906441"/>
    <w:basedOn w:val="1"/>
    <w:qFormat/>
    <w:uiPriority w:val="99"/>
    <w:pPr>
      <w:shd w:val="clear" w:color="000000" w:fill="FFFFFF"/>
      <w:spacing w:before="100" w:beforeAutospacing="1" w:after="100" w:afterAutospacing="1"/>
      <w:textAlignment w:val="center"/>
    </w:pPr>
    <w:rPr>
      <w:color w:val="000000"/>
      <w:sz w:val="22"/>
      <w:szCs w:val="22"/>
    </w:rPr>
  </w:style>
  <w:style w:type="paragraph" w:customStyle="1" w:styleId="96">
    <w:name w:val="xl916441"/>
    <w:basedOn w:val="1"/>
    <w:qFormat/>
    <w:uiPriority w:val="99"/>
    <w:pPr>
      <w:shd w:val="clear" w:color="000000" w:fill="FFFFFF"/>
      <w:spacing w:before="100" w:beforeAutospacing="1" w:after="100" w:afterAutospacing="1"/>
      <w:textAlignment w:val="center"/>
    </w:pPr>
    <w:rPr>
      <w:sz w:val="20"/>
      <w:szCs w:val="20"/>
    </w:rPr>
  </w:style>
  <w:style w:type="paragraph" w:customStyle="1" w:styleId="97">
    <w:name w:val="xl926441"/>
    <w:basedOn w:val="1"/>
    <w:qFormat/>
    <w:uiPriority w:val="99"/>
    <w:pPr>
      <w:shd w:val="clear" w:color="000000" w:fill="FFFFFF"/>
      <w:spacing w:before="100" w:beforeAutospacing="1" w:after="100" w:afterAutospacing="1"/>
      <w:jc w:val="center"/>
      <w:textAlignment w:val="center"/>
    </w:pPr>
    <w:rPr>
      <w:rFonts w:ascii="黑体" w:hAnsi="黑体" w:eastAsia="黑体"/>
      <w:sz w:val="32"/>
      <w:szCs w:val="32"/>
    </w:rPr>
  </w:style>
  <w:style w:type="paragraph" w:customStyle="1" w:styleId="98">
    <w:name w:val="xl93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jc w:val="center"/>
      <w:textAlignment w:val="center"/>
    </w:pPr>
    <w:rPr>
      <w:b/>
      <w:bCs/>
      <w:color w:val="000000"/>
      <w:sz w:val="20"/>
      <w:szCs w:val="20"/>
    </w:rPr>
  </w:style>
  <w:style w:type="paragraph" w:customStyle="1" w:styleId="99">
    <w:name w:val="xl946441"/>
    <w:basedOn w:val="1"/>
    <w:qFormat/>
    <w:uiPriority w:val="99"/>
    <w:pPr>
      <w:pBdr>
        <w:top w:val="single" w:color="auto" w:sz="4" w:space="1"/>
        <w:left w:val="single" w:color="auto" w:sz="4" w:space="1"/>
        <w:right w:val="single" w:color="auto" w:sz="4" w:space="1"/>
      </w:pBdr>
      <w:shd w:val="clear" w:color="000000" w:fill="FFFFFF"/>
      <w:spacing w:before="100" w:beforeAutospacing="1" w:after="100" w:afterAutospacing="1"/>
      <w:jc w:val="center"/>
      <w:textAlignment w:val="center"/>
    </w:pPr>
    <w:rPr>
      <w:sz w:val="20"/>
      <w:szCs w:val="20"/>
    </w:rPr>
  </w:style>
  <w:style w:type="paragraph" w:customStyle="1" w:styleId="100">
    <w:name w:val="xl956441"/>
    <w:basedOn w:val="1"/>
    <w:qFormat/>
    <w:uiPriority w:val="99"/>
    <w:pPr>
      <w:pBdr>
        <w:left w:val="single" w:color="auto" w:sz="4" w:space="1"/>
        <w:right w:val="single" w:color="auto" w:sz="4" w:space="1"/>
      </w:pBdr>
      <w:shd w:val="clear" w:color="000000" w:fill="FFFFFF"/>
      <w:spacing w:before="100" w:beforeAutospacing="1" w:after="100" w:afterAutospacing="1"/>
      <w:jc w:val="center"/>
      <w:textAlignment w:val="center"/>
    </w:pPr>
    <w:rPr>
      <w:sz w:val="20"/>
      <w:szCs w:val="20"/>
    </w:rPr>
  </w:style>
  <w:style w:type="paragraph" w:customStyle="1" w:styleId="101">
    <w:name w:val="xl966441"/>
    <w:basedOn w:val="1"/>
    <w:qFormat/>
    <w:uiPriority w:val="99"/>
    <w:pPr>
      <w:pBdr>
        <w:left w:val="single" w:color="auto" w:sz="4" w:space="1"/>
        <w:bottom w:val="single" w:color="auto" w:sz="4" w:space="0"/>
        <w:right w:val="single" w:color="auto" w:sz="4" w:space="1"/>
      </w:pBdr>
      <w:shd w:val="clear" w:color="000000" w:fill="FFFFFF"/>
      <w:spacing w:before="100" w:beforeAutospacing="1" w:after="100" w:afterAutospacing="1"/>
      <w:jc w:val="center"/>
      <w:textAlignment w:val="center"/>
    </w:pPr>
    <w:rPr>
      <w:sz w:val="20"/>
      <w:szCs w:val="20"/>
    </w:rPr>
  </w:style>
  <w:style w:type="character" w:customStyle="1" w:styleId="102">
    <w:name w:val="批注框文本 Char"/>
    <w:qFormat/>
    <w:locked/>
    <w:uiPriority w:val="99"/>
    <w:rPr>
      <w:rFonts w:ascii="Calibri" w:hAnsi="Calibri"/>
      <w:kern w:val="2"/>
      <w:sz w:val="18"/>
    </w:rPr>
  </w:style>
  <w:style w:type="character" w:customStyle="1" w:styleId="103">
    <w:name w:val="批注框文本 字符"/>
    <w:basedOn w:val="36"/>
    <w:link w:val="20"/>
    <w:semiHidden/>
    <w:qFormat/>
    <w:uiPriority w:val="99"/>
    <w:rPr>
      <w:rFonts w:ascii="宋体" w:hAnsi="宋体" w:cs="宋体"/>
      <w:kern w:val="0"/>
      <w:sz w:val="0"/>
      <w:szCs w:val="0"/>
    </w:rPr>
  </w:style>
  <w:style w:type="character" w:customStyle="1" w:styleId="104">
    <w:name w:val="脚注文本 Char"/>
    <w:qFormat/>
    <w:locked/>
    <w:uiPriority w:val="99"/>
    <w:rPr>
      <w:rFonts w:ascii="Calibri" w:hAnsi="Calibri"/>
      <w:kern w:val="2"/>
      <w:sz w:val="18"/>
    </w:rPr>
  </w:style>
  <w:style w:type="character" w:customStyle="1" w:styleId="105">
    <w:name w:val="脚注文本 字符"/>
    <w:basedOn w:val="36"/>
    <w:link w:val="26"/>
    <w:semiHidden/>
    <w:qFormat/>
    <w:uiPriority w:val="99"/>
    <w:rPr>
      <w:rFonts w:ascii="宋体" w:hAnsi="宋体" w:cs="宋体"/>
      <w:kern w:val="0"/>
      <w:sz w:val="18"/>
      <w:szCs w:val="18"/>
    </w:rPr>
  </w:style>
  <w:style w:type="character" w:customStyle="1" w:styleId="106">
    <w:name w:val="文档结构图 Char"/>
    <w:qFormat/>
    <w:locked/>
    <w:uiPriority w:val="99"/>
    <w:rPr>
      <w:rFonts w:ascii="宋体" w:hAnsi="Calibri" w:eastAsia="宋体"/>
      <w:kern w:val="2"/>
      <w:sz w:val="18"/>
    </w:rPr>
  </w:style>
  <w:style w:type="character" w:customStyle="1" w:styleId="107">
    <w:name w:val="文档结构图 字符"/>
    <w:basedOn w:val="36"/>
    <w:link w:val="12"/>
    <w:semiHidden/>
    <w:qFormat/>
    <w:uiPriority w:val="99"/>
    <w:rPr>
      <w:rFonts w:cs="宋体"/>
      <w:kern w:val="0"/>
      <w:sz w:val="0"/>
      <w:szCs w:val="0"/>
    </w:rPr>
  </w:style>
  <w:style w:type="character" w:customStyle="1" w:styleId="108">
    <w:name w:val="标题 字符"/>
    <w:basedOn w:val="36"/>
    <w:link w:val="32"/>
    <w:qFormat/>
    <w:locked/>
    <w:uiPriority w:val="99"/>
    <w:rPr>
      <w:rFonts w:ascii="Cambria" w:hAnsi="Cambria" w:eastAsia="宋体"/>
      <w:b/>
      <w:kern w:val="2"/>
      <w:sz w:val="32"/>
    </w:rPr>
  </w:style>
  <w:style w:type="character" w:customStyle="1" w:styleId="109">
    <w:name w:val="副标题 字符"/>
    <w:basedOn w:val="36"/>
    <w:link w:val="25"/>
    <w:qFormat/>
    <w:locked/>
    <w:uiPriority w:val="99"/>
    <w:rPr>
      <w:rFonts w:ascii="Cambria" w:hAnsi="Cambria" w:eastAsia="宋体"/>
      <w:b/>
      <w:kern w:val="28"/>
      <w:sz w:val="32"/>
    </w:rPr>
  </w:style>
  <w:style w:type="paragraph" w:customStyle="1" w:styleId="110">
    <w:name w:val="No Spacing"/>
    <w:link w:val="111"/>
    <w:qFormat/>
    <w:uiPriority w:val="99"/>
    <w:pPr>
      <w:ind w:firstLine="200" w:firstLineChars="200"/>
    </w:pPr>
    <w:rPr>
      <w:rFonts w:ascii="Times New Roman" w:hAnsi="Times New Roman" w:eastAsia="仿宋_GB2312" w:cs="Times New Roman"/>
      <w:sz w:val="30"/>
      <w:szCs w:val="22"/>
      <w:lang w:val="en-US" w:eastAsia="zh-CN" w:bidi="ar-SA"/>
    </w:rPr>
  </w:style>
  <w:style w:type="character" w:customStyle="1" w:styleId="111">
    <w:name w:val="无间隔 字符"/>
    <w:link w:val="110"/>
    <w:qFormat/>
    <w:locked/>
    <w:uiPriority w:val="99"/>
    <w:rPr>
      <w:rFonts w:eastAsia="仿宋_GB2312"/>
      <w:sz w:val="30"/>
      <w:szCs w:val="22"/>
      <w:lang w:bidi="ar-SA"/>
    </w:rPr>
  </w:style>
  <w:style w:type="character" w:customStyle="1" w:styleId="112">
    <w:name w:val="目录 3 字符"/>
    <w:link w:val="17"/>
    <w:qFormat/>
    <w:locked/>
    <w:uiPriority w:val="39"/>
    <w:rPr>
      <w:rFonts w:eastAsia="宋体" w:cstheme="minorHAnsi"/>
      <w:i/>
      <w:iCs/>
    </w:rPr>
  </w:style>
  <w:style w:type="character" w:customStyle="1" w:styleId="113">
    <w:name w:val="目录 1 字符"/>
    <w:link w:val="23"/>
    <w:qFormat/>
    <w:locked/>
    <w:uiPriority w:val="39"/>
    <w:rPr>
      <w:rFonts w:eastAsia="宋体" w:cstheme="minorHAnsi"/>
      <w:b/>
      <w:bCs/>
      <w:i/>
      <w:iCs/>
      <w:caps/>
    </w:rPr>
  </w:style>
  <w:style w:type="character" w:customStyle="1" w:styleId="114">
    <w:name w:val="目录 2 字符"/>
    <w:link w:val="28"/>
    <w:qFormat/>
    <w:locked/>
    <w:uiPriority w:val="39"/>
    <w:rPr>
      <w:rFonts w:eastAsia="宋体" w:cstheme="minorHAnsi"/>
      <w:i/>
      <w:iCs/>
      <w:smallCaps/>
    </w:rPr>
  </w:style>
  <w:style w:type="paragraph" w:customStyle="1" w:styleId="115">
    <w:name w:val="目录一"/>
    <w:basedOn w:val="28"/>
    <w:link w:val="116"/>
    <w:qFormat/>
    <w:uiPriority w:val="99"/>
    <w:rPr>
      <w:rFonts w:eastAsia="黑体"/>
      <w:b/>
      <w:iCs/>
      <w:caps/>
      <w:sz w:val="28"/>
    </w:rPr>
  </w:style>
  <w:style w:type="character" w:customStyle="1" w:styleId="116">
    <w:name w:val="目录一 Char"/>
    <w:link w:val="115"/>
    <w:qFormat/>
    <w:locked/>
    <w:uiPriority w:val="99"/>
    <w:rPr>
      <w:rFonts w:ascii="华文中宋" w:hAnsi="华文中宋" w:eastAsia="黑体"/>
      <w:b/>
      <w:caps/>
      <w:smallCaps/>
      <w:kern w:val="2"/>
      <w:sz w:val="28"/>
    </w:rPr>
  </w:style>
  <w:style w:type="paragraph" w:customStyle="1" w:styleId="117">
    <w:name w:val="目录1"/>
    <w:basedOn w:val="17"/>
    <w:link w:val="118"/>
    <w:qFormat/>
    <w:uiPriority w:val="99"/>
    <w:pPr>
      <w:spacing w:line="400" w:lineRule="exact"/>
    </w:pPr>
    <w:rPr>
      <w:sz w:val="28"/>
    </w:rPr>
  </w:style>
  <w:style w:type="character" w:customStyle="1" w:styleId="118">
    <w:name w:val="目录1 Char"/>
    <w:link w:val="117"/>
    <w:qFormat/>
    <w:locked/>
    <w:uiPriority w:val="99"/>
    <w:rPr>
      <w:rFonts w:ascii="黑体" w:hAnsi="黑体" w:eastAsia="黑体"/>
      <w:kern w:val="2"/>
      <w:sz w:val="28"/>
    </w:rPr>
  </w:style>
  <w:style w:type="paragraph" w:customStyle="1" w:styleId="119">
    <w:name w:val="目录标题"/>
    <w:basedOn w:val="3"/>
    <w:link w:val="120"/>
    <w:qFormat/>
    <w:uiPriority w:val="99"/>
    <w:pPr>
      <w:ind w:firstLine="200"/>
    </w:pPr>
    <w:rPr>
      <w:bCs w:val="0"/>
      <w:sz w:val="44"/>
      <w:szCs w:val="20"/>
    </w:rPr>
  </w:style>
  <w:style w:type="character" w:customStyle="1" w:styleId="120">
    <w:name w:val="目录标题 Char"/>
    <w:link w:val="119"/>
    <w:qFormat/>
    <w:locked/>
    <w:uiPriority w:val="99"/>
    <w:rPr>
      <w:rFonts w:ascii="宋体" w:hAnsi="宋体" w:eastAsia="华文中宋"/>
      <w:sz w:val="44"/>
    </w:rPr>
  </w:style>
  <w:style w:type="paragraph" w:customStyle="1" w:styleId="121">
    <w:name w:val="目录（一）"/>
    <w:basedOn w:val="117"/>
    <w:link w:val="122"/>
    <w:qFormat/>
    <w:uiPriority w:val="99"/>
    <w:rPr>
      <w:sz w:val="24"/>
    </w:rPr>
  </w:style>
  <w:style w:type="character" w:customStyle="1" w:styleId="122">
    <w:name w:val="目录（一） Char"/>
    <w:link w:val="121"/>
    <w:qFormat/>
    <w:locked/>
    <w:uiPriority w:val="99"/>
    <w:rPr>
      <w:rFonts w:ascii="黑体" w:hAnsi="黑体" w:eastAsia="黑体"/>
      <w:kern w:val="2"/>
      <w:sz w:val="24"/>
    </w:rPr>
  </w:style>
  <w:style w:type="character" w:customStyle="1" w:styleId="123">
    <w:name w:val="访问过的超链接1"/>
    <w:qFormat/>
    <w:uiPriority w:val="99"/>
    <w:rPr>
      <w:rFonts w:eastAsia="宋体"/>
      <w:color w:val="800080"/>
      <w:kern w:val="2"/>
      <w:sz w:val="24"/>
      <w:u w:val="single"/>
      <w:lang w:val="en-US" w:eastAsia="zh-CN"/>
    </w:rPr>
  </w:style>
  <w:style w:type="character" w:customStyle="1" w:styleId="124">
    <w:name w:val="Body Text Indent Char"/>
    <w:qFormat/>
    <w:locked/>
    <w:uiPriority w:val="99"/>
    <w:rPr>
      <w:rFonts w:ascii="仿宋_GB2312" w:eastAsia="仿宋_GB2312"/>
      <w:sz w:val="30"/>
    </w:rPr>
  </w:style>
  <w:style w:type="character" w:customStyle="1" w:styleId="125">
    <w:name w:val="Body Text Indent Char1"/>
    <w:basedOn w:val="36"/>
    <w:semiHidden/>
    <w:qFormat/>
    <w:uiPriority w:val="99"/>
    <w:rPr>
      <w:rFonts w:ascii="仿宋_GB2312" w:hAnsi="宋体" w:eastAsia="仿宋_GB2312"/>
      <w:color w:val="000000"/>
      <w:kern w:val="16"/>
      <w:sz w:val="30"/>
    </w:rPr>
  </w:style>
  <w:style w:type="character" w:customStyle="1" w:styleId="126">
    <w:name w:val="正文文本缩进 字符"/>
    <w:link w:val="15"/>
    <w:qFormat/>
    <w:locked/>
    <w:uiPriority w:val="99"/>
    <w:rPr>
      <w:rFonts w:ascii="仿宋_GB2312" w:hAnsi="Calibri" w:eastAsia="仿宋_GB2312"/>
      <w:sz w:val="30"/>
    </w:rPr>
  </w:style>
  <w:style w:type="character" w:customStyle="1" w:styleId="127">
    <w:name w:val="批注文字 字符"/>
    <w:basedOn w:val="36"/>
    <w:link w:val="13"/>
    <w:semiHidden/>
    <w:qFormat/>
    <w:locked/>
    <w:uiPriority w:val="99"/>
    <w:rPr>
      <w:rFonts w:ascii="仿宋_GB2312" w:hAnsi="宋体" w:eastAsia="仿宋_GB2312"/>
      <w:color w:val="000000"/>
      <w:kern w:val="16"/>
      <w:sz w:val="30"/>
    </w:rPr>
  </w:style>
  <w:style w:type="character" w:customStyle="1" w:styleId="128">
    <w:name w:val="批注主题 字符"/>
    <w:basedOn w:val="127"/>
    <w:link w:val="33"/>
    <w:semiHidden/>
    <w:qFormat/>
    <w:locked/>
    <w:uiPriority w:val="99"/>
    <w:rPr>
      <w:rFonts w:ascii="仿宋_GB2312" w:hAnsi="宋体" w:eastAsia="仿宋_GB2312"/>
      <w:b/>
      <w:color w:val="000000"/>
      <w:kern w:val="16"/>
      <w:sz w:val="30"/>
    </w:rPr>
  </w:style>
  <w:style w:type="paragraph" w:customStyle="1" w:styleId="129">
    <w:name w:val="默认段落字体 Para Char Char Char Char Char Char Char"/>
    <w:basedOn w:val="1"/>
    <w:qFormat/>
    <w:uiPriority w:val="99"/>
    <w:pPr>
      <w:widowControl w:val="0"/>
      <w:jc w:val="both"/>
    </w:pPr>
    <w:rPr>
      <w:rFonts w:ascii="Arial" w:hAnsi="Arial" w:cs="Arial"/>
      <w:kern w:val="2"/>
      <w:sz w:val="20"/>
      <w:szCs w:val="20"/>
    </w:rPr>
  </w:style>
  <w:style w:type="paragraph" w:customStyle="1" w:styleId="130">
    <w:name w:val="Char"/>
    <w:basedOn w:val="1"/>
    <w:qFormat/>
    <w:uiPriority w:val="99"/>
    <w:pPr>
      <w:widowControl w:val="0"/>
      <w:jc w:val="both"/>
    </w:pPr>
    <w:rPr>
      <w:rFonts w:ascii="仿宋_GB2312" w:eastAsia="仿宋_GB2312" w:cs="仿宋_GB2312"/>
      <w:color w:val="000000"/>
      <w:kern w:val="16"/>
      <w:sz w:val="30"/>
      <w:szCs w:val="30"/>
    </w:rPr>
  </w:style>
  <w:style w:type="paragraph" w:customStyle="1" w:styleId="131">
    <w:name w:val="样式5"/>
    <w:basedOn w:val="2"/>
    <w:qFormat/>
    <w:uiPriority w:val="99"/>
    <w:pPr>
      <w:widowControl/>
      <w:tabs>
        <w:tab w:val="left" w:pos="794"/>
        <w:tab w:val="left" w:pos="2127"/>
        <w:tab w:val="left" w:pos="2410"/>
        <w:tab w:val="left" w:pos="2921"/>
        <w:tab w:val="left" w:pos="3261"/>
      </w:tabs>
      <w:overflowPunct w:val="0"/>
      <w:autoSpaceDE w:val="0"/>
      <w:autoSpaceDN w:val="0"/>
      <w:adjustRightInd w:val="0"/>
      <w:spacing w:beforeLines="50" w:afterLines="50" w:line="240" w:lineRule="auto"/>
      <w:ind w:left="1276"/>
      <w:jc w:val="center"/>
      <w:textAlignment w:val="baseline"/>
    </w:pPr>
    <w:rPr>
      <w:rFonts w:ascii="黑体" w:eastAsia="黑体" w:cs="黑体"/>
      <w:b w:val="0"/>
      <w:kern w:val="0"/>
      <w:sz w:val="36"/>
      <w:szCs w:val="36"/>
      <w:lang w:val="en-GB"/>
    </w:rPr>
  </w:style>
  <w:style w:type="paragraph" w:customStyle="1" w:styleId="132">
    <w:name w:val="Char Char Char Char Char Char Char"/>
    <w:basedOn w:val="12"/>
    <w:qFormat/>
    <w:uiPriority w:val="99"/>
    <w:pPr>
      <w:shd w:val="clear" w:color="auto" w:fill="000080"/>
      <w:adjustRightInd w:val="0"/>
      <w:spacing w:line="360" w:lineRule="auto"/>
      <w:ind w:left="1276"/>
      <w:jc w:val="center"/>
      <w:outlineLvl w:val="3"/>
    </w:pPr>
    <w:rPr>
      <w:rFonts w:ascii="Tahoma" w:hAnsi="Tahoma" w:eastAsia="仿宋_GB2312" w:cs="Tahoma"/>
      <w:color w:val="000000"/>
      <w:kern w:val="16"/>
      <w:sz w:val="24"/>
      <w:szCs w:val="24"/>
    </w:rPr>
  </w:style>
  <w:style w:type="paragraph" w:customStyle="1" w:styleId="133">
    <w:name w:val="样式 标题 2一级条标题l22Heading 2 CharH2H3二级h22nd levelheading ...1"/>
    <w:basedOn w:val="3"/>
    <w:qFormat/>
    <w:uiPriority w:val="99"/>
    <w:pPr>
      <w:spacing w:beforeLines="50" w:afterLines="50"/>
      <w:ind w:left="1276"/>
    </w:pPr>
    <w:rPr>
      <w:rFonts w:ascii="黑体" w:hAnsi="Times New Roman" w:eastAsia="黑体" w:cs="黑体"/>
      <w:bCs w:val="0"/>
      <w:color w:val="000000"/>
      <w:kern w:val="16"/>
      <w:szCs w:val="30"/>
    </w:rPr>
  </w:style>
  <w:style w:type="paragraph" w:customStyle="1" w:styleId="134">
    <w:name w:val="tgt1"/>
    <w:basedOn w:val="1"/>
    <w:qFormat/>
    <w:uiPriority w:val="99"/>
    <w:pPr>
      <w:spacing w:after="150"/>
    </w:pPr>
  </w:style>
  <w:style w:type="paragraph" w:customStyle="1" w:styleId="135">
    <w:name w:val="样式 标题 3二级条标题h3第二层条第三层1.1.1 标题 3l3CT3h4Heading 3 - old...2"/>
    <w:basedOn w:val="1"/>
    <w:qFormat/>
    <w:uiPriority w:val="99"/>
    <w:pPr>
      <w:widowControl w:val="0"/>
      <w:ind w:left="1276"/>
      <w:jc w:val="both"/>
    </w:pPr>
    <w:rPr>
      <w:rFonts w:ascii="仿宋_GB2312" w:eastAsia="仿宋_GB2312" w:cs="仿宋_GB2312"/>
      <w:color w:val="000000"/>
      <w:kern w:val="16"/>
      <w:sz w:val="30"/>
      <w:szCs w:val="30"/>
    </w:rPr>
  </w:style>
  <w:style w:type="paragraph" w:customStyle="1" w:styleId="136">
    <w:name w:val="Char Char Char Char"/>
    <w:basedOn w:val="1"/>
    <w:qFormat/>
    <w:uiPriority w:val="99"/>
    <w:pPr>
      <w:widowControl w:val="0"/>
      <w:tabs>
        <w:tab w:val="left" w:pos="1415"/>
      </w:tabs>
      <w:ind w:left="1415" w:hanging="855"/>
      <w:jc w:val="both"/>
    </w:pPr>
    <w:rPr>
      <w:rFonts w:ascii="Times New Roman" w:hAnsi="Times New Roman" w:cs="Times New Roman"/>
      <w:kern w:val="2"/>
    </w:rPr>
  </w:style>
  <w:style w:type="paragraph" w:customStyle="1" w:styleId="137">
    <w:name w:val="修订1"/>
    <w:hidden/>
    <w:semiHidden/>
    <w:qFormat/>
    <w:uiPriority w:val="99"/>
    <w:rPr>
      <w:rFonts w:ascii="仿宋_GB2312" w:hAnsi="宋体" w:eastAsia="仿宋_GB2312" w:cs="仿宋_GB2312"/>
      <w:color w:val="000000"/>
      <w:kern w:val="16"/>
      <w:sz w:val="30"/>
      <w:szCs w:val="30"/>
      <w:lang w:val="en-US" w:eastAsia="zh-CN" w:bidi="ar-SA"/>
    </w:rPr>
  </w:style>
  <w:style w:type="paragraph" w:customStyle="1" w:styleId="138">
    <w:name w:val="样式1"/>
    <w:basedOn w:val="1"/>
    <w:link w:val="139"/>
    <w:qFormat/>
    <w:uiPriority w:val="99"/>
    <w:pPr>
      <w:jc w:val="both"/>
    </w:pPr>
    <w:rPr>
      <w:rFonts w:ascii="仿宋_GB2312" w:eastAsia="仿宋_GB2312" w:cs="Times New Roman"/>
      <w:kern w:val="16"/>
      <w:sz w:val="30"/>
      <w:szCs w:val="20"/>
    </w:rPr>
  </w:style>
  <w:style w:type="character" w:customStyle="1" w:styleId="139">
    <w:name w:val="样式1 Char"/>
    <w:link w:val="138"/>
    <w:qFormat/>
    <w:locked/>
    <w:uiPriority w:val="99"/>
    <w:rPr>
      <w:rFonts w:ascii="仿宋_GB2312" w:hAnsi="宋体" w:eastAsia="仿宋_GB2312"/>
      <w:kern w:val="16"/>
      <w:sz w:val="30"/>
    </w:rPr>
  </w:style>
  <w:style w:type="character" w:customStyle="1" w:styleId="140">
    <w:name w:val="HTML 预设格式 字符"/>
    <w:basedOn w:val="36"/>
    <w:link w:val="30"/>
    <w:semiHidden/>
    <w:qFormat/>
    <w:locked/>
    <w:uiPriority w:val="99"/>
    <w:rPr>
      <w:rFonts w:ascii="宋体" w:hAnsi="宋体" w:eastAsia="宋体"/>
      <w:sz w:val="24"/>
    </w:rPr>
  </w:style>
  <w:style w:type="paragraph" w:customStyle="1" w:styleId="141">
    <w:name w:val="TOC 标题1"/>
    <w:basedOn w:val="2"/>
    <w:next w:val="1"/>
    <w:qFormat/>
    <w:uiPriority w:val="99"/>
    <w:pPr>
      <w:widowControl/>
      <w:spacing w:before="480" w:after="0" w:line="276" w:lineRule="auto"/>
      <w:jc w:val="left"/>
      <w:outlineLvl w:val="9"/>
    </w:pPr>
    <w:rPr>
      <w:rFonts w:ascii="Cambria" w:hAnsi="Cambria" w:eastAsia="宋体" w:cs="Cambria"/>
      <w:bCs/>
      <w:color w:val="365F91"/>
      <w:kern w:val="0"/>
      <w:sz w:val="28"/>
      <w:szCs w:val="28"/>
    </w:rPr>
  </w:style>
  <w:style w:type="paragraph" w:customStyle="1" w:styleId="142">
    <w:name w:val="TOC 标题2"/>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bCs/>
      <w:color w:val="376092" w:themeColor="accent1" w:themeShade="BF"/>
      <w:kern w:val="0"/>
      <w:sz w:val="28"/>
      <w:szCs w:val="28"/>
    </w:rPr>
  </w:style>
  <w:style w:type="table" w:customStyle="1" w:styleId="143">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paragraph" w:customStyle="1" w:styleId="144">
    <w:name w:val="Table Paragraph"/>
    <w:basedOn w:val="1"/>
    <w:qFormat/>
    <w:uiPriority w:val="1"/>
    <w:pPr>
      <w:widowControl w:val="0"/>
    </w:pPr>
    <w:rPr>
      <w:rFonts w:asciiTheme="minorHAnsi" w:hAnsiTheme="minorHAnsi" w:eastAsiaTheme="minorEastAsia" w:cstheme="minorBidi"/>
      <w:sz w:val="22"/>
      <w:szCs w:val="22"/>
      <w:lang w:eastAsia="en-US"/>
    </w:rPr>
  </w:style>
  <w:style w:type="table" w:customStyle="1" w:styleId="145">
    <w:name w:val="Table Normal1"/>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146">
    <w:name w:val="Table Normal2"/>
    <w:unhideWhenUsed/>
    <w:qFormat/>
    <w:uiPriority w:val="2"/>
    <w:pPr>
      <w:widowControl w:val="0"/>
    </w:pPr>
    <w:rPr>
      <w:sz w:val="22"/>
      <w:szCs w:val="22"/>
      <w:lang w:eastAsia="en-US"/>
    </w:rPr>
    <w:tblPr>
      <w:tblCellMar>
        <w:top w:w="0" w:type="dxa"/>
        <w:left w:w="0" w:type="dxa"/>
        <w:bottom w:w="0" w:type="dxa"/>
        <w:right w:w="0" w:type="dxa"/>
      </w:tblCellMar>
    </w:tblPr>
  </w:style>
  <w:style w:type="character" w:customStyle="1" w:styleId="147">
    <w:name w:val="Unresolved Mention"/>
    <w:basedOn w:val="36"/>
    <w:unhideWhenUsed/>
    <w:qFormat/>
    <w:uiPriority w:val="99"/>
    <w:rPr>
      <w:color w:val="605E5C"/>
      <w:shd w:val="clear" w:color="auto" w:fill="E1DFDD"/>
    </w:rPr>
  </w:style>
  <w:style w:type="paragraph" w:customStyle="1" w:styleId="148">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color w:val="376092"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32B03F-0224-4634-9F40-628C0143AF6F}">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Pages>
  <Words>1039</Words>
  <Characters>5926</Characters>
  <Lines>49</Lines>
  <Paragraphs>13</Paragraphs>
  <TotalTime>0</TotalTime>
  <ScaleCrop>false</ScaleCrop>
  <LinksUpToDate>false</LinksUpToDate>
  <CharactersWithSpaces>6952</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2020-03-18T11:37:00Z</dcterms:created>
  <dc:creator>K2450</dc:creator>
  <cp:lastModifiedBy>甜樱桃</cp:lastModifiedBy>
  <cp:lastPrinted>2018-03-01T03:24:00Z</cp:lastPrinted>
  <dcterms:modified xsi:type="dcterms:W3CDTF">2021-05-18T08:25:53Z</dcterms:modified>
  <dc:title>政府部门财务报告编制操作指南</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