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Times New Roman" w:hAnsi="Times New Roman" w:eastAsia="楷体_GB2312"/>
          <w:b/>
          <w:bCs/>
          <w:sz w:val="36"/>
          <w:szCs w:val="36"/>
        </w:rPr>
      </w:pPr>
    </w:p>
    <w:p>
      <w:pPr>
        <w:jc w:val="center"/>
        <w:rPr>
          <w:rFonts w:ascii="华文中宋" w:hAnsi="华文中宋" w:eastAsia="华文中宋" w:cs="华文中宋"/>
          <w:sz w:val="52"/>
          <w:szCs w:val="52"/>
        </w:rPr>
      </w:pPr>
      <w:r>
        <w:rPr>
          <w:rFonts w:hint="eastAsia" w:ascii="华文中宋" w:hAnsi="华文中宋" w:eastAsia="华文中宋" w:cs="华文中宋"/>
          <w:sz w:val="52"/>
          <w:szCs w:val="52"/>
        </w:rPr>
        <w:t>2020年度内蒙古自治区呼伦贝尔市莫力达瓦达斡尔族自治旗民政局单位财务报告</w:t>
      </w:r>
    </w:p>
    <w:p>
      <w:pPr>
        <w:jc w:val="center"/>
        <w:rPr>
          <w:rFonts w:ascii="Times New Roman" w:hAnsi="Times New Roman" w:eastAsia="微软雅黑" w:cs="Times New Roman"/>
          <w:b/>
          <w:bCs/>
          <w:sz w:val="52"/>
          <w:szCs w:val="52"/>
        </w:rPr>
      </w:pPr>
    </w:p>
    <w:p>
      <w:pPr>
        <w:jc w:val="center"/>
        <w:rPr>
          <w:rFonts w:ascii="Times New Roman" w:hAnsi="Times New Roman" w:eastAsia="微软雅黑"/>
          <w:b/>
          <w:bCs/>
          <w:sz w:val="52"/>
          <w:szCs w:val="52"/>
        </w:rPr>
      </w:pPr>
    </w:p>
    <w:p>
      <w:pPr>
        <w:jc w:val="center"/>
        <w:rPr>
          <w:rFonts w:ascii="Times New Roman" w:hAnsi="Times New Roman"/>
          <w:b/>
          <w:bCs/>
          <w:sz w:val="36"/>
          <w:szCs w:val="36"/>
        </w:rPr>
      </w:pPr>
    </w:p>
    <w:p>
      <w:pPr>
        <w:jc w:val="center"/>
        <w:rPr>
          <w:rFonts w:ascii="Times New Roman" w:hAnsi="Times New Roman"/>
          <w:b/>
          <w:bCs/>
          <w:sz w:val="36"/>
          <w:szCs w:val="36"/>
        </w:rPr>
      </w:pPr>
    </w:p>
    <w:p>
      <w:pPr>
        <w:jc w:val="center"/>
        <w:rPr>
          <w:rFonts w:ascii="Times New Roman" w:hAnsi="Times New Roman"/>
          <w:b/>
          <w:bCs/>
          <w:sz w:val="36"/>
          <w:szCs w:val="36"/>
        </w:rPr>
      </w:pPr>
    </w:p>
    <w:p>
      <w:pPr>
        <w:widowControl w:val="0"/>
        <w:ind w:firstLine="1280" w:firstLineChars="400"/>
        <w:jc w:val="both"/>
        <w:rPr>
          <w:rFonts w:hint="default" w:cs="仿宋_GB2312" w:asciiTheme="minorEastAsia" w:hAnsiTheme="minorEastAsia" w:eastAsiaTheme="minorEastAsia"/>
          <w:bCs/>
          <w:kern w:val="16"/>
          <w:sz w:val="32"/>
          <w:szCs w:val="32"/>
          <w:lang w:val="en-US" w:eastAsia="zh-CN"/>
        </w:rPr>
      </w:pPr>
      <w:r>
        <w:rPr>
          <w:rFonts w:hint="eastAsia" w:cs="微软雅黑" w:asciiTheme="minorEastAsia" w:hAnsiTheme="minorEastAsia" w:eastAsiaTheme="minorEastAsia"/>
          <w:bCs/>
          <w:sz w:val="32"/>
          <w:szCs w:val="52"/>
        </w:rPr>
        <w:t>部门（单</w:t>
      </w:r>
      <w:r>
        <w:rPr>
          <w:rFonts w:hint="eastAsia" w:cs="仿宋_GB2312" w:asciiTheme="minorEastAsia" w:hAnsiTheme="minorEastAsia" w:eastAsiaTheme="minorEastAsia"/>
          <w:bCs/>
          <w:kern w:val="16"/>
          <w:sz w:val="32"/>
          <w:szCs w:val="32"/>
        </w:rPr>
        <w:t>位）名称：</w:t>
      </w:r>
      <w:r>
        <w:rPr>
          <w:rFonts w:hint="eastAsia" w:cs="仿宋_GB2312" w:asciiTheme="minorEastAsia" w:hAnsiTheme="minorEastAsia" w:eastAsiaTheme="minorEastAsia"/>
          <w:bCs/>
          <w:kern w:val="16"/>
          <w:sz w:val="32"/>
          <w:szCs w:val="32"/>
          <w:lang w:val="en-US" w:eastAsia="zh-CN"/>
        </w:rPr>
        <w:t>莫旗民政局</w:t>
      </w:r>
      <w:r>
        <w:rPr>
          <w:rFonts w:hint="eastAsia" w:cs="仿宋_GB2312" w:asciiTheme="minorEastAsia" w:hAnsiTheme="minorEastAsia" w:eastAsiaTheme="minorEastAsia"/>
          <w:bCs/>
          <w:kern w:val="16"/>
          <w:sz w:val="32"/>
          <w:szCs w:val="32"/>
        </w:rPr>
        <w:t>（公章）</w:t>
      </w:r>
    </w:p>
    <w:p>
      <w:pPr>
        <w:widowControl w:val="0"/>
        <w:ind w:firstLine="1280" w:firstLineChars="400"/>
        <w:jc w:val="both"/>
        <w:rPr>
          <w:rFonts w:hint="eastAsia"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单位负责人：</w:t>
      </w:r>
      <w:r>
        <w:rPr>
          <w:rFonts w:hint="eastAsia" w:cs="仿宋_GB2312" w:asciiTheme="minorEastAsia" w:hAnsiTheme="minorEastAsia" w:eastAsiaTheme="minorEastAsia"/>
          <w:bCs/>
          <w:kern w:val="16"/>
          <w:sz w:val="32"/>
          <w:szCs w:val="32"/>
          <w:lang w:val="en-US" w:eastAsia="zh-CN"/>
        </w:rPr>
        <w:t>敖立斌</w:t>
      </w:r>
      <w:r>
        <w:rPr>
          <w:rFonts w:hint="eastAsia" w:cs="仿宋_GB2312" w:asciiTheme="minorEastAsia" w:hAnsiTheme="minorEastAsia" w:eastAsiaTheme="minorEastAsia"/>
          <w:bCs/>
          <w:kern w:val="16"/>
          <w:sz w:val="32"/>
          <w:szCs w:val="32"/>
        </w:rPr>
        <w:t>（签名并盖章）</w:t>
      </w:r>
    </w:p>
    <w:p>
      <w:pPr>
        <w:widowControl w:val="0"/>
        <w:ind w:firstLine="1280" w:firstLineChars="400"/>
        <w:jc w:val="both"/>
        <w:rPr>
          <w:rFonts w:hint="default" w:cs="仿宋_GB2312" w:asciiTheme="minorEastAsia" w:hAnsiTheme="minorEastAsia" w:eastAsiaTheme="minorEastAsia"/>
          <w:bCs/>
          <w:kern w:val="16"/>
          <w:sz w:val="32"/>
          <w:szCs w:val="32"/>
          <w:lang w:val="en-US" w:eastAsia="zh-CN"/>
        </w:rPr>
      </w:pPr>
      <w:r>
        <w:rPr>
          <w:rFonts w:hint="eastAsia" w:cs="仿宋_GB2312" w:asciiTheme="minorEastAsia" w:hAnsiTheme="minorEastAsia" w:eastAsiaTheme="minorEastAsia"/>
          <w:bCs/>
          <w:kern w:val="16"/>
          <w:sz w:val="32"/>
          <w:szCs w:val="32"/>
        </w:rPr>
        <w:t>财务负责人：</w:t>
      </w:r>
      <w:r>
        <w:rPr>
          <w:rFonts w:hint="eastAsia" w:cs="仿宋_GB2312" w:asciiTheme="minorEastAsia" w:hAnsiTheme="minorEastAsia" w:eastAsiaTheme="minorEastAsia"/>
          <w:bCs/>
          <w:kern w:val="16"/>
          <w:sz w:val="32"/>
          <w:szCs w:val="32"/>
          <w:lang w:val="en-US" w:eastAsia="zh-CN"/>
        </w:rPr>
        <w:t>沃成红</w:t>
      </w:r>
      <w:r>
        <w:rPr>
          <w:rFonts w:hint="eastAsia" w:cs="仿宋_GB2312" w:asciiTheme="minorEastAsia" w:hAnsiTheme="minorEastAsia" w:eastAsiaTheme="minorEastAsia"/>
          <w:bCs/>
          <w:kern w:val="16"/>
          <w:sz w:val="32"/>
          <w:szCs w:val="32"/>
        </w:rPr>
        <w:t>（签名并盖章）</w:t>
      </w:r>
    </w:p>
    <w:p>
      <w:pPr>
        <w:widowControl w:val="0"/>
        <w:ind w:firstLine="1280" w:firstLineChars="400"/>
        <w:jc w:val="both"/>
        <w:rPr>
          <w:rFonts w:hint="eastAsia"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编制人：</w:t>
      </w:r>
      <w:r>
        <w:rPr>
          <w:rFonts w:hint="eastAsia" w:cs="仿宋_GB2312" w:asciiTheme="minorEastAsia" w:hAnsiTheme="minorEastAsia" w:eastAsiaTheme="minorEastAsia"/>
          <w:bCs/>
          <w:kern w:val="16"/>
          <w:sz w:val="32"/>
          <w:szCs w:val="32"/>
          <w:lang w:val="en-US" w:eastAsia="zh-CN"/>
        </w:rPr>
        <w:t>萨志明</w:t>
      </w:r>
      <w:r>
        <w:rPr>
          <w:rFonts w:hint="eastAsia" w:cs="仿宋_GB2312" w:asciiTheme="minorEastAsia" w:hAnsiTheme="minorEastAsia" w:eastAsiaTheme="minorEastAsia"/>
          <w:bCs/>
          <w:kern w:val="16"/>
          <w:sz w:val="32"/>
          <w:szCs w:val="32"/>
        </w:rPr>
        <w:t>（签章）</w:t>
      </w:r>
    </w:p>
    <w:p>
      <w:pPr>
        <w:widowControl w:val="0"/>
        <w:ind w:firstLine="1280" w:firstLineChars="400"/>
        <w:jc w:val="both"/>
        <w:rPr>
          <w:rFonts w:cs="仿宋_GB2312" w:asciiTheme="minorEastAsia" w:hAnsiTheme="minorEastAsia" w:eastAsiaTheme="minorEastAsia"/>
          <w:bCs/>
          <w:kern w:val="16"/>
          <w:sz w:val="32"/>
          <w:szCs w:val="32"/>
        </w:rPr>
      </w:pPr>
      <w:r>
        <w:rPr>
          <w:rFonts w:hint="eastAsia" w:cs="仿宋_GB2312" w:asciiTheme="minorEastAsia" w:hAnsiTheme="minorEastAsia" w:eastAsiaTheme="minorEastAsia"/>
          <w:bCs/>
          <w:kern w:val="16"/>
          <w:sz w:val="32"/>
          <w:szCs w:val="32"/>
        </w:rPr>
        <w:t>报送日期：2021年5月</w:t>
      </w:r>
    </w:p>
    <w:p>
      <w:pPr>
        <w:pStyle w:val="119"/>
        <w:ind w:firstLine="198"/>
        <w:outlineLvl w:val="3"/>
        <w:rPr>
          <w:sz w:val="36"/>
        </w:rPr>
        <w:sectPr>
          <w:headerReference r:id="rId5" w:type="first"/>
          <w:footerReference r:id="rId7" w:type="first"/>
          <w:headerReference r:id="rId4" w:type="default"/>
          <w:footerReference r:id="rId6" w:type="default"/>
          <w:footnotePr>
            <w:numFmt w:val="decimalEnclosedCircleChinese"/>
          </w:footnotePr>
          <w:pgSz w:w="11906" w:h="16838"/>
          <w:pgMar w:top="1440" w:right="1797" w:bottom="1440" w:left="1797" w:header="851" w:footer="992" w:gutter="0"/>
          <w:pgNumType w:start="1"/>
          <w:cols w:space="425" w:num="1"/>
          <w:titlePg/>
          <w:docGrid w:type="lines" w:linePitch="326" w:charSpace="0"/>
        </w:sectPr>
      </w:pPr>
      <w:bookmarkStart w:id="0" w:name="_Toc435362709"/>
      <w:bookmarkStart w:id="1" w:name="_Toc435363359"/>
      <w:bookmarkStart w:id="2" w:name="_Toc503548883"/>
      <w:bookmarkStart w:id="3" w:name="_Toc435370952"/>
      <w:bookmarkStart w:id="4" w:name="_Toc436083526"/>
      <w:bookmarkStart w:id="5" w:name="_Toc435714296"/>
      <w:bookmarkStart w:id="6" w:name="_Toc435711768"/>
      <w:bookmarkStart w:id="7" w:name="_Toc435363575"/>
      <w:bookmarkStart w:id="8" w:name="_Toc430698577"/>
      <w:bookmarkStart w:id="9" w:name="_Toc435361710"/>
      <w:bookmarkStart w:id="10" w:name="_Toc435361472"/>
    </w:p>
    <w:p>
      <w:pPr>
        <w:pStyle w:val="119"/>
        <w:ind w:firstLine="198"/>
        <w:outlineLvl w:val="9"/>
        <w:rPr>
          <w:sz w:val="36"/>
        </w:rPr>
      </w:pPr>
      <w:bookmarkStart w:id="11" w:name="_Toc20034"/>
      <w:bookmarkStart w:id="12" w:name="_Toc35452574"/>
      <w:r>
        <w:rPr>
          <w:rFonts w:hint="eastAsia"/>
          <w:sz w:val="36"/>
        </w:rPr>
        <w:t>目录</w:t>
      </w:r>
      <w:bookmarkEnd w:id="0"/>
      <w:bookmarkEnd w:id="1"/>
      <w:bookmarkEnd w:id="2"/>
      <w:bookmarkEnd w:id="3"/>
      <w:bookmarkEnd w:id="4"/>
      <w:bookmarkEnd w:id="5"/>
      <w:bookmarkEnd w:id="6"/>
      <w:bookmarkEnd w:id="7"/>
      <w:bookmarkEnd w:id="11"/>
      <w:bookmarkEnd w:id="12"/>
    </w:p>
    <w:bookmarkEnd w:id="8"/>
    <w:bookmarkEnd w:id="9"/>
    <w:bookmarkEnd w:id="10"/>
    <w:p>
      <w:pPr>
        <w:pStyle w:val="17"/>
        <w:tabs>
          <w:tab w:val="right" w:leader="dot" w:pos="8312"/>
        </w:tabs>
        <w:rPr>
          <w:rFonts w:hint="eastAsia" w:ascii="宋体" w:hAnsi="宋体" w:eastAsia="宋体" w:cs="宋体"/>
          <w:sz w:val="24"/>
          <w:szCs w:val="24"/>
        </w:rPr>
      </w:pPr>
      <w:r>
        <w:rPr>
          <w:rFonts w:hint="eastAsia" w:ascii="宋体" w:hAnsi="宋体" w:eastAsia="宋体" w:cs="宋体"/>
          <w:b w:val="0"/>
          <w:smallCaps/>
          <w:sz w:val="24"/>
          <w:szCs w:val="24"/>
        </w:rPr>
        <w:fldChar w:fldCharType="begin"/>
      </w:r>
      <w:r>
        <w:rPr>
          <w:rFonts w:hint="eastAsia" w:ascii="宋体" w:hAnsi="宋体" w:eastAsia="宋体" w:cs="宋体"/>
          <w:b w:val="0"/>
          <w:smallCaps/>
          <w:sz w:val="24"/>
          <w:szCs w:val="24"/>
        </w:rPr>
        <w:instrText xml:space="preserve"> TOC \o "1-3" \h \z \u </w:instrText>
      </w:r>
      <w:r>
        <w:rPr>
          <w:rFonts w:hint="eastAsia" w:ascii="宋体" w:hAnsi="宋体" w:eastAsia="宋体" w:cs="宋体"/>
          <w:b w:val="0"/>
          <w:smallCaps/>
          <w:sz w:val="24"/>
          <w:szCs w:val="24"/>
        </w:rPr>
        <w:fldChar w:fldCharType="separate"/>
      </w:r>
    </w:p>
    <w:p>
      <w:pPr>
        <w:pStyle w:val="28"/>
        <w:tabs>
          <w:tab w:val="right" w:leader="dot" w:pos="8312"/>
        </w:tabs>
        <w:rPr>
          <w:rFonts w:hint="eastAsia" w:ascii="宋体" w:hAnsi="宋体" w:eastAsia="宋体" w:cs="宋体"/>
          <w:i w:val="0"/>
          <w:iCs w:val="0"/>
          <w:sz w:val="24"/>
          <w:szCs w:val="24"/>
        </w:rPr>
      </w:pPr>
      <w:r>
        <w:rPr>
          <w:rFonts w:hint="eastAsia" w:ascii="宋体" w:hAnsi="宋体" w:eastAsia="宋体" w:cs="宋体"/>
          <w:smallCaps/>
          <w:sz w:val="24"/>
          <w:szCs w:val="24"/>
        </w:rPr>
        <w:fldChar w:fldCharType="end"/>
      </w:r>
    </w:p>
    <w:p>
      <w:pPr>
        <w:pStyle w:val="23"/>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_Toc26572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一、政府部门财务报表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_Toc26572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28"/>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_Toc30940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（一）政府部门会计报表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_Toc30940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_Toc13073 </w:instrText>
      </w:r>
      <w:r>
        <w:rPr>
          <w:rFonts w:hint="eastAsia" w:ascii="宋体" w:hAnsi="宋体" w:eastAsia="宋体" w:cs="宋体"/>
          <w:i w:val="0"/>
          <w:iCs w:val="0"/>
          <w:smallCaps/>
          <w:sz w:val="24"/>
          <w:szCs w:val="24"/>
        </w:rPr>
        <w:fldChar w:fldCharType="separate"/>
      </w:r>
      <w:r>
        <w:rPr>
          <w:rFonts w:hint="eastAsia" w:ascii="宋体" w:hAnsi="宋体" w:eastAsia="宋体" w:cs="宋体"/>
          <w:bCs/>
          <w:i w:val="0"/>
          <w:iCs w:val="0"/>
          <w:kern w:val="2"/>
          <w:sz w:val="24"/>
          <w:szCs w:val="24"/>
        </w:rPr>
        <w:t>资产负债表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_Toc13073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3</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_Toc26870 </w:instrText>
      </w:r>
      <w:r>
        <w:rPr>
          <w:rFonts w:hint="eastAsia" w:ascii="宋体" w:hAnsi="宋体" w:eastAsia="宋体" w:cs="宋体"/>
          <w:i w:val="0"/>
          <w:iCs w:val="0"/>
          <w:smallCaps/>
          <w:sz w:val="24"/>
          <w:szCs w:val="24"/>
        </w:rPr>
        <w:fldChar w:fldCharType="separate"/>
      </w:r>
      <w:r>
        <w:rPr>
          <w:rFonts w:hint="eastAsia" w:ascii="宋体" w:hAnsi="宋体" w:eastAsia="宋体" w:cs="宋体"/>
          <w:bCs/>
          <w:i w:val="0"/>
          <w:iCs w:val="0"/>
          <w:kern w:val="2"/>
          <w:sz w:val="24"/>
          <w:szCs w:val="24"/>
        </w:rPr>
        <w:t>收入费用表（1）</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_Toc26870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_Toc21414 </w:instrText>
      </w:r>
      <w:r>
        <w:rPr>
          <w:rFonts w:hint="eastAsia" w:ascii="宋体" w:hAnsi="宋体" w:eastAsia="宋体" w:cs="宋体"/>
          <w:i w:val="0"/>
          <w:iCs w:val="0"/>
          <w:smallCaps/>
          <w:sz w:val="24"/>
          <w:szCs w:val="24"/>
        </w:rPr>
        <w:fldChar w:fldCharType="separate"/>
      </w:r>
      <w:r>
        <w:rPr>
          <w:rFonts w:hint="eastAsia" w:ascii="宋体" w:hAnsi="宋体" w:eastAsia="宋体" w:cs="宋体"/>
          <w:bCs/>
          <w:i w:val="0"/>
          <w:iCs w:val="0"/>
          <w:kern w:val="2"/>
          <w:sz w:val="24"/>
          <w:szCs w:val="24"/>
        </w:rPr>
        <w:t>收入费用表（2）</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_Toc21414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5</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28"/>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_Toc171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（二）政府部门会计报表附注</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_Toc171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_Toc15313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1.会计报表编制基础。</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_Toc15313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_Toc26478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2.遵循相关制度规定的声明。</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_Toc26478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_Toc8791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合并范围。</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_Toc8791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_Toc31120 </w:instrText>
      </w:r>
      <w:r>
        <w:rPr>
          <w:rFonts w:hint="eastAsia" w:ascii="宋体" w:hAnsi="宋体" w:eastAsia="宋体" w:cs="宋体"/>
          <w:i w:val="0"/>
          <w:iCs w:val="0"/>
          <w:smallCaps/>
          <w:sz w:val="24"/>
          <w:szCs w:val="24"/>
        </w:rPr>
        <w:fldChar w:fldCharType="separate"/>
      </w:r>
      <w:r>
        <w:rPr>
          <w:rFonts w:hint="eastAsia" w:ascii="宋体" w:hAnsi="宋体" w:eastAsia="宋体" w:cs="宋体"/>
          <w:bCs w:val="0"/>
          <w:i w:val="0"/>
          <w:iCs w:val="0"/>
          <w:sz w:val="24"/>
          <w:szCs w:val="24"/>
          <w:lang w:val="en-US" w:eastAsia="zh-CN"/>
        </w:rPr>
        <w:t>2020年，</w:t>
      </w:r>
      <w:r>
        <w:rPr>
          <w:rFonts w:hint="eastAsia" w:ascii="宋体" w:hAnsi="宋体" w:eastAsia="宋体" w:cs="宋体"/>
          <w:bCs w:val="0"/>
          <w:i w:val="0"/>
          <w:iCs w:val="0"/>
          <w:sz w:val="24"/>
          <w:szCs w:val="24"/>
          <w:highlight w:val="none"/>
          <w:lang w:val="en-US" w:eastAsia="zh-CN"/>
        </w:rPr>
        <w:t>莫力</w:t>
      </w:r>
      <w:r>
        <w:rPr>
          <w:rFonts w:hint="eastAsia" w:ascii="宋体" w:hAnsi="宋体" w:eastAsia="宋体" w:cs="宋体"/>
          <w:i w:val="0"/>
          <w:iCs w:val="0"/>
          <w:sz w:val="24"/>
          <w:szCs w:val="24"/>
          <w:highlight w:val="none"/>
          <w:lang w:val="en-US" w:eastAsia="zh-CN"/>
        </w:rPr>
        <w:t>达瓦达斡尔族自治旗民政局及下设预算单位共4家，其中：莫力达瓦达斡尔族自治旗民政局为财政拨款的行政单位，其他3家单位为所属公益一类事业单位。2020年年末实有在职人数为71人， 退休人员39人，行政人员21人，非参公事业人员50人。</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_Toc31120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_Toc22649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 xml:space="preserve">3. </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_Toc22649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7</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_Toc22707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4.重要会计政策与会计估计变更情况。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_Toc22707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8</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_Toc24849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5.会计报表重要项目的明细信息及说明</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_Toc24849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9</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23"/>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_Toc19719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二、政府部门财务分析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_Toc19719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_Toc22883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（一）</w:t>
      </w:r>
      <w:r>
        <w:rPr>
          <w:rFonts w:hint="eastAsia" w:ascii="宋体" w:hAnsi="宋体" w:eastAsia="宋体" w:cs="宋体"/>
          <w:i w:val="0"/>
          <w:iCs w:val="0"/>
          <w:spacing w:val="-8"/>
          <w:sz w:val="24"/>
          <w:szCs w:val="24"/>
        </w:rPr>
        <w:t>政府部门工作目标完成情况。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_Toc22883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_Toc25930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lang w:val="en-US" w:eastAsia="zh-CN"/>
        </w:rPr>
        <w:t>贯彻和执行国家和自治区、呼伦贝尔市关于民政业务的法律和有关政策、标准、规划。</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_Toc25930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_Toc2454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（二）政府部门财务状况分析。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_Toc2454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16</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pStyle w:val="17"/>
        <w:tabs>
          <w:tab w:val="right" w:leader="dot" w:pos="8312"/>
        </w:tabs>
        <w:rPr>
          <w:rFonts w:hint="eastAsia" w:ascii="宋体" w:hAnsi="宋体" w:eastAsia="宋体" w:cs="宋体"/>
          <w:i w:val="0"/>
          <w:iCs w:val="0"/>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_Toc29658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（三）政府部门运行情况分析。</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_Toc29658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20</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spacing w:line="360" w:lineRule="auto"/>
        <w:jc w:val="both"/>
        <w:rPr>
          <w:rFonts w:hint="eastAsia" w:ascii="宋体" w:hAnsi="宋体" w:eastAsia="宋体" w:cs="宋体"/>
          <w:smallCaps/>
          <w:sz w:val="24"/>
          <w:szCs w:val="24"/>
        </w:rPr>
      </w:pPr>
      <w:r>
        <w:rPr>
          <w:rFonts w:hint="eastAsia" w:ascii="宋体" w:hAnsi="宋体" w:eastAsia="宋体" w:cs="宋体"/>
          <w:i w:val="0"/>
          <w:iCs w:val="0"/>
          <w:smallCaps/>
          <w:sz w:val="24"/>
          <w:szCs w:val="24"/>
        </w:rPr>
        <w:fldChar w:fldCharType="begin"/>
      </w:r>
      <w:r>
        <w:rPr>
          <w:rFonts w:hint="eastAsia" w:ascii="宋体" w:hAnsi="宋体" w:eastAsia="宋体" w:cs="宋体"/>
          <w:i w:val="0"/>
          <w:iCs w:val="0"/>
          <w:smallCaps/>
          <w:sz w:val="24"/>
          <w:szCs w:val="24"/>
        </w:rPr>
        <w:instrText xml:space="preserve"> HYPERLINK \l _Toc25089 </w:instrText>
      </w:r>
      <w:r>
        <w:rPr>
          <w:rFonts w:hint="eastAsia" w:ascii="宋体" w:hAnsi="宋体" w:eastAsia="宋体" w:cs="宋体"/>
          <w:i w:val="0"/>
          <w:iCs w:val="0"/>
          <w:smallCaps/>
          <w:sz w:val="24"/>
          <w:szCs w:val="24"/>
        </w:rPr>
        <w:fldChar w:fldCharType="separate"/>
      </w:r>
      <w:r>
        <w:rPr>
          <w:rFonts w:hint="eastAsia" w:ascii="宋体" w:hAnsi="宋体" w:eastAsia="宋体" w:cs="宋体"/>
          <w:i w:val="0"/>
          <w:iCs w:val="0"/>
          <w:sz w:val="24"/>
          <w:szCs w:val="24"/>
        </w:rPr>
        <w:t>（四）政府部门财务管理情况。</w:t>
      </w:r>
      <w:r>
        <w:rPr>
          <w:rFonts w:hint="eastAsia" w:ascii="宋体" w:hAnsi="宋体" w:eastAsia="宋体" w:cs="宋体"/>
          <w:i w:val="0"/>
          <w:iCs w:val="0"/>
          <w:sz w:val="24"/>
          <w:szCs w:val="24"/>
        </w:rPr>
        <w:tab/>
      </w:r>
      <w:r>
        <w:rPr>
          <w:rFonts w:hint="eastAsia" w:ascii="宋体" w:hAnsi="宋体" w:eastAsia="宋体" w:cs="宋体"/>
          <w:i w:val="0"/>
          <w:iCs w:val="0"/>
          <w:sz w:val="24"/>
          <w:szCs w:val="24"/>
        </w:rPr>
        <w:fldChar w:fldCharType="begin"/>
      </w:r>
      <w:r>
        <w:rPr>
          <w:rFonts w:hint="eastAsia" w:ascii="宋体" w:hAnsi="宋体" w:eastAsia="宋体" w:cs="宋体"/>
          <w:i w:val="0"/>
          <w:iCs w:val="0"/>
          <w:sz w:val="24"/>
          <w:szCs w:val="24"/>
        </w:rPr>
        <w:instrText xml:space="preserve"> PAGEREF _Toc25089 </w:instrText>
      </w:r>
      <w:r>
        <w:rPr>
          <w:rFonts w:hint="eastAsia" w:ascii="宋体" w:hAnsi="宋体" w:eastAsia="宋体" w:cs="宋体"/>
          <w:i w:val="0"/>
          <w:iCs w:val="0"/>
          <w:sz w:val="24"/>
          <w:szCs w:val="24"/>
        </w:rPr>
        <w:fldChar w:fldCharType="separate"/>
      </w:r>
      <w:r>
        <w:rPr>
          <w:rFonts w:hint="eastAsia" w:ascii="宋体" w:hAnsi="宋体" w:eastAsia="宋体" w:cs="宋体"/>
          <w:i w:val="0"/>
          <w:iCs w:val="0"/>
          <w:sz w:val="24"/>
          <w:szCs w:val="24"/>
        </w:rPr>
        <w:t>23</w:t>
      </w:r>
      <w:r>
        <w:rPr>
          <w:rFonts w:hint="eastAsia" w:ascii="宋体" w:hAnsi="宋体" w:eastAsia="宋体" w:cs="宋体"/>
          <w:i w:val="0"/>
          <w:iCs w:val="0"/>
          <w:sz w:val="24"/>
          <w:szCs w:val="24"/>
        </w:rPr>
        <w:fldChar w:fldCharType="end"/>
      </w:r>
      <w:r>
        <w:rPr>
          <w:rFonts w:hint="eastAsia" w:ascii="宋体" w:hAnsi="宋体" w:eastAsia="宋体" w:cs="宋体"/>
          <w:i w:val="0"/>
          <w:iCs w:val="0"/>
          <w:smallCaps/>
          <w:sz w:val="24"/>
          <w:szCs w:val="24"/>
        </w:rPr>
        <w:fldChar w:fldCharType="end"/>
      </w:r>
    </w:p>
    <w:p>
      <w:pPr>
        <w:spacing w:line="360" w:lineRule="auto"/>
        <w:jc w:val="both"/>
        <w:rPr>
          <w:rFonts w:eastAsia="仿宋_GB2312"/>
          <w:smallCaps/>
        </w:rPr>
      </w:pPr>
    </w:p>
    <w:p>
      <w:pPr>
        <w:spacing w:line="360" w:lineRule="auto"/>
        <w:jc w:val="both"/>
        <w:rPr>
          <w:rFonts w:eastAsia="仿宋_GB2312"/>
          <w:smallCaps/>
        </w:rPr>
        <w:sectPr>
          <w:footerReference r:id="rId8" w:type="first"/>
          <w:footnotePr>
            <w:numFmt w:val="decimalEnclosedCircleChinese"/>
          </w:footnotePr>
          <w:pgSz w:w="11906" w:h="16838"/>
          <w:pgMar w:top="1440" w:right="1797" w:bottom="1440" w:left="1797" w:header="851" w:footer="992" w:gutter="0"/>
          <w:cols w:space="425" w:num="1"/>
          <w:docGrid w:type="lines" w:linePitch="326" w:charSpace="0"/>
        </w:sectPr>
      </w:pPr>
    </w:p>
    <w:p>
      <w:pPr>
        <w:pStyle w:val="2"/>
        <w:spacing w:before="0" w:after="0" w:line="360" w:lineRule="auto"/>
        <w:rPr>
          <w:rStyle w:val="43"/>
          <w:rFonts w:ascii="宋体" w:eastAsia="宋体"/>
          <w:b w:val="0"/>
          <w:sz w:val="32"/>
          <w:szCs w:val="32"/>
        </w:rPr>
      </w:pPr>
      <w:bookmarkStart w:id="13" w:name="_Toc435361944"/>
      <w:bookmarkStart w:id="14" w:name="_Toc26572"/>
      <w:bookmarkStart w:id="15" w:name="_Toc436083527"/>
      <w:bookmarkStart w:id="16" w:name="_Toc435362289"/>
      <w:bookmarkStart w:id="17" w:name="_Toc35452575"/>
      <w:bookmarkStart w:id="18" w:name="_Toc503548884"/>
      <w:bookmarkStart w:id="19" w:name="_Toc435363360"/>
      <w:bookmarkStart w:id="20" w:name="_Toc435362487"/>
      <w:bookmarkStart w:id="21" w:name="_Toc435362062"/>
      <w:bookmarkStart w:id="22" w:name="_Toc435360895"/>
      <w:r>
        <w:rPr>
          <w:rFonts w:hint="eastAsia" w:ascii="宋体" w:eastAsia="宋体"/>
          <w:sz w:val="32"/>
          <w:szCs w:val="32"/>
        </w:rPr>
        <w:t>一、政府部门财务报表</w:t>
      </w:r>
      <w:bookmarkEnd w:id="13"/>
      <w:bookmarkEnd w:id="14"/>
      <w:bookmarkEnd w:id="15"/>
      <w:bookmarkEnd w:id="16"/>
      <w:bookmarkEnd w:id="17"/>
      <w:bookmarkEnd w:id="18"/>
      <w:bookmarkEnd w:id="19"/>
      <w:bookmarkEnd w:id="20"/>
      <w:bookmarkEnd w:id="21"/>
      <w:bookmarkEnd w:id="22"/>
    </w:p>
    <w:p>
      <w:pPr>
        <w:pStyle w:val="3"/>
        <w:spacing w:before="0" w:after="0" w:line="360" w:lineRule="auto"/>
        <w:ind w:firstLine="602" w:firstLineChars="200"/>
        <w:jc w:val="left"/>
        <w:rPr>
          <w:rFonts w:asciiTheme="minorEastAsia" w:hAnsiTheme="minorEastAsia" w:eastAsiaTheme="minorEastAsia"/>
        </w:rPr>
      </w:pPr>
      <w:bookmarkStart w:id="23" w:name="_Toc435362290"/>
      <w:bookmarkStart w:id="24" w:name="_Toc435361945"/>
      <w:bookmarkStart w:id="25" w:name="_Toc30940"/>
      <w:bookmarkStart w:id="26" w:name="_Toc35452576"/>
      <w:bookmarkStart w:id="27" w:name="_Toc503548885"/>
      <w:bookmarkStart w:id="28" w:name="_Toc435362063"/>
      <w:bookmarkStart w:id="29" w:name="_Toc436083528"/>
      <w:bookmarkStart w:id="30" w:name="_Toc435362488"/>
      <w:r>
        <w:rPr>
          <w:rFonts w:hint="eastAsia" w:asciiTheme="minorEastAsia" w:hAnsiTheme="minorEastAsia" w:eastAsiaTheme="minorEastAsia"/>
        </w:rPr>
        <w:t>（一）政府部门会计报表</w:t>
      </w:r>
      <w:bookmarkEnd w:id="23"/>
      <w:bookmarkEnd w:id="24"/>
      <w:bookmarkEnd w:id="25"/>
      <w:bookmarkEnd w:id="26"/>
      <w:bookmarkEnd w:id="27"/>
      <w:bookmarkEnd w:id="28"/>
      <w:bookmarkEnd w:id="29"/>
      <w:bookmarkEnd w:id="30"/>
    </w:p>
    <w:p/>
    <w:p>
      <w:bookmarkStart w:id="31" w:name="_Toc435362291"/>
      <w:bookmarkStart w:id="32" w:name="_Toc435362064"/>
      <w:bookmarkStart w:id="33" w:name="_Toc435361946"/>
      <w:bookmarkStart w:id="34" w:name="_Toc435362489"/>
      <w:r>
        <w:rPr>
          <w:rFonts w:hint="eastAsia"/>
        </w:rPr>
        <w:t>表</w:t>
      </w:r>
      <w: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35" w:name="_Toc13073"/>
      <w:bookmarkStart w:id="36" w:name="_Toc35452577"/>
      <w:r>
        <w:rPr>
          <w:rFonts w:hint="eastAsia" w:cs="Times New Roman" w:asciiTheme="majorEastAsia" w:hAnsiTheme="majorEastAsia" w:eastAsiaTheme="majorEastAsia"/>
          <w:b/>
          <w:bCs/>
          <w:kern w:val="2"/>
          <w:sz w:val="28"/>
          <w:szCs w:val="28"/>
        </w:rPr>
        <w:t>资产负债表</w:t>
      </w:r>
      <w:bookmarkEnd w:id="31"/>
      <w:bookmarkEnd w:id="32"/>
      <w:bookmarkEnd w:id="33"/>
      <w:bookmarkEnd w:id="34"/>
      <w:bookmarkEnd w:id="35"/>
      <w:bookmarkEnd w:id="36"/>
    </w:p>
    <w:p>
      <w:pPr>
        <w:tabs>
          <w:tab w:val="left" w:pos="4160"/>
          <w:tab w:val="left" w:pos="717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编制单位：内蒙古自治区呼伦贝尔市莫力达瓦达斡尔族自治旗民政局</w:t>
      </w:r>
      <w:r>
        <w:rPr>
          <w:b/>
          <w:bCs/>
          <w:sz w:val="20"/>
          <w:szCs w:val="20"/>
        </w:rPr>
        <w:tab/>
      </w:r>
      <w:r>
        <w:rPr>
          <w:sz w:val="20"/>
          <w:szCs w:val="20"/>
        </w:rPr>
        <w:t>2020</w:t>
      </w:r>
      <w:r>
        <w:rPr>
          <w:rFonts w:hint="eastAsia"/>
          <w:sz w:val="20"/>
          <w:szCs w:val="20"/>
        </w:rPr>
        <w:t>年12月31日</w:t>
      </w:r>
      <w:r>
        <w:rPr>
          <w:b/>
          <w:bCs/>
          <w:sz w:val="20"/>
          <w:szCs w:val="20"/>
        </w:rPr>
        <w:tab/>
      </w:r>
      <w:r>
        <w:rPr>
          <w:rFonts w:hint="eastAsia"/>
          <w:sz w:val="20"/>
          <w:szCs w:val="20"/>
        </w:rPr>
        <w:t>单位：万元</w:t>
      </w:r>
    </w:p>
    <w:tbl>
      <w:tblPr>
        <w:tblStyle w:val="34"/>
        <w:tblW w:w="8958" w:type="dxa"/>
        <w:jc w:val="center"/>
        <w:tblLayout w:type="fixed"/>
        <w:tblCellMar>
          <w:top w:w="0" w:type="dxa"/>
          <w:left w:w="108" w:type="dxa"/>
          <w:bottom w:w="0" w:type="dxa"/>
          <w:right w:w="108" w:type="dxa"/>
        </w:tblCellMar>
      </w:tblPr>
      <w:tblGrid>
        <w:gridCol w:w="3890"/>
        <w:gridCol w:w="1276"/>
        <w:gridCol w:w="1733"/>
        <w:gridCol w:w="2059"/>
      </w:tblGrid>
      <w:tr>
        <w:tblPrEx>
          <w:tblCellMar>
            <w:top w:w="0" w:type="dxa"/>
            <w:left w:w="108" w:type="dxa"/>
            <w:bottom w:w="0" w:type="dxa"/>
            <w:right w:w="108" w:type="dxa"/>
          </w:tblCellMar>
        </w:tblPrEx>
        <w:trPr>
          <w:trHeight w:val="340" w:hRule="exact"/>
          <w:tblHeader/>
          <w:jc w:val="center"/>
        </w:trPr>
        <w:tc>
          <w:tcPr>
            <w:tcW w:w="3890"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项目</w:t>
            </w:r>
          </w:p>
        </w:tc>
        <w:tc>
          <w:tcPr>
            <w:tcW w:w="1276"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附注</w:t>
            </w:r>
          </w:p>
        </w:tc>
        <w:tc>
          <w:tcPr>
            <w:tcW w:w="1733"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年末数</w:t>
            </w:r>
          </w:p>
        </w:tc>
        <w:tc>
          <w:tcPr>
            <w:tcW w:w="2059" w:type="dxa"/>
            <w:tcBorders>
              <w:top w:val="single" w:color="auto" w:sz="4" w:space="0"/>
              <w:bottom w:val="single" w:color="auto" w:sz="4" w:space="0"/>
            </w:tcBorders>
            <w:shd w:val="clear" w:color="FFFFFF" w:fill="FFFFFF"/>
            <w:vAlign w:val="center"/>
          </w:tcPr>
          <w:p>
            <w:pPr>
              <w:adjustRightInd w:val="0"/>
              <w:snapToGrid w:val="0"/>
              <w:spacing w:line="320" w:lineRule="exact"/>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890"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276"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1733"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c>
          <w:tcPr>
            <w:tcW w:w="2059" w:type="dxa"/>
            <w:tcBorders>
              <w:top w:val="single" w:color="auto" w:sz="4" w:space="0"/>
            </w:tcBorders>
            <w:shd w:val="clear" w:color="FFFFFF" w:fill="FFFFFF"/>
            <w:vAlign w:val="center"/>
          </w:tcPr>
          <w:p>
            <w:pPr>
              <w:adjustRightInd w:val="0"/>
              <w:snapToGrid w:val="0"/>
              <w:spacing w:line="320" w:lineRule="exact"/>
              <w:jc w:val="center"/>
              <w:rPr>
                <w:b/>
                <w:bCs/>
                <w:sz w:val="20"/>
                <w:szCs w:val="20"/>
              </w:rPr>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货币资金</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81.10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79.16</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短期投资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财政应返还额度</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应收账款净额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2,716.49</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1,183.49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应收股利</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应收利息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其他应收款净额</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10,534.78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8,896.59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存货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13,332.37</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10,159.24</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长期股权投资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长期债券投资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838.98</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804.26</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减：固定资产累计折旧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543.87</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490.11</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固定资产净值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295.11</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314.15</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工程物资</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在建工程</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附表7</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减：无形资产累计摊销</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无形资产净值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附表8</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研发支出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公共基础设施原值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减：公共基础设施累计折旧（摊销）</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公共基础设施净值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附表9</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政府储备物资</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附表10</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文物文化资产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保障性住房原值</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减：保障性住房累计折旧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保障性住房净值</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附表11</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长期待摊费用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待处理财产损溢</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非流动资产合计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295.11</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314.15</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13,627.48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10,473.39</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短期借款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应交增值税</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其他应交税费</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应缴财政款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48.81</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应付职工薪酬</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应付票据</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附表12</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应付政府补贴款</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应付利息</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预收账款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附表13</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附表14</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815.25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673.16</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预提费用</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一年内到期的非流动负债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815.25</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721.97</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长期借款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附表15</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长期应付款</w:t>
            </w:r>
          </w:p>
        </w:tc>
        <w:tc>
          <w:tcPr>
            <w:tcW w:w="1276"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val="0"/>
                <w:i w:val="0"/>
                <w:color w:val="000000"/>
                <w:position w:val="-1"/>
                <w:sz w:val="20"/>
                <w:u w:val="none"/>
              </w:rPr>
              <w:t xml:space="preserve">  附表16</w:t>
            </w: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预计负债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其他非流动负债</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center"/>
              <w:textAlignment w:val="auto"/>
            </w:pPr>
            <w:r>
              <w:rPr>
                <w:rFonts w:ascii="Times New Roman" w:hAnsi="Times New Roman" w:eastAsia="Times New Roman" w:cs="Times New Roman"/>
                <w:b/>
                <w:i w:val="0"/>
                <w:color w:val="auto"/>
                <w:position w:val="-1"/>
                <w:sz w:val="20"/>
                <w:u w:val="none"/>
              </w:rPr>
              <w:t>非流动负债合计</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受托代理负债</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负债合计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815.25</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721.97</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净资产:</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p>
        </w:tc>
        <w:tc>
          <w:tcPr>
            <w:tcW w:w="2059" w:type="dxa"/>
            <w:shd w:val="clear" w:color="FFFFFF" w:fill="FFFFFF"/>
            <w:vAlign w:val="center"/>
          </w:tcPr>
          <w:p>
            <w:pPr>
              <w:pageBreakBefore w:val="0"/>
              <w:spacing w:line="320" w:lineRule="exact"/>
              <w:jc w:val="right"/>
              <w:textAlignment w:val="auto"/>
            </w:pP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累计盈余</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12,812.23</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9,751.42</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专用基金</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40" w:hRule="atLeast"/>
          <w:jc w:val="center"/>
        </w:trPr>
        <w:tc>
          <w:tcPr>
            <w:tcW w:w="3890" w:type="dxa"/>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val="0"/>
                <w:i w:val="0"/>
                <w:color w:val="auto"/>
                <w:position w:val="-1"/>
                <w:sz w:val="20"/>
                <w:u w:val="none"/>
              </w:rPr>
              <w:t xml:space="preserve">  权益法调整</w:t>
            </w:r>
          </w:p>
        </w:tc>
        <w:tc>
          <w:tcPr>
            <w:tcW w:w="1276" w:type="dxa"/>
            <w:shd w:val="clear" w:color="FFFFFF" w:fill="FFFFFF"/>
            <w:vAlign w:val="center"/>
          </w:tcPr>
          <w:p>
            <w:pPr>
              <w:pageBreakBefore w:val="0"/>
              <w:spacing w:line="320" w:lineRule="exact"/>
              <w:jc w:val="center"/>
              <w:textAlignment w:val="auto"/>
            </w:pPr>
          </w:p>
        </w:tc>
        <w:tc>
          <w:tcPr>
            <w:tcW w:w="1733"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c>
          <w:tcPr>
            <w:tcW w:w="2059" w:type="dxa"/>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净资产</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12,812.23</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9,751.42</w:t>
            </w:r>
          </w:p>
        </w:tc>
      </w:tr>
      <w:tr>
        <w:tblPrEx>
          <w:tblCellMar>
            <w:top w:w="0" w:type="dxa"/>
            <w:left w:w="108" w:type="dxa"/>
            <w:bottom w:w="0" w:type="dxa"/>
            <w:right w:w="108" w:type="dxa"/>
          </w:tblCellMar>
        </w:tblPrEx>
        <w:trPr>
          <w:trHeight w:val="455" w:hRule="atLeast"/>
          <w:jc w:val="center"/>
        </w:trPr>
        <w:tc>
          <w:tcPr>
            <w:tcW w:w="3890" w:type="dxa"/>
            <w:tcBorders>
              <w:bottom w:val="single" w:color="auto" w:sz="4" w:space="0"/>
            </w:tcBorders>
            <w:shd w:val="clear" w:color="FFFFFF" w:fill="FFFFFF"/>
            <w:vAlign w:val="center"/>
          </w:tcPr>
          <w:p>
            <w:pPr>
              <w:pageBreakBefore w:val="0"/>
              <w:spacing w:line="320" w:lineRule="exact"/>
              <w:jc w:val="left"/>
              <w:textAlignment w:val="auto"/>
            </w:pPr>
            <w:r>
              <w:rPr>
                <w:rFonts w:ascii="Times New Roman" w:hAnsi="Times New Roman" w:eastAsia="Times New Roman" w:cs="Times New Roman"/>
                <w:b/>
                <w:i w:val="0"/>
                <w:color w:val="auto"/>
                <w:position w:val="-1"/>
                <w:sz w:val="20"/>
                <w:u w:val="none"/>
              </w:rPr>
              <w:t>负债及净资产总计</w:t>
            </w:r>
          </w:p>
        </w:tc>
        <w:tc>
          <w:tcPr>
            <w:tcW w:w="1276" w:type="dxa"/>
            <w:tcBorders>
              <w:bottom w:val="single" w:color="auto" w:sz="4" w:space="0"/>
            </w:tcBorders>
            <w:shd w:val="clear" w:color="FFFFFF" w:fill="FFFFFF"/>
            <w:vAlign w:val="center"/>
          </w:tcPr>
          <w:p>
            <w:pPr>
              <w:pageBreakBefore w:val="0"/>
              <w:spacing w:line="320" w:lineRule="exact"/>
              <w:jc w:val="center"/>
              <w:textAlignment w:val="auto"/>
            </w:pPr>
          </w:p>
        </w:tc>
        <w:tc>
          <w:tcPr>
            <w:tcW w:w="1733"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13,627.48</w:t>
            </w:r>
          </w:p>
        </w:tc>
        <w:tc>
          <w:tcPr>
            <w:tcW w:w="2059" w:type="dxa"/>
            <w:tcBorders>
              <w:bottom w:val="single" w:color="auto" w:sz="4" w:space="0"/>
            </w:tcBorders>
            <w:shd w:val="clear" w:color="FFFFFF" w:fill="FFFFFF"/>
            <w:vAlign w:val="center"/>
          </w:tcPr>
          <w:p>
            <w:pPr>
              <w:pageBreakBefore w:val="0"/>
              <w:spacing w:line="320" w:lineRule="exact"/>
              <w:jc w:val="right"/>
              <w:textAlignment w:val="auto"/>
            </w:pPr>
            <w:r>
              <w:rPr>
                <w:rFonts w:ascii="Times New Roman" w:hAnsi="Times New Roman" w:eastAsia="Times New Roman" w:cs="Times New Roman"/>
                <w:b w:val="0"/>
                <w:i w:val="0"/>
                <w:color w:val="000000"/>
                <w:position w:val="-1"/>
                <w:sz w:val="20"/>
                <w:u w:val="none"/>
              </w:rPr>
              <w:t>10,473.39</w:t>
            </w:r>
          </w:p>
        </w:tc>
      </w:tr>
    </w:tbl>
    <w:p>
      <w:pPr>
        <w:pStyle w:val="110"/>
        <w:ind w:firstLine="0" w:firstLineChars="0"/>
        <w:rPr>
          <w:rFonts w:asciiTheme="minorEastAsia" w:hAnsiTheme="minorEastAsia" w:eastAsiaTheme="minorEastAsia"/>
          <w:sz w:val="22"/>
        </w:rPr>
      </w:pPr>
      <w:bookmarkStart w:id="37" w:name="_Toc435362292"/>
      <w:bookmarkStart w:id="38" w:name="_Toc435362490"/>
      <w:bookmarkStart w:id="39" w:name="_Toc435361947"/>
      <w:bookmarkStart w:id="40" w:name="_Toc435362065"/>
    </w:p>
    <w:p>
      <w:r>
        <w:rPr>
          <w:rFonts w:hint="eastAsia"/>
        </w:rPr>
        <w:t>表</w:t>
      </w:r>
      <w:r>
        <w:t>2</w:t>
      </w:r>
      <w:bookmarkEnd w:id="37"/>
      <w:bookmarkEnd w:id="38"/>
      <w:bookmarkEnd w:id="39"/>
      <w:bookmarkEnd w:id="40"/>
      <w:r>
        <w:rPr>
          <w:rFonts w:hint="eastAsia"/>
        </w:rPr>
        <w:t>-1</w:t>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1" w:name="_Toc35452578"/>
      <w:bookmarkStart w:id="42" w:name="_Toc26870"/>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（1）</w:t>
      </w:r>
      <w:bookmarkEnd w:id="41"/>
      <w:bookmarkEnd w:id="42"/>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编制单位：内蒙古自治区呼伦贝尔市莫力达瓦达斡尔族自治旗民政局</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blPrEx>
          <w:tblCellMar>
            <w:top w:w="0" w:type="dxa"/>
            <w:left w:w="108" w:type="dxa"/>
            <w:bottom w:w="0" w:type="dxa"/>
            <w:right w:w="108" w:type="dxa"/>
          </w:tblCellMar>
        </w:tblPrEx>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18,765.38</w:t>
            </w:r>
          </w:p>
        </w:tc>
        <w:tc>
          <w:tcPr>
            <w:tcW w:w="1984" w:type="dxa"/>
            <w:shd w:val="clear" w:color="FFFFFF" w:fill="FFFFFF"/>
            <w:vAlign w:val="center"/>
          </w:tcPr>
          <w:p>
            <w:pPr>
              <w:pageBreakBefore w:val="0"/>
              <w:jc w:val="right"/>
              <w:textAlignment w:val="auto"/>
            </w:pPr>
            <w:r>
              <w:rPr>
                <w:b w:val="0"/>
                <w:i w:val="0"/>
                <w:color w:val="auto"/>
                <w:position w:val="-1"/>
                <w:sz w:val="20"/>
                <w:u w:val="none"/>
              </w:rPr>
              <w:t>17,900.18</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事业收入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上级补助收入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附表27</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附表19</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投资收益</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附表5</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0.12</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其他收入</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附表20</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18,765.38</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17,900.30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业务活动费用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附表21</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19,328.63</w:t>
            </w:r>
          </w:p>
        </w:tc>
        <w:tc>
          <w:tcPr>
            <w:tcW w:w="1984" w:type="dxa"/>
            <w:shd w:val="clear" w:color="FFFFFF" w:fill="FFFFFF"/>
            <w:vAlign w:val="center"/>
          </w:tcPr>
          <w:p>
            <w:pPr>
              <w:pageBreakBefore w:val="0"/>
              <w:jc w:val="right"/>
              <w:textAlignment w:val="auto"/>
            </w:pPr>
            <w:r>
              <w:rPr>
                <w:b w:val="0"/>
                <w:i w:val="0"/>
                <w:color w:val="auto"/>
                <w:position w:val="-1"/>
                <w:sz w:val="20"/>
                <w:u w:val="none"/>
              </w:rPr>
              <w:t>15,157.10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单位管理费用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附表22</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经营费用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附表23</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上缴上级费用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附表28</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对附属单位补助费用</w:t>
            </w:r>
          </w:p>
        </w:tc>
        <w:tc>
          <w:tcPr>
            <w:tcW w:w="1417" w:type="dxa"/>
            <w:shd w:val="clear" w:color="FFFFFF" w:fill="FFFFFF"/>
            <w:vAlign w:val="center"/>
          </w:tcPr>
          <w:p>
            <w:pPr>
              <w:pageBreakBefore w:val="0"/>
              <w:jc w:val="center"/>
              <w:textAlignment w:val="auto"/>
            </w:pPr>
            <w:r>
              <w:rPr>
                <w:rFonts w:ascii="Times New Roman" w:hAnsi="Times New Roman" w:eastAsia="Times New Roman" w:cs="Times New Roman"/>
                <w:b w:val="0"/>
                <w:i w:val="0"/>
                <w:color w:val="000000"/>
                <w:position w:val="-1"/>
                <w:sz w:val="20"/>
                <w:u w:val="none"/>
              </w:rPr>
              <w:t xml:space="preserve">  附表26</w:t>
            </w: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rFonts w:ascii="Times New Roman" w:hAnsi="Times New Roman" w:eastAsia="Times New Roman" w:cs="Times New Roman"/>
                <w:b w:val="0"/>
                <w:i w:val="0"/>
                <w:color w:val="000000"/>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rFonts w:ascii="Times New Roman" w:hAnsi="Times New Roman" w:eastAsia="Times New Roman" w:cs="Times New Roman"/>
                <w:b/>
                <w:i w:val="0"/>
                <w:color w:val="000000"/>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19,328.63</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15,157.10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rFonts w:ascii="Times New Roman" w:hAnsi="Times New Roman" w:eastAsia="Times New Roman" w:cs="Times New Roman"/>
                <w:b/>
                <w:i w:val="0"/>
                <w:color w:val="000000"/>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-563.25</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2,743.20</w:t>
            </w:r>
          </w:p>
        </w:tc>
      </w:tr>
    </w:tbl>
    <w:p>
      <w:pPr>
        <w:pStyle w:val="110"/>
        <w:ind w:firstLine="0" w:firstLineChars="0"/>
        <w:rPr>
          <w:rFonts w:asciiTheme="minorEastAsia" w:hAnsiTheme="minorEastAsia" w:eastAsiaTheme="minorEastAsia"/>
          <w:sz w:val="22"/>
        </w:rPr>
      </w:pPr>
    </w:p>
    <w:p>
      <w:r>
        <w:rPr>
          <w:rFonts w:hint="eastAsia"/>
        </w:rPr>
        <w:t>表</w:t>
      </w:r>
      <w:r>
        <w:t>2</w:t>
      </w:r>
      <w:r>
        <w:rPr>
          <w:rFonts w:hint="eastAsia"/>
        </w:rPr>
        <w:t>-2</w:t>
      </w:r>
      <w:r>
        <w:rPr>
          <w:rStyle w:val="42"/>
        </w:rPr>
        <w:footnoteReference w:id="0"/>
      </w:r>
    </w:p>
    <w:p>
      <w:pPr>
        <w:spacing w:before="2" w:line="360" w:lineRule="auto"/>
        <w:ind w:firstLine="562" w:firstLineChars="200"/>
        <w:jc w:val="center"/>
        <w:outlineLvl w:val="2"/>
        <w:rPr>
          <w:rFonts w:cs="Times New Roman" w:asciiTheme="majorEastAsia" w:hAnsiTheme="majorEastAsia" w:eastAsiaTheme="majorEastAsia"/>
          <w:b/>
          <w:bCs/>
          <w:kern w:val="2"/>
          <w:sz w:val="28"/>
          <w:szCs w:val="28"/>
        </w:rPr>
      </w:pPr>
      <w:bookmarkStart w:id="43" w:name="_Toc21414"/>
      <w:bookmarkStart w:id="44" w:name="_Toc35452579"/>
      <w:r>
        <w:rPr>
          <w:rFonts w:hint="eastAsia" w:cs="Times New Roman" w:asciiTheme="majorEastAsia" w:hAnsiTheme="majorEastAsia" w:eastAsiaTheme="majorEastAsia"/>
          <w:b/>
          <w:bCs/>
          <w:kern w:val="2"/>
          <w:sz w:val="28"/>
          <w:szCs w:val="28"/>
        </w:rPr>
        <w:t>收入费用表</w:t>
      </w:r>
      <w:r>
        <w:rPr>
          <w:rFonts w:cs="Times New Roman" w:asciiTheme="majorEastAsia" w:hAnsiTheme="majorEastAsia" w:eastAsiaTheme="majorEastAsia"/>
          <w:b/>
          <w:bCs/>
          <w:kern w:val="2"/>
          <w:sz w:val="28"/>
          <w:szCs w:val="28"/>
        </w:rPr>
        <w:t>（</w:t>
      </w:r>
      <w:r>
        <w:rPr>
          <w:rFonts w:hint="eastAsia" w:cs="Times New Roman" w:asciiTheme="majorEastAsia" w:hAnsiTheme="majorEastAsia" w:eastAsiaTheme="majorEastAsia"/>
          <w:b/>
          <w:bCs/>
          <w:kern w:val="2"/>
          <w:sz w:val="28"/>
          <w:szCs w:val="28"/>
        </w:rPr>
        <w:t>2</w:t>
      </w:r>
      <w:r>
        <w:rPr>
          <w:rFonts w:cs="Times New Roman" w:asciiTheme="majorEastAsia" w:hAnsiTheme="majorEastAsia" w:eastAsiaTheme="majorEastAsia"/>
          <w:b/>
          <w:bCs/>
          <w:kern w:val="2"/>
          <w:sz w:val="28"/>
          <w:szCs w:val="28"/>
        </w:rPr>
        <w:t>）</w:t>
      </w:r>
      <w:bookmarkEnd w:id="43"/>
      <w:bookmarkEnd w:id="44"/>
    </w:p>
    <w:p>
      <w:pPr>
        <w:tabs>
          <w:tab w:val="left" w:pos="4962"/>
          <w:tab w:val="left" w:pos="7150"/>
        </w:tabs>
        <w:adjustRightInd w:val="0"/>
        <w:snapToGrid w:val="0"/>
        <w:spacing w:line="320" w:lineRule="exact"/>
        <w:ind w:left="-425" w:leftChars="-177"/>
        <w:rPr>
          <w:b/>
          <w:bCs/>
          <w:sz w:val="20"/>
          <w:szCs w:val="20"/>
        </w:rPr>
      </w:pPr>
      <w:r>
        <w:rPr>
          <w:rFonts w:hint="eastAsia"/>
          <w:sz w:val="20"/>
          <w:szCs w:val="20"/>
        </w:rPr>
        <w:t>编制单位：内蒙古自治区呼伦贝尔市莫力达瓦达斡尔族自治旗民政局</w:t>
      </w:r>
      <w:r>
        <w:rPr>
          <w:b/>
          <w:bCs/>
          <w:sz w:val="20"/>
          <w:szCs w:val="20"/>
        </w:rPr>
        <w:tab/>
      </w:r>
      <w:r>
        <w:rPr>
          <w:rFonts w:hint="eastAsia"/>
          <w:sz w:val="20"/>
          <w:szCs w:val="20"/>
        </w:rPr>
        <w:t>2020  年</w:t>
      </w:r>
      <w:r>
        <w:rPr>
          <w:b/>
          <w:bCs/>
          <w:sz w:val="20"/>
          <w:szCs w:val="20"/>
        </w:rPr>
        <w:tab/>
      </w:r>
      <w:r>
        <w:rPr>
          <w:rFonts w:hint="eastAsia"/>
          <w:sz w:val="20"/>
          <w:szCs w:val="20"/>
        </w:rPr>
        <w:t>单位：万元</w:t>
      </w:r>
    </w:p>
    <w:tbl>
      <w:tblPr>
        <w:tblStyle w:val="34"/>
        <w:tblW w:w="9073" w:type="dxa"/>
        <w:tblInd w:w="-318" w:type="dxa"/>
        <w:tblLayout w:type="fixed"/>
        <w:tblCellMar>
          <w:top w:w="0" w:type="dxa"/>
          <w:left w:w="108" w:type="dxa"/>
          <w:bottom w:w="0" w:type="dxa"/>
          <w:right w:w="108" w:type="dxa"/>
        </w:tblCellMar>
      </w:tblPr>
      <w:tblGrid>
        <w:gridCol w:w="3687"/>
        <w:gridCol w:w="1417"/>
        <w:gridCol w:w="1985"/>
        <w:gridCol w:w="1984"/>
      </w:tblGrid>
      <w:tr>
        <w:tblPrEx>
          <w:tblCellMar>
            <w:top w:w="0" w:type="dxa"/>
            <w:left w:w="108" w:type="dxa"/>
            <w:bottom w:w="0" w:type="dxa"/>
            <w:right w:w="108" w:type="dxa"/>
          </w:tblCellMar>
        </w:tblPrEx>
        <w:trPr>
          <w:trHeight w:val="397" w:hRule="atLeast"/>
          <w:tblHeader/>
        </w:trPr>
        <w:tc>
          <w:tcPr>
            <w:tcW w:w="368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417"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附注</w:t>
            </w:r>
          </w:p>
        </w:tc>
        <w:tc>
          <w:tcPr>
            <w:tcW w:w="198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本年数</w:t>
            </w:r>
          </w:p>
        </w:tc>
        <w:tc>
          <w:tcPr>
            <w:tcW w:w="1984"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上年数</w:t>
            </w:r>
          </w:p>
        </w:tc>
      </w:tr>
      <w:tr>
        <w:tblPrEx>
          <w:tblCellMar>
            <w:top w:w="0" w:type="dxa"/>
            <w:left w:w="108" w:type="dxa"/>
            <w:bottom w:w="0" w:type="dxa"/>
            <w:right w:w="108" w:type="dxa"/>
          </w:tblCellMar>
        </w:tblPrEx>
        <w:trPr>
          <w:trHeight w:val="20" w:hRule="exact"/>
          <w:tblHeader/>
        </w:trPr>
        <w:tc>
          <w:tcPr>
            <w:tcW w:w="3687" w:type="dxa"/>
            <w:tcBorders>
              <w:top w:val="single" w:color="auto" w:sz="4" w:space="0"/>
            </w:tcBorders>
            <w:shd w:val="clear" w:color="FFFFFF" w:fill="FFFFFF"/>
            <w:vAlign w:val="center"/>
          </w:tcPr>
          <w:p>
            <w:pPr>
              <w:jc w:val="center"/>
              <w:rPr>
                <w:b/>
                <w:bCs/>
                <w:sz w:val="20"/>
                <w:szCs w:val="20"/>
              </w:rPr>
            </w:pPr>
          </w:p>
        </w:tc>
        <w:tc>
          <w:tcPr>
            <w:tcW w:w="1417" w:type="dxa"/>
            <w:tcBorders>
              <w:top w:val="single" w:color="auto" w:sz="4" w:space="0"/>
            </w:tcBorders>
            <w:shd w:val="clear" w:color="FFFFFF" w:fill="FFFFFF"/>
            <w:vAlign w:val="center"/>
          </w:tcPr>
          <w:p>
            <w:pPr>
              <w:jc w:val="center"/>
              <w:rPr>
                <w:b/>
                <w:bCs/>
                <w:sz w:val="20"/>
                <w:szCs w:val="20"/>
              </w:rPr>
            </w:pPr>
          </w:p>
        </w:tc>
        <w:tc>
          <w:tcPr>
            <w:tcW w:w="1985" w:type="dxa"/>
            <w:tcBorders>
              <w:top w:val="single" w:color="auto" w:sz="4" w:space="0"/>
            </w:tcBorders>
            <w:shd w:val="clear" w:color="FFFFFF" w:fill="FFFFFF"/>
            <w:vAlign w:val="center"/>
          </w:tcPr>
          <w:p>
            <w:pPr>
              <w:jc w:val="center"/>
              <w:rPr>
                <w:b/>
                <w:bCs/>
                <w:sz w:val="20"/>
                <w:szCs w:val="20"/>
              </w:rPr>
            </w:pPr>
          </w:p>
        </w:tc>
        <w:tc>
          <w:tcPr>
            <w:tcW w:w="1984"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财政拨款收入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18,765.38</w:t>
            </w:r>
          </w:p>
        </w:tc>
        <w:tc>
          <w:tcPr>
            <w:tcW w:w="1984" w:type="dxa"/>
            <w:shd w:val="clear" w:color="FFFFFF" w:fill="FFFFFF"/>
            <w:vAlign w:val="center"/>
          </w:tcPr>
          <w:p>
            <w:pPr>
              <w:pageBreakBefore w:val="0"/>
              <w:jc w:val="right"/>
              <w:textAlignment w:val="auto"/>
            </w:pPr>
            <w:r>
              <w:rPr>
                <w:b w:val="0"/>
                <w:i w:val="0"/>
                <w:color w:val="auto"/>
                <w:position w:val="-1"/>
                <w:sz w:val="20"/>
                <w:u w:val="none"/>
              </w:rPr>
              <w:t>17,900.18</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事业收入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上级补助收入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附属单位上缴收入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附表27</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经营收入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附表18</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非同级财政拨款收入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附表19</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投资收益</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附表5</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捐赠收入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利息收入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0.12</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租金收入</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其他收入</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附表20</w:t>
            </w: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收入合计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18,765.38</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17,900.30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工资福利费用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589.54</w:t>
            </w:r>
          </w:p>
        </w:tc>
        <w:tc>
          <w:tcPr>
            <w:tcW w:w="1984" w:type="dxa"/>
            <w:shd w:val="clear" w:color="FFFFFF" w:fill="FFFFFF"/>
            <w:vAlign w:val="center"/>
          </w:tcPr>
          <w:p>
            <w:pPr>
              <w:pageBreakBefore w:val="0"/>
              <w:jc w:val="right"/>
              <w:textAlignment w:val="auto"/>
            </w:pPr>
            <w:r>
              <w:rPr>
                <w:b w:val="0"/>
                <w:i w:val="0"/>
                <w:color w:val="auto"/>
                <w:position w:val="-1"/>
                <w:sz w:val="20"/>
                <w:u w:val="none"/>
              </w:rPr>
              <w:t>537.85</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商品和服务费用</w:t>
            </w:r>
          </w:p>
        </w:tc>
        <w:tc>
          <w:tcPr>
            <w:tcW w:w="1417" w:type="dxa"/>
            <w:shd w:val="clear" w:color="FFFFFF" w:fill="FFFFFF"/>
            <w:vAlign w:val="center"/>
          </w:tcPr>
          <w:p>
            <w:pPr>
              <w:pageBreakBefore w:val="0"/>
              <w:jc w:val="center"/>
              <w:textAlignment w:val="auto"/>
            </w:pPr>
            <w:r>
              <w:rPr>
                <w:b w:val="0"/>
                <w:i w:val="0"/>
                <w:color w:val="auto"/>
                <w:position w:val="-1"/>
                <w:sz w:val="20"/>
                <w:u w:val="none"/>
              </w:rPr>
              <w:t xml:space="preserve">  附表24</w:t>
            </w:r>
          </w:p>
        </w:tc>
        <w:tc>
          <w:tcPr>
            <w:tcW w:w="1985" w:type="dxa"/>
            <w:shd w:val="clear" w:color="FFFFFF" w:fill="FFFFFF"/>
            <w:vAlign w:val="center"/>
          </w:tcPr>
          <w:p>
            <w:pPr>
              <w:pageBreakBefore w:val="0"/>
              <w:jc w:val="right"/>
              <w:textAlignment w:val="auto"/>
            </w:pPr>
            <w:r>
              <w:rPr>
                <w:b w:val="0"/>
                <w:i w:val="0"/>
                <w:color w:val="auto"/>
                <w:position w:val="-1"/>
                <w:sz w:val="20"/>
                <w:u w:val="none"/>
              </w:rPr>
              <w:t>358.06</w:t>
            </w:r>
          </w:p>
        </w:tc>
        <w:tc>
          <w:tcPr>
            <w:tcW w:w="1984" w:type="dxa"/>
            <w:shd w:val="clear" w:color="FFFFFF" w:fill="FFFFFF"/>
            <w:vAlign w:val="center"/>
          </w:tcPr>
          <w:p>
            <w:pPr>
              <w:pageBreakBefore w:val="0"/>
              <w:jc w:val="right"/>
              <w:textAlignment w:val="auto"/>
            </w:pPr>
            <w:r>
              <w:rPr>
                <w:b w:val="0"/>
                <w:i w:val="0"/>
                <w:color w:val="auto"/>
                <w:position w:val="-1"/>
                <w:sz w:val="20"/>
                <w:u w:val="none"/>
              </w:rPr>
              <w:t>230.87</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对个人和家庭的补助费用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17,198.03</w:t>
            </w:r>
          </w:p>
        </w:tc>
        <w:tc>
          <w:tcPr>
            <w:tcW w:w="1984" w:type="dxa"/>
            <w:shd w:val="clear" w:color="FFFFFF" w:fill="FFFFFF"/>
            <w:vAlign w:val="center"/>
          </w:tcPr>
          <w:p>
            <w:pPr>
              <w:pageBreakBefore w:val="0"/>
              <w:jc w:val="right"/>
              <w:textAlignment w:val="auto"/>
            </w:pPr>
            <w:r>
              <w:rPr>
                <w:b w:val="0"/>
                <w:i w:val="0"/>
                <w:color w:val="auto"/>
                <w:position w:val="-1"/>
                <w:sz w:val="20"/>
                <w:u w:val="none"/>
              </w:rPr>
              <w:t>14,336.14</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对企业补助费用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固定资产折旧费用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53.75</w:t>
            </w:r>
          </w:p>
        </w:tc>
        <w:tc>
          <w:tcPr>
            <w:tcW w:w="1984" w:type="dxa"/>
            <w:shd w:val="clear" w:color="FFFFFF" w:fill="FFFFFF"/>
            <w:vAlign w:val="center"/>
          </w:tcPr>
          <w:p>
            <w:pPr>
              <w:pageBreakBefore w:val="0"/>
              <w:jc w:val="right"/>
              <w:textAlignment w:val="auto"/>
            </w:pPr>
            <w:r>
              <w:rPr>
                <w:b w:val="0"/>
                <w:i w:val="0"/>
                <w:color w:val="auto"/>
                <w:position w:val="-1"/>
                <w:sz w:val="20"/>
                <w:u w:val="none"/>
              </w:rPr>
              <w:t>52.24</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无形资产摊销费用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公共基础设施折旧（摊销）费用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保障性住房折旧费用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计提专用基金</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资产处置费用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上缴上级费用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对附属单位补助费用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所得税费用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0.00</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397" w:hRule="atLeast"/>
        </w:trPr>
        <w:tc>
          <w:tcPr>
            <w:tcW w:w="3687" w:type="dxa"/>
            <w:shd w:val="clear" w:color="FFFFFF" w:fill="FFFFFF"/>
            <w:vAlign w:val="center"/>
          </w:tcPr>
          <w:p>
            <w:pPr>
              <w:pageBreakBefore w:val="0"/>
              <w:jc w:val="left"/>
              <w:textAlignment w:val="auto"/>
            </w:pPr>
            <w:r>
              <w:rPr>
                <w:b w:val="0"/>
                <w:i w:val="0"/>
                <w:color w:val="auto"/>
                <w:position w:val="-1"/>
                <w:sz w:val="20"/>
                <w:u w:val="none"/>
              </w:rPr>
              <w:t xml:space="preserve">  其他费用</w:t>
            </w:r>
          </w:p>
        </w:tc>
        <w:tc>
          <w:tcPr>
            <w:tcW w:w="1417" w:type="dxa"/>
            <w:shd w:val="clear" w:color="FFFFFF" w:fill="FFFFFF"/>
            <w:vAlign w:val="center"/>
          </w:tcPr>
          <w:p>
            <w:pPr>
              <w:pageBreakBefore w:val="0"/>
              <w:jc w:val="center"/>
              <w:textAlignment w:val="auto"/>
            </w:pPr>
          </w:p>
        </w:tc>
        <w:tc>
          <w:tcPr>
            <w:tcW w:w="1985" w:type="dxa"/>
            <w:shd w:val="clear" w:color="FFFFFF" w:fill="FFFFFF"/>
            <w:vAlign w:val="center"/>
          </w:tcPr>
          <w:p>
            <w:pPr>
              <w:pageBreakBefore w:val="0"/>
              <w:jc w:val="right"/>
              <w:textAlignment w:val="auto"/>
            </w:pPr>
            <w:r>
              <w:rPr>
                <w:b w:val="0"/>
                <w:i w:val="0"/>
                <w:color w:val="auto"/>
                <w:position w:val="-1"/>
                <w:sz w:val="20"/>
                <w:u w:val="none"/>
              </w:rPr>
              <w:t>1,129.25</w:t>
            </w:r>
          </w:p>
        </w:tc>
        <w:tc>
          <w:tcPr>
            <w:tcW w:w="1984" w:type="dxa"/>
            <w:shd w:val="clear" w:color="FFFFFF" w:fill="FFFFFF"/>
            <w:vAlign w:val="center"/>
          </w:tcPr>
          <w:p>
            <w:pPr>
              <w:pageBreakBefore w:val="0"/>
              <w:jc w:val="right"/>
              <w:textAlignment w:val="auto"/>
            </w:pPr>
            <w:r>
              <w:rPr>
                <w:b w:val="0"/>
                <w:i w:val="0"/>
                <w:color w:val="auto"/>
                <w:position w:val="-1"/>
                <w:sz w:val="20"/>
                <w:u w:val="none"/>
              </w:rPr>
              <w:t>0.00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left"/>
              <w:textAlignment w:val="auto"/>
            </w:pPr>
            <w:r>
              <w:rPr>
                <w:b/>
                <w:i w:val="0"/>
                <w:color w:val="auto"/>
                <w:position w:val="-1"/>
                <w:sz w:val="20"/>
                <w:u w:val="none"/>
              </w:rPr>
              <w:t>费用合计</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19,328.63</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15,157.10</w:t>
            </w:r>
          </w:p>
        </w:tc>
      </w:tr>
      <w:tr>
        <w:tblPrEx>
          <w:tblCellMar>
            <w:top w:w="0" w:type="dxa"/>
            <w:left w:w="108" w:type="dxa"/>
            <w:bottom w:w="0" w:type="dxa"/>
            <w:right w:w="108" w:type="dxa"/>
          </w:tblCellMar>
        </w:tblPrEx>
        <w:trPr>
          <w:trHeight w:val="455" w:hRule="atLeast"/>
        </w:trPr>
        <w:tc>
          <w:tcPr>
            <w:tcW w:w="3687" w:type="dxa"/>
            <w:tcBorders>
              <w:bottom w:val="single" w:color="auto" w:sz="4" w:space="0"/>
            </w:tcBorders>
            <w:shd w:val="clear" w:color="FFFFFF" w:fill="FFFFFF"/>
            <w:vAlign w:val="center"/>
          </w:tcPr>
          <w:p>
            <w:pPr>
              <w:pageBreakBefore w:val="0"/>
              <w:jc w:val="center"/>
              <w:textAlignment w:val="auto"/>
            </w:pPr>
            <w:r>
              <w:rPr>
                <w:b/>
                <w:i w:val="0"/>
                <w:color w:val="auto"/>
                <w:position w:val="-1"/>
                <w:sz w:val="20"/>
                <w:u w:val="none"/>
              </w:rPr>
              <w:t>本年盈余</w:t>
            </w:r>
          </w:p>
        </w:tc>
        <w:tc>
          <w:tcPr>
            <w:tcW w:w="1417" w:type="dxa"/>
            <w:tcBorders>
              <w:bottom w:val="single" w:color="auto" w:sz="4" w:space="0"/>
            </w:tcBorders>
            <w:shd w:val="clear" w:color="FFFFFF" w:fill="FFFFFF"/>
            <w:vAlign w:val="center"/>
          </w:tcPr>
          <w:p>
            <w:pPr>
              <w:pageBreakBefore w:val="0"/>
              <w:jc w:val="center"/>
              <w:textAlignment w:val="auto"/>
            </w:pPr>
          </w:p>
        </w:tc>
        <w:tc>
          <w:tcPr>
            <w:tcW w:w="1985"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-563.25</w:t>
            </w:r>
          </w:p>
        </w:tc>
        <w:tc>
          <w:tcPr>
            <w:tcW w:w="1984" w:type="dxa"/>
            <w:tcBorders>
              <w:bottom w:val="single" w:color="auto" w:sz="4" w:space="0"/>
            </w:tcBorders>
            <w:shd w:val="clear" w:color="FFFFFF" w:fill="FFFFFF"/>
            <w:vAlign w:val="center"/>
          </w:tcPr>
          <w:p>
            <w:pPr>
              <w:pageBreakBefore w:val="0"/>
              <w:jc w:val="right"/>
              <w:textAlignment w:val="auto"/>
            </w:pPr>
            <w:r>
              <w:rPr>
                <w:b w:val="0"/>
                <w:i w:val="0"/>
                <w:color w:val="auto"/>
                <w:position w:val="-1"/>
                <w:sz w:val="20"/>
                <w:u w:val="none"/>
              </w:rPr>
              <w:t>2,743.20</w:t>
            </w:r>
          </w:p>
        </w:tc>
      </w:tr>
    </w:tbl>
    <w:p>
      <w:pPr>
        <w:rPr>
          <w:sz w:val="22"/>
          <w:szCs w:val="22"/>
        </w:rPr>
      </w:pPr>
    </w:p>
    <w:p>
      <w:pPr>
        <w:rPr>
          <w:position w:val="9"/>
          <w:sz w:val="9"/>
          <w:szCs w:val="9"/>
        </w:rPr>
      </w:pPr>
    </w:p>
    <w:p>
      <w:pPr>
        <w:rPr>
          <w:position w:val="9"/>
          <w:sz w:val="9"/>
          <w:szCs w:val="9"/>
        </w:rPr>
      </w:pPr>
    </w:p>
    <w:p/>
    <w:p/>
    <w:p/>
    <w:p/>
    <w:p/>
    <w:p/>
    <w:p/>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spacing w:before="57" w:line="331" w:lineRule="auto"/>
        <w:ind w:left="217" w:right="371" w:hanging="1"/>
        <w:rPr>
          <w:sz w:val="18"/>
          <w:szCs w:val="18"/>
        </w:rPr>
      </w:pPr>
    </w:p>
    <w:p>
      <w:pPr>
        <w:pStyle w:val="3"/>
        <w:spacing w:before="0" w:after="0" w:line="360" w:lineRule="auto"/>
        <w:ind w:firstLine="602" w:firstLineChars="200"/>
        <w:jc w:val="left"/>
        <w:rPr>
          <w:rFonts w:asciiTheme="minorEastAsia" w:hAnsiTheme="minorEastAsia" w:eastAsiaTheme="minorEastAsia"/>
        </w:rPr>
      </w:pPr>
      <w:bookmarkStart w:id="45" w:name="_Toc35452580"/>
      <w:bookmarkStart w:id="46" w:name="_Toc171"/>
      <w:bookmarkStart w:id="47" w:name="_Toc333610272"/>
      <w:r>
        <w:rPr>
          <w:rFonts w:asciiTheme="minorEastAsia" w:hAnsiTheme="minorEastAsia" w:eastAsiaTheme="minorEastAsia"/>
        </w:rPr>
        <w:t>（二）政府部门会计报表附注</w:t>
      </w:r>
      <w:bookmarkEnd w:id="45"/>
      <w:bookmarkEnd w:id="46"/>
    </w:p>
    <w:p>
      <w:pPr>
        <w:pStyle w:val="4"/>
        <w:spacing w:before="0" w:after="0" w:line="360" w:lineRule="auto"/>
        <w:ind w:firstLine="602"/>
        <w:jc w:val="left"/>
        <w:rPr>
          <w:rFonts w:ascii="仿宋" w:hAnsi="仿宋" w:eastAsia="仿宋"/>
          <w:b/>
        </w:rPr>
      </w:pPr>
      <w:bookmarkStart w:id="48" w:name="1.会计报表编制基础。（略）"/>
      <w:bookmarkEnd w:id="48"/>
      <w:bookmarkStart w:id="49" w:name="2.遵循相关制度规定的声明。（略）"/>
      <w:bookmarkEnd w:id="49"/>
      <w:bookmarkStart w:id="50" w:name="_Toc35452581"/>
      <w:bookmarkStart w:id="51" w:name="_Toc15313"/>
      <w:bookmarkStart w:id="52" w:name="_Toc35452582"/>
      <w:r>
        <w:rPr>
          <w:rFonts w:ascii="仿宋" w:hAnsi="仿宋" w:eastAsia="仿宋"/>
          <w:b/>
        </w:rPr>
        <w:t>1.会计报表编制基础。</w:t>
      </w:r>
      <w:bookmarkEnd w:id="50"/>
      <w:bookmarkEnd w:id="51"/>
    </w:p>
    <w:p>
      <w:pPr>
        <w:pStyle w:val="110"/>
        <w:ind w:firstLine="602"/>
        <w:jc w:val="both"/>
        <w:rPr>
          <w:rFonts w:hint="eastAsia" w:eastAsia="仿宋_GB2312"/>
          <w:color w:val="auto"/>
          <w:lang w:eastAsia="zh-CN"/>
        </w:rPr>
      </w:pPr>
      <w:r>
        <w:rPr>
          <w:rFonts w:hint="eastAsia" w:ascii="仿宋_GB2312" w:hAnsi="仿宋_GB2312" w:cs="仿宋_GB2312"/>
          <w:color w:val="auto"/>
          <w:szCs w:val="30"/>
          <w:lang w:val="en-US" w:eastAsia="zh-CN"/>
        </w:rPr>
        <w:t>我单位莫力达瓦达斡尔族自治旗民政局</w:t>
      </w:r>
      <w:r>
        <w:rPr>
          <w:rFonts w:hint="eastAsia" w:ascii="仿宋_GB2312" w:hAnsi="仿宋_GB2312" w:cs="仿宋_GB2312"/>
          <w:color w:val="auto"/>
          <w:szCs w:val="30"/>
        </w:rPr>
        <w:t>会计报表以权责发生制为基础编制</w:t>
      </w:r>
      <w:r>
        <w:rPr>
          <w:rFonts w:hint="eastAsia" w:ascii="仿宋_GB2312" w:hAnsi="仿宋_GB2312" w:cs="仿宋_GB2312"/>
          <w:color w:val="auto"/>
          <w:szCs w:val="30"/>
          <w:lang w:eastAsia="zh-CN"/>
        </w:rPr>
        <w:t>。</w:t>
      </w:r>
    </w:p>
    <w:p>
      <w:pPr>
        <w:spacing w:before="2"/>
        <w:rPr>
          <w:rFonts w:ascii="仿宋" w:hAnsi="仿宋" w:eastAsia="仿宋" w:cs="Times New Roman"/>
          <w:b/>
          <w:bCs/>
          <w:kern w:val="2"/>
          <w:sz w:val="30"/>
          <w:szCs w:val="28"/>
        </w:rPr>
      </w:pPr>
    </w:p>
    <w:p>
      <w:pPr>
        <w:pStyle w:val="4"/>
        <w:spacing w:before="0" w:after="0" w:line="360" w:lineRule="auto"/>
        <w:ind w:firstLine="602"/>
        <w:jc w:val="left"/>
        <w:rPr>
          <w:rFonts w:ascii="仿宋" w:hAnsi="仿宋" w:eastAsia="仿宋"/>
          <w:b/>
        </w:rPr>
      </w:pPr>
      <w:bookmarkStart w:id="53" w:name="_Toc26478"/>
      <w:r>
        <w:rPr>
          <w:rFonts w:ascii="仿宋" w:hAnsi="仿宋" w:eastAsia="仿宋"/>
          <w:b/>
        </w:rPr>
        <w:t>2.遵循相关制度规定的声明。</w:t>
      </w:r>
      <w:bookmarkEnd w:id="52"/>
      <w:bookmarkEnd w:id="53"/>
    </w:p>
    <w:p>
      <w:pPr>
        <w:pStyle w:val="110"/>
        <w:spacing w:line="360" w:lineRule="auto"/>
        <w:ind w:firstLine="600"/>
        <w:jc w:val="both"/>
        <w:rPr>
          <w:rFonts w:ascii="仿宋_GB2312" w:hAnsi="仿宋_GB2312" w:cs="仿宋_GB2312"/>
          <w:color w:val="auto"/>
          <w:szCs w:val="30"/>
        </w:rPr>
      </w:pPr>
      <w:r>
        <w:rPr>
          <w:rFonts w:hint="eastAsia" w:ascii="仿宋_GB2312" w:hAnsi="仿宋_GB2312" w:cs="仿宋_GB2312"/>
          <w:color w:val="auto"/>
          <w:szCs w:val="30"/>
          <w:lang w:val="en-US" w:eastAsia="zh-CN"/>
        </w:rPr>
        <w:t>莫力达瓦达斡尔族自治旗民政局</w:t>
      </w:r>
      <w:r>
        <w:rPr>
          <w:rFonts w:hint="eastAsia" w:ascii="仿宋_GB2312" w:hAnsi="仿宋_GB2312" w:cs="仿宋_GB2312"/>
          <w:color w:val="auto"/>
          <w:szCs w:val="30"/>
        </w:rPr>
        <w:t>编制的会计报表符合政府会计准则、相关会计制度和财务报告编制规定的要求，如实反映政府部门的财务状况、运行情况等有关信息。</w:t>
      </w:r>
    </w:p>
    <w:p>
      <w:pPr>
        <w:pStyle w:val="4"/>
        <w:spacing w:before="0" w:after="0" w:line="360" w:lineRule="auto"/>
        <w:ind w:firstLine="602"/>
        <w:jc w:val="left"/>
        <w:rPr>
          <w:rFonts w:ascii="仿宋" w:hAnsi="仿宋" w:eastAsia="仿宋"/>
          <w:b/>
        </w:rPr>
      </w:pPr>
      <w:bookmarkStart w:id="54" w:name="3.合并范围。（略）"/>
      <w:bookmarkEnd w:id="54"/>
      <w:bookmarkStart w:id="55" w:name="_Toc35452583"/>
      <w:bookmarkStart w:id="56" w:name="_Toc8791"/>
      <w:r>
        <w:rPr>
          <w:rFonts w:ascii="仿宋" w:hAnsi="仿宋" w:eastAsia="仿宋"/>
          <w:b/>
        </w:rPr>
        <w:t>合并范围。</w:t>
      </w:r>
      <w:bookmarkEnd w:id="55"/>
      <w:bookmarkEnd w:id="56"/>
    </w:p>
    <w:p>
      <w:pPr>
        <w:pStyle w:val="4"/>
        <w:spacing w:before="0" w:after="0" w:line="360" w:lineRule="auto"/>
        <w:ind w:firstLine="602"/>
        <w:jc w:val="left"/>
        <w:rPr>
          <w:rFonts w:hint="eastAsia" w:ascii="仿宋_GB2312" w:hAnsi="仿宋_GB2312" w:eastAsia="仿宋" w:cs="仿宋_GB2312"/>
          <w:color w:val="auto"/>
          <w:szCs w:val="30"/>
          <w:highlight w:val="none"/>
          <w:lang w:val="en-US" w:eastAsia="zh-CN"/>
        </w:rPr>
      </w:pPr>
      <w:bookmarkStart w:id="57" w:name="_Toc31120"/>
      <w:r>
        <w:rPr>
          <w:rFonts w:hint="eastAsia" w:ascii="仿宋" w:hAnsi="仿宋" w:eastAsia="仿宋"/>
          <w:b w:val="0"/>
          <w:bCs w:val="0"/>
          <w:lang w:val="en-US" w:eastAsia="zh-CN"/>
        </w:rPr>
        <w:t>2020年，</w:t>
      </w:r>
      <w:r>
        <w:rPr>
          <w:rFonts w:hint="eastAsia" w:ascii="仿宋_GB2312" w:hAnsi="仿宋_GB2312" w:eastAsia="仿宋" w:cs="仿宋_GB2312"/>
          <w:b w:val="0"/>
          <w:bCs w:val="0"/>
          <w:color w:val="auto"/>
          <w:szCs w:val="30"/>
          <w:highlight w:val="none"/>
          <w:lang w:val="en-US" w:eastAsia="zh-CN"/>
        </w:rPr>
        <w:t>莫力</w:t>
      </w:r>
      <w:r>
        <w:rPr>
          <w:rFonts w:hint="eastAsia" w:ascii="仿宋_GB2312" w:hAnsi="仿宋_GB2312" w:eastAsia="仿宋" w:cs="仿宋_GB2312"/>
          <w:color w:val="auto"/>
          <w:szCs w:val="30"/>
          <w:highlight w:val="none"/>
          <w:lang w:val="en-US" w:eastAsia="zh-CN"/>
        </w:rPr>
        <w:t>达瓦达斡尔族自治旗民政局及下设预算单位共4家，其中：莫力达瓦达斡尔族自治旗民政局为财政拨款的行政单位，其他3家单位为所属公益一类事业单位。2020年年末实有在职人数为71人， 退休人员39人，行政人员21人，非参公事业人员50人。</w:t>
      </w:r>
      <w:bookmarkEnd w:id="57"/>
    </w:p>
    <w:p>
      <w:pPr>
        <w:pStyle w:val="4"/>
        <w:numPr>
          <w:ilvl w:val="0"/>
          <w:numId w:val="1"/>
        </w:numPr>
        <w:spacing w:before="0" w:after="0" w:line="360" w:lineRule="auto"/>
        <w:ind w:firstLine="602"/>
        <w:jc w:val="left"/>
        <w:rPr>
          <w:rFonts w:ascii="仿宋" w:hAnsi="仿宋" w:eastAsia="仿宋"/>
          <w:b/>
        </w:rPr>
      </w:pPr>
      <w:bookmarkStart w:id="58" w:name="_Toc22649"/>
      <w:bookmarkEnd w:id="58"/>
    </w:p>
    <w:tbl>
      <w:tblPr>
        <w:tblStyle w:val="34"/>
        <w:tblW w:w="8622" w:type="dxa"/>
        <w:jc w:val="center"/>
        <w:tblLayout w:type="fixed"/>
        <w:tblCellMar>
          <w:top w:w="0" w:type="dxa"/>
          <w:left w:w="0" w:type="dxa"/>
          <w:bottom w:w="0" w:type="dxa"/>
          <w:right w:w="0" w:type="dxa"/>
        </w:tblCellMar>
      </w:tblPr>
      <w:tblGrid>
        <w:gridCol w:w="1031"/>
        <w:gridCol w:w="3910"/>
        <w:gridCol w:w="2230"/>
        <w:gridCol w:w="1451"/>
      </w:tblGrid>
      <w:tr>
        <w:tblPrEx>
          <w:tblCellMar>
            <w:top w:w="0" w:type="dxa"/>
            <w:left w:w="0" w:type="dxa"/>
            <w:bottom w:w="0" w:type="dxa"/>
            <w:right w:w="0" w:type="dxa"/>
          </w:tblCellMar>
        </w:tblPrEx>
        <w:trPr>
          <w:trHeight w:val="23" w:hRule="atLeast"/>
          <w:jc w:val="center"/>
        </w:trPr>
        <w:tc>
          <w:tcPr>
            <w:tcW w:w="8622" w:type="dxa"/>
            <w:gridSpan w:val="4"/>
            <w:tcBorders>
              <w:top w:val="nil"/>
              <w:left w:val="nil"/>
              <w:bottom w:val="single" w:color="auto" w:sz="4" w:space="0"/>
              <w:right w:val="nil"/>
            </w:tcBorders>
            <w:shd w:val="clear" w:color="FFFFFF" w:fill="FFFFFF"/>
          </w:tcPr>
          <w:p>
            <w:pPr>
              <w:pStyle w:val="144"/>
              <w:spacing w:line="260" w:lineRule="exact"/>
              <w:jc w:val="center"/>
              <w:rPr>
                <w:rFonts w:ascii="宋体" w:hAnsi="宋体" w:eastAsia="宋体" w:cs="宋体"/>
                <w:b/>
                <w:bCs/>
                <w:sz w:val="20"/>
                <w:szCs w:val="20"/>
              </w:rPr>
            </w:pPr>
            <w:r>
              <w:rPr>
                <w:rFonts w:ascii="宋体" w:hAnsi="宋体" w:eastAsia="宋体" w:cs="宋体"/>
                <w:b/>
                <w:bCs/>
                <w:sz w:val="20"/>
                <w:szCs w:val="20"/>
              </w:rPr>
              <w:t>××年度部门清单</w:t>
            </w:r>
          </w:p>
        </w:tc>
      </w:tr>
      <w:tr>
        <w:tblPrEx>
          <w:tblCellMar>
            <w:top w:w="0" w:type="dxa"/>
            <w:left w:w="0" w:type="dxa"/>
            <w:bottom w:w="0" w:type="dxa"/>
            <w:right w:w="0" w:type="dxa"/>
          </w:tblCellMar>
        </w:tblPrEx>
        <w:trPr>
          <w:trHeight w:val="23" w:hRule="atLeast"/>
          <w:jc w:val="center"/>
        </w:trPr>
        <w:tc>
          <w:tcPr>
            <w:tcW w:w="103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ascii="宋体" w:hAnsi="宋体" w:eastAsia="宋体" w:cs="宋体"/>
                <w:b/>
                <w:bCs/>
                <w:sz w:val="20"/>
                <w:szCs w:val="20"/>
              </w:rPr>
              <w:t>序号</w:t>
            </w:r>
          </w:p>
        </w:tc>
        <w:tc>
          <w:tcPr>
            <w:tcW w:w="3910"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单位名称</w:t>
            </w:r>
          </w:p>
        </w:tc>
        <w:tc>
          <w:tcPr>
            <w:tcW w:w="2230" w:type="dxa"/>
            <w:tcBorders>
              <w:top w:val="single" w:color="auto" w:sz="4" w:space="0"/>
              <w:left w:val="nil"/>
              <w:bottom w:val="single" w:color="auto" w:sz="4" w:space="0"/>
              <w:right w:val="nil"/>
            </w:tcBorders>
            <w:shd w:val="clear" w:color="FFFFFF" w:fill="FFFFFF"/>
          </w:tcPr>
          <w:p>
            <w:pPr>
              <w:pStyle w:val="144"/>
              <w:spacing w:before="40"/>
              <w:jc w:val="center"/>
              <w:rPr>
                <w:rFonts w:hint="default" w:ascii="宋体" w:hAnsi="宋体" w:eastAsia="宋体" w:cs="宋体"/>
                <w:b/>
                <w:bCs/>
                <w:sz w:val="20"/>
                <w:szCs w:val="20"/>
                <w:lang w:val="en-US" w:eastAsia="zh-CN"/>
              </w:rPr>
            </w:pPr>
            <w:r>
              <w:rPr>
                <w:rFonts w:hint="eastAsia" w:ascii="宋体" w:hAnsi="宋体" w:eastAsia="宋体" w:cs="宋体"/>
                <w:b/>
                <w:bCs/>
                <w:sz w:val="20"/>
                <w:szCs w:val="20"/>
                <w:lang w:val="en-US" w:eastAsia="zh-CN"/>
              </w:rPr>
              <w:t>单位性质</w:t>
            </w:r>
          </w:p>
        </w:tc>
        <w:tc>
          <w:tcPr>
            <w:tcW w:w="1451" w:type="dxa"/>
            <w:tcBorders>
              <w:top w:val="single" w:color="auto" w:sz="4" w:space="0"/>
              <w:left w:val="nil"/>
              <w:bottom w:val="single" w:color="auto" w:sz="4" w:space="0"/>
              <w:right w:val="nil"/>
            </w:tcBorders>
            <w:shd w:val="clear" w:color="FFFFFF" w:fill="FFFFFF"/>
          </w:tcPr>
          <w:p>
            <w:pPr>
              <w:pStyle w:val="144"/>
              <w:spacing w:before="40"/>
              <w:jc w:val="center"/>
              <w:rPr>
                <w:rFonts w:ascii="宋体" w:hAnsi="宋体" w:eastAsia="宋体" w:cs="宋体"/>
                <w:sz w:val="20"/>
                <w:szCs w:val="20"/>
              </w:rPr>
            </w:pPr>
            <w:r>
              <w:rPr>
                <w:rFonts w:hint="eastAsia" w:ascii="宋体" w:hAnsi="宋体" w:eastAsia="宋体" w:cs="宋体"/>
                <w:b/>
                <w:bCs/>
                <w:sz w:val="20"/>
                <w:szCs w:val="20"/>
              </w:rPr>
              <w:t>实有人数</w:t>
            </w:r>
          </w:p>
        </w:tc>
      </w:tr>
      <w:tr>
        <w:tblPrEx>
          <w:tblCellMar>
            <w:top w:w="0" w:type="dxa"/>
            <w:left w:w="0" w:type="dxa"/>
            <w:bottom w:w="0" w:type="dxa"/>
            <w:right w:w="0" w:type="dxa"/>
          </w:tblCellMar>
        </w:tblPrEx>
        <w:trPr>
          <w:trHeight w:val="23" w:hRule="exact"/>
          <w:jc w:val="center"/>
        </w:trPr>
        <w:tc>
          <w:tcPr>
            <w:tcW w:w="1031" w:type="dxa"/>
            <w:tcBorders>
              <w:top w:val="single" w:color="auto" w:sz="4" w:space="0"/>
              <w:left w:val="nil"/>
              <w:bottom w:val="nil"/>
              <w:right w:val="nil"/>
            </w:tcBorders>
            <w:shd w:val="clear" w:color="FFFFFF" w:fill="FFFFFF"/>
          </w:tcPr>
          <w:p>
            <w:pPr>
              <w:pStyle w:val="144"/>
              <w:spacing w:before="40"/>
              <w:ind w:left="460"/>
              <w:rPr>
                <w:rFonts w:ascii="宋体" w:hAnsi="宋体" w:eastAsia="宋体" w:cs="宋体"/>
                <w:b/>
                <w:bCs/>
                <w:sz w:val="20"/>
                <w:szCs w:val="20"/>
              </w:rPr>
            </w:pPr>
          </w:p>
        </w:tc>
        <w:tc>
          <w:tcPr>
            <w:tcW w:w="3910" w:type="dxa"/>
            <w:tcBorders>
              <w:top w:val="single" w:color="auto" w:sz="4" w:space="0"/>
              <w:left w:val="nil"/>
              <w:bottom w:val="nil"/>
              <w:right w:val="single" w:color="auto" w:sz="4" w:space="0"/>
            </w:tcBorders>
            <w:shd w:val="clear" w:color="FFFFFF" w:fill="FFFFFF"/>
          </w:tcPr>
          <w:p>
            <w:pPr>
              <w:pStyle w:val="144"/>
              <w:spacing w:before="40"/>
              <w:ind w:left="759"/>
              <w:rPr>
                <w:rFonts w:ascii="宋体" w:hAnsi="宋体" w:eastAsia="宋体" w:cs="宋体"/>
                <w:b/>
                <w:bCs/>
                <w:sz w:val="20"/>
                <w:szCs w:val="20"/>
              </w:rPr>
            </w:pPr>
          </w:p>
        </w:tc>
        <w:tc>
          <w:tcPr>
            <w:tcW w:w="2230" w:type="dxa"/>
            <w:tcBorders>
              <w:top w:val="single" w:color="auto" w:sz="4" w:space="0"/>
              <w:left w:val="single" w:color="auto" w:sz="4" w:space="0"/>
              <w:bottom w:val="nil"/>
              <w:right w:val="nil"/>
            </w:tcBorders>
            <w:shd w:val="clear" w:color="FFFFFF" w:fill="FFFFFF"/>
          </w:tcPr>
          <w:p>
            <w:pPr>
              <w:pStyle w:val="144"/>
              <w:spacing w:before="40"/>
              <w:ind w:left="759"/>
              <w:rPr>
                <w:rFonts w:ascii="宋体" w:hAnsi="宋体" w:eastAsia="宋体" w:cs="宋体"/>
                <w:b/>
                <w:bCs/>
                <w:sz w:val="20"/>
                <w:szCs w:val="20"/>
              </w:rPr>
            </w:pPr>
          </w:p>
        </w:tc>
        <w:tc>
          <w:tcPr>
            <w:tcW w:w="1451" w:type="dxa"/>
            <w:tcBorders>
              <w:top w:val="single" w:color="auto" w:sz="4" w:space="0"/>
              <w:left w:val="nil"/>
              <w:bottom w:val="nil"/>
              <w:right w:val="nil"/>
            </w:tcBorders>
            <w:shd w:val="clear" w:color="FFFFFF" w:fill="FFFFFF"/>
          </w:tcPr>
          <w:p>
            <w:pPr>
              <w:pStyle w:val="144"/>
              <w:spacing w:before="40"/>
              <w:ind w:left="601"/>
              <w:rPr>
                <w:rFonts w:ascii="宋体" w:hAnsi="宋体" w:eastAsia="宋体" w:cs="宋体"/>
                <w:b/>
                <w:bCs/>
                <w:sz w:val="20"/>
                <w:szCs w:val="20"/>
              </w:rPr>
            </w:pP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1</w:t>
            </w:r>
          </w:p>
        </w:tc>
        <w:tc>
          <w:tcPr>
            <w:tcW w:w="391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内蒙古自治区呼伦贝尔市莫力达瓦达斡尔族自治旗民政局</w:t>
            </w:r>
          </w:p>
        </w:tc>
        <w:tc>
          <w:tcPr>
            <w:tcW w:w="2230"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行政单位</w:t>
            </w: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71</w:t>
            </w:r>
          </w:p>
        </w:tc>
      </w:tr>
      <w:tr>
        <w:tblPrEx>
          <w:tblCellMar>
            <w:top w:w="0" w:type="dxa"/>
            <w:left w:w="0" w:type="dxa"/>
            <w:bottom w:w="0" w:type="dxa"/>
            <w:right w:w="0" w:type="dxa"/>
          </w:tblCellMar>
        </w:tblPrEx>
        <w:trPr>
          <w:trHeight w:val="23" w:hRule="atLeast"/>
          <w:jc w:val="center"/>
        </w:trPr>
        <w:tc>
          <w:tcPr>
            <w:tcW w:w="103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合计</w:t>
            </w:r>
          </w:p>
        </w:tc>
        <w:tc>
          <w:tcPr>
            <w:tcW w:w="3910" w:type="dxa"/>
            <w:tcBorders>
              <w:top w:val="nil"/>
              <w:left w:val="nil"/>
              <w:bottom w:val="nil"/>
              <w:right w:val="nil"/>
            </w:tcBorders>
            <w:shd w:val="clear" w:color="FFFFFF" w:fill="FFFFFF"/>
          </w:tcPr>
          <w:p>
            <w:pPr>
              <w:pageBreakBefore w:val="0"/>
              <w:spacing w:before="40"/>
              <w:jc w:val="center"/>
              <w:textAlignment w:val="auto"/>
            </w:pPr>
          </w:p>
        </w:tc>
        <w:tc>
          <w:tcPr>
            <w:tcW w:w="2230" w:type="dxa"/>
            <w:tcBorders>
              <w:top w:val="nil"/>
              <w:left w:val="nil"/>
              <w:bottom w:val="nil"/>
              <w:right w:val="nil"/>
            </w:tcBorders>
            <w:shd w:val="clear" w:color="FFFFFF" w:fill="FFFFFF"/>
          </w:tcPr>
          <w:p>
            <w:pPr>
              <w:pageBreakBefore w:val="0"/>
              <w:spacing w:before="40"/>
              <w:jc w:val="center"/>
              <w:textAlignment w:val="auto"/>
            </w:pPr>
          </w:p>
        </w:tc>
        <w:tc>
          <w:tcPr>
            <w:tcW w:w="1451" w:type="dxa"/>
            <w:tcBorders>
              <w:top w:val="nil"/>
              <w:left w:val="nil"/>
              <w:bottom w:val="nil"/>
              <w:right w:val="nil"/>
            </w:tcBorders>
            <w:shd w:val="clear" w:color="FFFFFF" w:fill="FFFFFF"/>
          </w:tcPr>
          <w:p>
            <w:pPr>
              <w:pageBreakBefore w:val="0"/>
              <w:spacing w:before="40"/>
              <w:jc w:val="center"/>
              <w:textAlignment w:val="auto"/>
            </w:pPr>
            <w:r>
              <w:rPr>
                <w:rFonts w:ascii="Times New Roman" w:hAnsi="Times New Roman" w:eastAsia="Times New Roman" w:cs="Times New Roman"/>
                <w:b w:val="0"/>
                <w:i w:val="0"/>
                <w:color w:val="auto"/>
                <w:position w:val="-1"/>
                <w:sz w:val="20"/>
                <w:u w:val="none"/>
              </w:rPr>
              <w:t>71</w:t>
            </w:r>
          </w:p>
        </w:tc>
      </w:tr>
    </w:tbl>
    <w:p>
      <w:pPr>
        <w:numPr>
          <w:ilvl w:val="0"/>
          <w:numId w:val="0"/>
        </w:numPr>
      </w:pPr>
    </w:p>
    <w:p>
      <w:pPr>
        <w:pStyle w:val="4"/>
        <w:spacing w:before="0" w:after="0" w:line="360" w:lineRule="auto"/>
        <w:ind w:firstLine="602"/>
        <w:jc w:val="left"/>
        <w:rPr>
          <w:rFonts w:ascii="仿宋" w:hAnsi="仿宋" w:eastAsia="仿宋"/>
          <w:b/>
        </w:rPr>
      </w:pPr>
      <w:bookmarkStart w:id="59" w:name="4.重要会计政策与会计估计变更情况。（略）"/>
      <w:bookmarkEnd w:id="59"/>
      <w:bookmarkStart w:id="60" w:name="_Toc35452584"/>
      <w:bookmarkStart w:id="61" w:name="_Toc22707"/>
      <w:r>
        <w:rPr>
          <w:rFonts w:ascii="仿宋" w:hAnsi="仿宋" w:eastAsia="仿宋"/>
          <w:b/>
        </w:rPr>
        <w:t>4.重要会计政策与会计估计变更情况。</w:t>
      </w:r>
      <w:bookmarkEnd w:id="60"/>
      <w:bookmarkEnd w:id="61"/>
    </w:p>
    <w:p>
      <w:pPr>
        <w:pStyle w:val="110"/>
        <w:spacing w:line="360" w:lineRule="auto"/>
        <w:ind w:firstLine="31680"/>
        <w:rPr>
          <w:rFonts w:ascii="仿宋_GB2312" w:cs="仿宋_GB2312"/>
          <w:szCs w:val="30"/>
        </w:rPr>
      </w:pPr>
      <w:r>
        <w:rPr>
          <w:rFonts w:hint="eastAsia" w:ascii="仿宋_GB2312" w:hAnsi="仿宋_GB2312" w:cs="仿宋_GB2312"/>
          <w:szCs w:val="30"/>
        </w:rPr>
        <w:t>（</w:t>
      </w:r>
      <w:r>
        <w:rPr>
          <w:rFonts w:ascii="仿宋_GB2312" w:hAnsi="仿宋_GB2312" w:cs="仿宋_GB2312"/>
          <w:szCs w:val="30"/>
        </w:rPr>
        <w:t>1</w:t>
      </w:r>
      <w:r>
        <w:rPr>
          <w:rFonts w:hint="eastAsia" w:ascii="仿宋_GB2312" w:hAnsi="仿宋_GB2312" w:cs="仿宋_GB2312"/>
          <w:szCs w:val="30"/>
        </w:rPr>
        <w:t>）会计期间：</w:t>
      </w:r>
      <w:r>
        <w:rPr>
          <w:rFonts w:ascii="仿宋_GB2312" w:hAnsi="仿宋_GB2312" w:cs="仿宋_GB2312"/>
          <w:szCs w:val="30"/>
        </w:rPr>
        <w:t>20</w:t>
      </w:r>
      <w:r>
        <w:rPr>
          <w:rFonts w:hint="eastAsia" w:ascii="仿宋_GB2312" w:hAnsi="仿宋_GB2312" w:cs="仿宋_GB2312"/>
          <w:szCs w:val="30"/>
          <w:lang w:val="en-US" w:eastAsia="zh-CN"/>
        </w:rPr>
        <w:t>20</w:t>
      </w:r>
      <w:r>
        <w:rPr>
          <w:rFonts w:hint="eastAsia" w:ascii="仿宋_GB2312" w:hAnsi="仿宋_GB2312" w:cs="仿宋_GB2312"/>
          <w:szCs w:val="30"/>
        </w:rPr>
        <w:t>年</w:t>
      </w:r>
      <w:r>
        <w:rPr>
          <w:rFonts w:ascii="仿宋_GB2312" w:hAnsi="仿宋_GB2312" w:cs="仿宋_GB2312"/>
          <w:szCs w:val="30"/>
        </w:rPr>
        <w:t>1</w:t>
      </w:r>
      <w:r>
        <w:rPr>
          <w:rFonts w:hint="eastAsia" w:ascii="仿宋_GB2312" w:hAnsi="仿宋_GB2312" w:cs="仿宋_GB2312"/>
          <w:szCs w:val="30"/>
        </w:rPr>
        <w:t>月至</w:t>
      </w:r>
      <w:r>
        <w:rPr>
          <w:rFonts w:ascii="仿宋_GB2312" w:hAnsi="仿宋_GB2312" w:cs="仿宋_GB2312"/>
          <w:szCs w:val="30"/>
        </w:rPr>
        <w:t>12</w:t>
      </w:r>
      <w:r>
        <w:rPr>
          <w:rFonts w:hint="eastAsia" w:ascii="仿宋_GB2312" w:hAnsi="仿宋_GB2312" w:cs="仿宋_GB2312"/>
          <w:szCs w:val="30"/>
        </w:rPr>
        <w:t>月。</w:t>
      </w:r>
    </w:p>
    <w:p>
      <w:pPr>
        <w:pStyle w:val="110"/>
        <w:spacing w:line="360" w:lineRule="auto"/>
        <w:ind w:firstLine="600"/>
        <w:rPr>
          <w:rFonts w:hint="default" w:ascii="仿宋_GB2312" w:hAnsi="仿宋_GB2312" w:eastAsia="仿宋_GB2312" w:cs="仿宋_GB2312"/>
          <w:color w:val="auto"/>
          <w:szCs w:val="30"/>
          <w:highlight w:val="none"/>
          <w:lang w:val="en-US" w:eastAsia="zh-CN"/>
        </w:rPr>
      </w:pPr>
      <w:r>
        <w:rPr>
          <w:rFonts w:hint="eastAsia" w:ascii="仿宋_GB2312" w:hAnsi="仿宋_GB2312" w:cs="仿宋_GB2312"/>
          <w:color w:val="auto"/>
          <w:szCs w:val="30"/>
          <w:highlight w:val="none"/>
        </w:rPr>
        <w:t>（</w:t>
      </w:r>
      <w:r>
        <w:rPr>
          <w:rFonts w:ascii="仿宋_GB2312" w:hAnsi="仿宋_GB2312" w:cs="仿宋_GB2312"/>
          <w:color w:val="auto"/>
          <w:szCs w:val="30"/>
          <w:highlight w:val="none"/>
        </w:rPr>
        <w:t>2</w:t>
      </w:r>
      <w:r>
        <w:rPr>
          <w:rFonts w:hint="eastAsia" w:ascii="仿宋_GB2312" w:hAnsi="仿宋_GB2312" w:cs="仿宋_GB2312"/>
          <w:color w:val="auto"/>
          <w:szCs w:val="30"/>
          <w:highlight w:val="none"/>
        </w:rPr>
        <w:t>）记账本位币</w:t>
      </w:r>
      <w:r>
        <w:rPr>
          <w:rFonts w:hint="eastAsia" w:ascii="仿宋_GB2312" w:hAnsi="仿宋_GB2312" w:cs="仿宋_GB2312"/>
          <w:color w:val="auto"/>
          <w:szCs w:val="30"/>
          <w:highlight w:val="none"/>
          <w:lang w:eastAsia="zh-CN"/>
        </w:rPr>
        <w:t>：</w:t>
      </w:r>
      <w:r>
        <w:rPr>
          <w:rFonts w:hint="eastAsia" w:ascii="仿宋_GB2312" w:hAnsi="仿宋_GB2312" w:cs="仿宋_GB2312"/>
          <w:color w:val="auto"/>
          <w:szCs w:val="30"/>
          <w:highlight w:val="none"/>
          <w:lang w:val="en-US" w:eastAsia="zh-CN"/>
        </w:rPr>
        <w:t>人民币</w:t>
      </w:r>
    </w:p>
    <w:p>
      <w:pPr>
        <w:pStyle w:val="110"/>
        <w:spacing w:line="360" w:lineRule="auto"/>
        <w:ind w:firstLine="600"/>
        <w:rPr>
          <w:rFonts w:hint="eastAsia" w:ascii="仿宋_GB2312" w:hAnsi="仿宋_GB2312" w:eastAsia="仿宋_GB2312" w:cs="仿宋_GB2312"/>
          <w:color w:val="auto"/>
          <w:szCs w:val="30"/>
          <w:highlight w:val="none"/>
          <w:lang w:eastAsia="zh-CN"/>
        </w:rPr>
      </w:pPr>
      <w:r>
        <w:rPr>
          <w:rFonts w:hint="eastAsia" w:ascii="仿宋_GB2312" w:hAnsi="仿宋_GB2312" w:cs="仿宋_GB2312"/>
          <w:color w:val="auto"/>
          <w:szCs w:val="30"/>
          <w:highlight w:val="none"/>
        </w:rPr>
        <w:t>（3）</w:t>
      </w:r>
      <w:r>
        <w:rPr>
          <w:rFonts w:hint="eastAsia" w:ascii="仿宋_GB2312" w:hAnsi="仿宋_GB2312" w:cs="仿宋_GB2312"/>
          <w:color w:val="auto"/>
          <w:szCs w:val="30"/>
          <w:lang w:val="en-US" w:eastAsia="zh-CN"/>
        </w:rPr>
        <w:t>我单位莫力达瓦达斡尔族自治旗民政局</w:t>
      </w:r>
      <w:r>
        <w:rPr>
          <w:rFonts w:hint="eastAsia" w:ascii="仿宋_GB2312" w:hAnsi="仿宋_GB2312" w:eastAsia="仿宋" w:cs="仿宋_GB2312"/>
          <w:color w:val="auto"/>
          <w:szCs w:val="30"/>
          <w:highlight w:val="none"/>
          <w:lang w:val="en-US" w:eastAsia="zh-CN"/>
        </w:rPr>
        <w:t>今年没有</w:t>
      </w:r>
      <w:r>
        <w:rPr>
          <w:rFonts w:hint="eastAsia" w:ascii="仿宋_GB2312" w:hAnsi="仿宋_GB2312" w:cs="仿宋_GB2312"/>
          <w:color w:val="auto"/>
          <w:szCs w:val="30"/>
          <w:highlight w:val="none"/>
        </w:rPr>
        <w:t>发生重要会计政策和会计估计变更</w:t>
      </w:r>
      <w:r>
        <w:rPr>
          <w:rFonts w:hint="eastAsia" w:ascii="仿宋_GB2312" w:hAnsi="仿宋_GB2312" w:cs="仿宋_GB2312"/>
          <w:color w:val="auto"/>
          <w:szCs w:val="30"/>
          <w:highlight w:val="none"/>
          <w:lang w:eastAsia="zh-CN"/>
        </w:rPr>
        <w:t>。</w:t>
      </w:r>
    </w:p>
    <w:p>
      <w:pPr>
        <w:pStyle w:val="110"/>
        <w:spacing w:line="360" w:lineRule="auto"/>
        <w:ind w:firstLine="600"/>
        <w:rPr>
          <w:rFonts w:hint="eastAsia" w:ascii="仿宋_GB2312" w:hAnsi="仿宋_GB2312" w:eastAsia="仿宋_GB2312" w:cs="仿宋_GB2312"/>
          <w:color w:val="auto"/>
          <w:szCs w:val="30"/>
          <w:highlight w:val="none"/>
          <w:lang w:eastAsia="zh-CN"/>
        </w:rPr>
      </w:pPr>
    </w:p>
    <w:p/>
    <w:p>
      <w:pPr>
        <w:rPr>
          <w:rFonts w:ascii="Microsoft JhengHei" w:hAnsi="Microsoft JhengHei" w:eastAsia="Microsoft JhengHei" w:cs="Microsoft JhengHei"/>
          <w:sz w:val="30"/>
          <w:szCs w:val="30"/>
        </w:rPr>
        <w:sectPr>
          <w:pgSz w:w="11910" w:h="16840"/>
          <w:pgMar w:top="1260" w:right="1680" w:bottom="1200" w:left="1680" w:header="0" w:footer="981" w:gutter="0"/>
          <w:cols w:space="720" w:num="1"/>
        </w:sectPr>
      </w:pPr>
    </w:p>
    <w:bookmarkEnd w:id="47"/>
    <w:p>
      <w:pPr>
        <w:pStyle w:val="4"/>
        <w:spacing w:before="0" w:after="0" w:line="360" w:lineRule="auto"/>
        <w:ind w:firstLine="602"/>
        <w:jc w:val="left"/>
        <w:rPr>
          <w:rFonts w:ascii="仿宋" w:hAnsi="仿宋" w:eastAsia="仿宋"/>
          <w:b/>
        </w:rPr>
      </w:pPr>
      <w:bookmarkStart w:id="62" w:name="_Toc333610277"/>
      <w:bookmarkStart w:id="63" w:name="_Toc435362498"/>
      <w:bookmarkStart w:id="64" w:name="_Toc435362073"/>
      <w:bookmarkStart w:id="65" w:name="_Toc435361955"/>
      <w:bookmarkStart w:id="66" w:name="_Toc35452585"/>
      <w:bookmarkStart w:id="67" w:name="_Toc435362300"/>
      <w:bookmarkStart w:id="68" w:name="_Toc24849"/>
      <w:r>
        <w:rPr>
          <w:rFonts w:hint="eastAsia" w:ascii="仿宋" w:hAnsi="仿宋" w:eastAsia="仿宋"/>
          <w:b/>
        </w:rPr>
        <w:t>5.会计报表重要项目的明细信息</w:t>
      </w:r>
      <w:bookmarkEnd w:id="62"/>
      <w:r>
        <w:rPr>
          <w:rFonts w:hint="eastAsia" w:ascii="仿宋" w:hAnsi="仿宋" w:eastAsia="仿宋"/>
          <w:b/>
        </w:rPr>
        <w:t>及说明</w:t>
      </w:r>
      <w:bookmarkEnd w:id="63"/>
      <w:bookmarkEnd w:id="64"/>
      <w:bookmarkEnd w:id="65"/>
      <w:bookmarkEnd w:id="66"/>
      <w:bookmarkEnd w:id="67"/>
      <w:bookmarkEnd w:id="68"/>
      <w:r>
        <w:rPr>
          <w:rFonts w:ascii="仿宋" w:hAnsi="仿宋" w:eastAsia="仿宋"/>
          <w:b/>
        </w:rPr>
        <w:tab/>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）货币资金明细信息如下：</w:t>
      </w:r>
    </w:p>
    <w:tbl>
      <w:tblPr>
        <w:tblStyle w:val="34"/>
        <w:tblW w:w="8528" w:type="dxa"/>
        <w:jc w:val="center"/>
        <w:tblLayout w:type="fixed"/>
        <w:tblCellMar>
          <w:top w:w="0" w:type="dxa"/>
          <w:left w:w="108" w:type="dxa"/>
          <w:bottom w:w="0" w:type="dxa"/>
          <w:right w:w="108" w:type="dxa"/>
        </w:tblCellMar>
      </w:tblPr>
      <w:tblGrid>
        <w:gridCol w:w="8528"/>
      </w:tblGrid>
      <w:tr>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货币资金明细表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napToGrid w:val="0"/>
        <w:spacing w:line="20" w:lineRule="exact"/>
        <w:jc w:val="right"/>
        <w:rPr>
          <w:rFonts w:ascii="Arial" w:hAnsi="Arial" w:cs="Arial"/>
          <w:color w:val="000000"/>
          <w:sz w:val="20"/>
          <w:szCs w:val="20"/>
        </w:rPr>
      </w:pPr>
      <w:bookmarkStart w:id="69" w:name="RANGE!A1:D9"/>
      <w:bookmarkEnd w:id="69"/>
    </w:p>
    <w:tbl>
      <w:tblPr>
        <w:tblStyle w:val="34"/>
        <w:tblW w:w="8528" w:type="dxa"/>
        <w:jc w:val="center"/>
        <w:tblLayout w:type="fixed"/>
        <w:tblCellMar>
          <w:top w:w="0" w:type="dxa"/>
          <w:left w:w="108" w:type="dxa"/>
          <w:bottom w:w="0" w:type="dxa"/>
          <w:right w:w="108" w:type="dxa"/>
        </w:tblCellMar>
      </w:tblPr>
      <w:tblGrid>
        <w:gridCol w:w="3295"/>
        <w:gridCol w:w="2625"/>
        <w:gridCol w:w="2608"/>
      </w:tblGrid>
      <w:tr>
        <w:tblPrEx>
          <w:tblCellMar>
            <w:top w:w="0" w:type="dxa"/>
            <w:left w:w="108" w:type="dxa"/>
            <w:bottom w:w="0" w:type="dxa"/>
            <w:right w:w="108" w:type="dxa"/>
          </w:tblCellMar>
        </w:tblPrEx>
        <w:trPr>
          <w:trHeight w:val="397" w:hRule="exact"/>
          <w:tblHeader/>
          <w:jc w:val="center"/>
        </w:trPr>
        <w:tc>
          <w:tcPr>
            <w:tcW w:w="329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项目</w:t>
            </w:r>
          </w:p>
        </w:tc>
        <w:tc>
          <w:tcPr>
            <w:tcW w:w="2625"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年末数</w:t>
            </w:r>
          </w:p>
        </w:tc>
        <w:tc>
          <w:tcPr>
            <w:tcW w:w="2608"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年初数</w:t>
            </w:r>
          </w:p>
        </w:tc>
      </w:tr>
      <w:tr>
        <w:tblPrEx>
          <w:tblCellMar>
            <w:top w:w="0" w:type="dxa"/>
            <w:left w:w="108" w:type="dxa"/>
            <w:bottom w:w="0" w:type="dxa"/>
            <w:right w:w="108" w:type="dxa"/>
          </w:tblCellMar>
        </w:tblPrEx>
        <w:trPr>
          <w:trHeight w:val="20" w:hRule="exact"/>
          <w:tblHeader/>
          <w:jc w:val="center"/>
        </w:trPr>
        <w:tc>
          <w:tcPr>
            <w:tcW w:w="3295" w:type="dxa"/>
            <w:tcBorders>
              <w:top w:val="single" w:color="auto" w:sz="4" w:space="0"/>
              <w:left w:val="nil"/>
              <w:right w:val="nil"/>
            </w:tcBorders>
            <w:shd w:val="clear" w:color="FFFFFF" w:fill="FFFFFF"/>
            <w:vAlign w:val="center"/>
          </w:tcPr>
          <w:p>
            <w:pPr>
              <w:jc w:val="center"/>
              <w:rPr>
                <w:b/>
                <w:bCs/>
                <w:sz w:val="20"/>
                <w:szCs w:val="20"/>
              </w:rPr>
            </w:pPr>
          </w:p>
        </w:tc>
        <w:tc>
          <w:tcPr>
            <w:tcW w:w="2625" w:type="dxa"/>
            <w:tcBorders>
              <w:top w:val="single" w:color="auto" w:sz="4" w:space="0"/>
              <w:left w:val="nil"/>
              <w:right w:val="nil"/>
            </w:tcBorders>
            <w:shd w:val="clear" w:color="FFFFFF" w:fill="FFFFFF"/>
            <w:vAlign w:val="center"/>
          </w:tcPr>
          <w:p>
            <w:pPr>
              <w:jc w:val="center"/>
              <w:rPr>
                <w:b/>
                <w:bCs/>
                <w:sz w:val="20"/>
                <w:szCs w:val="20"/>
              </w:rPr>
            </w:pPr>
          </w:p>
        </w:tc>
        <w:tc>
          <w:tcPr>
            <w:tcW w:w="2608" w:type="dxa"/>
            <w:tcBorders>
              <w:top w:val="single" w:color="auto" w:sz="4" w:space="0"/>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20" w:hRule="exact"/>
          <w:tblHeader/>
          <w:jc w:val="center"/>
        </w:trPr>
        <w:tc>
          <w:tcPr>
            <w:tcW w:w="3295" w:type="dxa"/>
            <w:tcBorders>
              <w:left w:val="nil"/>
              <w:right w:val="nil"/>
            </w:tcBorders>
            <w:shd w:val="clear" w:color="FFFFFF" w:fill="FFFFFF"/>
            <w:vAlign w:val="center"/>
          </w:tcPr>
          <w:p>
            <w:pPr>
              <w:jc w:val="center"/>
              <w:rPr>
                <w:b/>
                <w:bCs/>
                <w:sz w:val="20"/>
                <w:szCs w:val="20"/>
              </w:rPr>
            </w:pPr>
          </w:p>
        </w:tc>
        <w:tc>
          <w:tcPr>
            <w:tcW w:w="2625" w:type="dxa"/>
            <w:tcBorders>
              <w:left w:val="nil"/>
              <w:right w:val="nil"/>
            </w:tcBorders>
            <w:shd w:val="clear" w:color="FFFFFF" w:fill="FFFFFF"/>
            <w:vAlign w:val="center"/>
          </w:tcPr>
          <w:p>
            <w:pPr>
              <w:jc w:val="center"/>
              <w:rPr>
                <w:b/>
                <w:bCs/>
                <w:sz w:val="20"/>
                <w:szCs w:val="20"/>
              </w:rPr>
            </w:pPr>
          </w:p>
        </w:tc>
        <w:tc>
          <w:tcPr>
            <w:tcW w:w="2608" w:type="dxa"/>
            <w:tcBorders>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库存现金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银行存款</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81.10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79.16</w:t>
            </w:r>
          </w:p>
        </w:tc>
      </w:tr>
      <w:tr>
        <w:tblPrEx>
          <w:tblCellMar>
            <w:top w:w="0" w:type="dxa"/>
            <w:left w:w="108" w:type="dxa"/>
            <w:bottom w:w="0" w:type="dxa"/>
            <w:right w:w="108" w:type="dxa"/>
          </w:tblCellMar>
        </w:tblPrEx>
        <w:trPr>
          <w:trHeight w:val="397" w:hRule="atLeast"/>
          <w:jc w:val="center"/>
        </w:trPr>
        <w:tc>
          <w:tcPr>
            <w:tcW w:w="3295" w:type="dxa"/>
            <w:tcBorders>
              <w:left w:val="nil"/>
              <w:bottom w:val="nil"/>
              <w:right w:val="nil"/>
            </w:tcBorders>
            <w:shd w:val="clear" w:color="FFFFFF" w:fill="FFFFFF"/>
            <w:vAlign w:val="center"/>
          </w:tcPr>
          <w:p>
            <w:pPr>
              <w:pageBreakBefore w:val="0"/>
              <w:ind w:firstLine="100" w:firstLineChars="50"/>
              <w:jc w:val="left"/>
              <w:textAlignment w:val="auto"/>
            </w:pPr>
            <w:r>
              <w:rPr>
                <w:b w:val="0"/>
                <w:i w:val="0"/>
                <w:color w:val="000000"/>
                <w:position w:val="-1"/>
                <w:sz w:val="20"/>
                <w:u w:val="none"/>
              </w:rPr>
              <w:t xml:space="preserve">  其他货币资金</w:t>
            </w:r>
          </w:p>
        </w:tc>
        <w:tc>
          <w:tcPr>
            <w:tcW w:w="2625"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2608" w:type="dxa"/>
            <w:tcBorders>
              <w:left w:val="nil"/>
              <w:bottom w:val="nil"/>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455" w:hRule="atLeast"/>
          <w:jc w:val="center"/>
        </w:trPr>
        <w:tc>
          <w:tcPr>
            <w:tcW w:w="3295" w:type="dxa"/>
            <w:tcBorders>
              <w:top w:val="single" w:color="auto" w:sz="4" w:space="0"/>
              <w:left w:val="nil"/>
              <w:bottom w:val="single" w:color="auto" w:sz="4" w:space="0"/>
              <w:right w:val="nil"/>
            </w:tcBorders>
            <w:shd w:val="clear" w:color="FFFFFF" w:fill="FFFFFF"/>
            <w:vAlign w:val="center"/>
          </w:tcPr>
          <w:p>
            <w:pPr>
              <w:pageBreakBefore w:val="0"/>
              <w:ind w:firstLine="100" w:firstLineChars="50"/>
              <w:jc w:val="center"/>
              <w:textAlignment w:val="auto"/>
            </w:pPr>
            <w:r>
              <w:rPr>
                <w:b/>
                <w:i w:val="0"/>
                <w:color w:val="000000"/>
                <w:position w:val="-1"/>
                <w:sz w:val="20"/>
                <w:u w:val="none"/>
              </w:rPr>
              <w:t>合计</w:t>
            </w:r>
          </w:p>
        </w:tc>
        <w:tc>
          <w:tcPr>
            <w:tcW w:w="2625"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81.10</w:t>
            </w:r>
          </w:p>
        </w:tc>
        <w:tc>
          <w:tcPr>
            <w:tcW w:w="2608" w:type="dxa"/>
            <w:tcBorders>
              <w:top w:val="single" w:color="auto" w:sz="4" w:space="0"/>
              <w:left w:val="nil"/>
              <w:bottom w:val="single" w:color="auto" w:sz="4" w:space="0"/>
              <w:right w:val="nil"/>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79.16</w:t>
            </w:r>
          </w:p>
        </w:tc>
      </w:tr>
    </w:tbl>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2</w:t>
      </w:r>
      <w:r>
        <w:rPr>
          <w:rFonts w:hint="eastAsia" w:ascii="宋体" w:hAnsi="宋体" w:eastAsia="宋体"/>
        </w:rPr>
        <w:t>）应收账款净额明细信息如下：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w:t>
            </w:r>
          </w:p>
          <w:p>
            <w:pPr>
              <w:jc w:val="center"/>
              <w:rPr>
                <w:sz w:val="22"/>
                <w:szCs w:val="22"/>
              </w:rPr>
            </w:pPr>
            <w:r>
              <w:rPr>
                <w:rFonts w:ascii="宋体" w:hAnsi="宋体" w:eastAsia="宋体" w:cs="宋体"/>
                <w:sz w:val="22"/>
              </w:rPr>
              <w:t>附表2为空表（略）</w:t>
            </w:r>
          </w:p>
        </w:tc>
      </w:tr>
    </w:tbl>
    <w:p>
      <w:pPr>
        <w:spacing w:line="20" w:lineRule="exact"/>
        <w:jc w:val="right"/>
        <w:rPr>
          <w:color w:val="000000"/>
          <w:sz w:val="20"/>
          <w:szCs w:val="20"/>
        </w:rPr>
      </w:pPr>
    </w:p>
    <w:p>
      <w:pPr>
        <w:pStyle w:val="144"/>
        <w:rPr>
          <w:lang w:eastAsia="zh-CN"/>
        </w:rPr>
      </w:pPr>
    </w:p>
    <w:p>
      <w:pPr>
        <w:pStyle w:val="144"/>
        <w:rPr>
          <w:rFonts w:ascii="宋体" w:hAnsi="宋体" w:eastAsia="宋体"/>
          <w:lang w:eastAsia="zh-CN"/>
        </w:rPr>
      </w:pPr>
      <w:r>
        <w:rPr>
          <w:rFonts w:hint="eastAsia"/>
          <w:lang w:eastAsia="zh-CN"/>
        </w:rPr>
        <w:t xml:space="preserve"> </w:t>
      </w: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3</w:t>
      </w:r>
      <w:r>
        <w:rPr>
          <w:rFonts w:hint="eastAsia" w:ascii="宋体" w:hAnsi="宋体" w:eastAsia="宋体"/>
        </w:rPr>
        <w:t>）预付账款明细信息如下：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附表3</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预付账款明细表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color w:val="000000"/>
          <w:sz w:val="20"/>
          <w:szCs w:val="20"/>
        </w:rPr>
      </w:pPr>
    </w:p>
    <w:tbl>
      <w:tblPr>
        <w:tblStyle w:val="34"/>
        <w:tblW w:w="8472" w:type="dxa"/>
        <w:jc w:val="center"/>
        <w:tblLayout w:type="fixed"/>
        <w:tblCellMar>
          <w:top w:w="0" w:type="dxa"/>
          <w:left w:w="108" w:type="dxa"/>
          <w:bottom w:w="0" w:type="dxa"/>
          <w:right w:w="108" w:type="dxa"/>
        </w:tblCellMar>
      </w:tblPr>
      <w:tblGrid>
        <w:gridCol w:w="5353"/>
        <w:gridCol w:w="3119"/>
      </w:tblGrid>
      <w:tr>
        <w:tblPrEx>
          <w:tblCellMar>
            <w:top w:w="0" w:type="dxa"/>
            <w:left w:w="108" w:type="dxa"/>
            <w:bottom w:w="0" w:type="dxa"/>
            <w:right w:w="108" w:type="dxa"/>
          </w:tblCellMar>
        </w:tblPrEx>
        <w:trPr>
          <w:trHeight w:val="397" w:hRule="atLeast"/>
          <w:tblHeader/>
          <w:jc w:val="center"/>
        </w:trPr>
        <w:tc>
          <w:tcPr>
            <w:tcW w:w="5353" w:type="dxa"/>
            <w:tcBorders>
              <w:top w:val="single" w:color="auto" w:sz="4" w:space="0"/>
              <w:left w:val="nil"/>
              <w:bottom w:val="single" w:color="auto" w:sz="4" w:space="0"/>
              <w:right w:val="nil"/>
            </w:tcBorders>
            <w:shd w:val="clear" w:color="FFFFFF" w:fill="FFFFFF"/>
            <w:vAlign w:val="center"/>
          </w:tcPr>
          <w:p>
            <w:pPr>
              <w:jc w:val="center"/>
              <w:rPr>
                <w:b/>
                <w:bCs/>
                <w:sz w:val="20"/>
                <w:szCs w:val="20"/>
              </w:rPr>
            </w:pPr>
            <w:r>
              <w:rPr>
                <w:rFonts w:hint="eastAsia"/>
                <w:b/>
                <w:bCs/>
                <w:sz w:val="20"/>
                <w:szCs w:val="20"/>
              </w:rPr>
              <w:t>债务人</w:t>
            </w:r>
          </w:p>
        </w:tc>
        <w:tc>
          <w:tcPr>
            <w:tcW w:w="3119" w:type="dxa"/>
            <w:tcBorders>
              <w:top w:val="single" w:color="auto" w:sz="4" w:space="0"/>
              <w:left w:val="nil"/>
              <w:bottom w:val="single" w:color="auto" w:sz="4" w:space="0"/>
              <w:right w:val="nil"/>
            </w:tcBorders>
            <w:shd w:val="clear" w:color="FFFFFF" w:fill="FFFFFF"/>
            <w:vAlign w:val="center"/>
          </w:tcPr>
          <w:p>
            <w:pPr>
              <w:ind w:firstLine="803" w:firstLineChars="400"/>
              <w:jc w:val="center"/>
              <w:rPr>
                <w:b/>
                <w:bCs/>
                <w:sz w:val="20"/>
                <w:szCs w:val="20"/>
              </w:rPr>
            </w:pPr>
            <w:r>
              <w:rPr>
                <w:rFonts w:hint="eastAsia"/>
                <w:b/>
                <w:bCs/>
                <w:sz w:val="20"/>
                <w:szCs w:val="20"/>
              </w:rPr>
              <w:t>年末数</w:t>
            </w:r>
          </w:p>
        </w:tc>
      </w:tr>
      <w:tr>
        <w:tblPrEx>
          <w:tblCellMar>
            <w:top w:w="0" w:type="dxa"/>
            <w:left w:w="108" w:type="dxa"/>
            <w:bottom w:w="0" w:type="dxa"/>
            <w:right w:w="108" w:type="dxa"/>
          </w:tblCellMar>
        </w:tblPrEx>
        <w:trPr>
          <w:trHeight w:val="20" w:hRule="exact"/>
          <w:tblHeader/>
          <w:jc w:val="center"/>
        </w:trPr>
        <w:tc>
          <w:tcPr>
            <w:tcW w:w="5353" w:type="dxa"/>
            <w:tcBorders>
              <w:top w:val="single" w:color="auto" w:sz="4" w:space="0"/>
              <w:left w:val="nil"/>
              <w:right w:val="nil"/>
            </w:tcBorders>
            <w:shd w:val="clear" w:color="FFFFFF" w:fill="FFFFFF"/>
            <w:vAlign w:val="center"/>
          </w:tcPr>
          <w:p>
            <w:pPr>
              <w:jc w:val="center"/>
              <w:rPr>
                <w:b/>
                <w:bCs/>
                <w:sz w:val="20"/>
                <w:szCs w:val="20"/>
              </w:rPr>
            </w:pPr>
          </w:p>
        </w:tc>
        <w:tc>
          <w:tcPr>
            <w:tcW w:w="3119" w:type="dxa"/>
            <w:tcBorders>
              <w:top w:val="single" w:color="auto" w:sz="4" w:space="0"/>
              <w:left w:val="nil"/>
              <w:right w:val="nil"/>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预付本部门内部单位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预付本部门以外的同级政府单位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预付本部门以外的非同级政府单位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5353" w:type="dxa"/>
            <w:tcBorders>
              <w:left w:val="nil"/>
              <w:right w:val="nil"/>
            </w:tcBorders>
            <w:shd w:val="clear" w:color="FFFFFF" w:fill="FFFFFF"/>
            <w:vAlign w:val="center"/>
          </w:tcPr>
          <w:p>
            <w:pPr>
              <w:pageBreakBefore w:val="0"/>
              <w:ind w:firstLine="100" w:firstLineChars="50"/>
              <w:jc w:val="left"/>
              <w:textAlignment w:val="auto"/>
            </w:pPr>
            <w:r>
              <w:rPr>
                <w:b/>
                <w:i w:val="0"/>
                <w:color w:val="000000"/>
                <w:position w:val="-1"/>
                <w:sz w:val="20"/>
                <w:u w:val="none"/>
              </w:rPr>
              <w:t>预付其他单位</w:t>
            </w:r>
          </w:p>
        </w:tc>
        <w:tc>
          <w:tcPr>
            <w:tcW w:w="3119" w:type="dxa"/>
            <w:tcBorders>
              <w:left w:val="nil"/>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2,716.49</w:t>
            </w:r>
          </w:p>
        </w:tc>
      </w:tr>
      <w:tr>
        <w:tblPrEx>
          <w:tblCellMar>
            <w:top w:w="0" w:type="dxa"/>
            <w:left w:w="108" w:type="dxa"/>
            <w:bottom w:w="0" w:type="dxa"/>
            <w:right w:w="108" w:type="dxa"/>
          </w:tblCellMar>
        </w:tblPrEx>
        <w:trPr>
          <w:trHeight w:val="455" w:hRule="atLeast"/>
          <w:jc w:val="center"/>
        </w:trPr>
        <w:tc>
          <w:tcPr>
            <w:tcW w:w="5353" w:type="dxa"/>
            <w:tcBorders>
              <w:top w:val="single" w:color="auto" w:sz="4" w:space="0"/>
              <w:left w:val="nil"/>
              <w:bottom w:val="single" w:color="auto" w:sz="4" w:space="0"/>
              <w:right w:val="nil"/>
            </w:tcBorders>
            <w:shd w:val="clear" w:color="FFFFFF" w:fill="FFFFFF"/>
            <w:vAlign w:val="center"/>
          </w:tcPr>
          <w:p>
            <w:pPr>
              <w:pageBreakBefore w:val="0"/>
              <w:ind w:firstLine="100" w:firstLineChars="50"/>
              <w:jc w:val="center"/>
              <w:textAlignment w:val="auto"/>
            </w:pPr>
            <w:r>
              <w:rPr>
                <w:b/>
                <w:i w:val="0"/>
                <w:color w:val="000000"/>
                <w:position w:val="-1"/>
                <w:sz w:val="20"/>
                <w:u w:val="none"/>
              </w:rPr>
              <w:t>合计</w:t>
            </w:r>
          </w:p>
        </w:tc>
        <w:tc>
          <w:tcPr>
            <w:tcW w:w="3119" w:type="dxa"/>
            <w:tcBorders>
              <w:top w:val="single" w:color="auto" w:sz="4" w:space="0"/>
              <w:left w:val="nil"/>
              <w:bottom w:val="single" w:color="auto" w:sz="4" w:space="0"/>
              <w:right w:val="nil"/>
            </w:tcBorders>
            <w:shd w:val="clear" w:color="FFFFFF" w:fill="FFFFFF"/>
            <w:vAlign w:val="center"/>
          </w:tcPr>
          <w:p>
            <w:pPr>
              <w:pageBreakBefore w:val="0"/>
              <w:ind w:right="800"/>
              <w:jc w:val="right"/>
              <w:textAlignment w:val="auto"/>
            </w:pPr>
            <w:r>
              <w:rPr>
                <w:rFonts w:ascii="Times New Roman" w:hAnsi="Times New Roman" w:eastAsia="Times New Roman" w:cs="Times New Roman"/>
                <w:b w:val="0"/>
                <w:i w:val="0"/>
                <w:color w:val="000000"/>
                <w:position w:val="-1"/>
                <w:sz w:val="20"/>
                <w:u w:val="none"/>
              </w:rPr>
              <w:t>2,716.49</w:t>
            </w:r>
          </w:p>
        </w:tc>
      </w:tr>
    </w:tbl>
    <w:p>
      <w:pPr>
        <w:rPr>
          <w:color w:val="000000"/>
          <w:sz w:val="22"/>
          <w:szCs w:val="22"/>
        </w:rPr>
      </w:pPr>
    </w:p>
    <w:p>
      <w:pPr>
        <w:rPr>
          <w:color w:val="000000"/>
          <w:sz w:val="22"/>
          <w:szCs w:val="22"/>
        </w:rPr>
      </w:pPr>
    </w:p>
    <w:p>
      <w:pPr>
        <w:rPr>
          <w:color w:val="000000"/>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4</w:t>
      </w:r>
      <w:r>
        <w:rPr>
          <w:rFonts w:hint="eastAsia" w:ascii="宋体" w:hAnsi="宋体" w:eastAsia="宋体"/>
        </w:rPr>
        <w:t>）其他应收款净额明细信息如下：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其他应收款净额明细表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ind w:right="800"/>
        <w:rPr>
          <w:color w:val="000000"/>
          <w:sz w:val="20"/>
          <w:szCs w:val="20"/>
        </w:rPr>
      </w:pPr>
    </w:p>
    <w:tbl>
      <w:tblPr>
        <w:tblStyle w:val="35"/>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27"/>
        <w:gridCol w:w="1559"/>
        <w:gridCol w:w="1134"/>
        <w:gridCol w:w="1134"/>
        <w:gridCol w:w="14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7" w:type="dxa"/>
            <w:vMerge w:val="restart"/>
            <w:tcBorders>
              <w:left w:val="nil"/>
              <w:right w:val="nil"/>
            </w:tcBorders>
            <w:shd w:val="clear" w:color="FFFFFF" w:fill="FFFFFF"/>
          </w:tcPr>
          <w:p>
            <w:pPr>
              <w:pStyle w:val="144"/>
              <w:spacing w:line="720" w:lineRule="auto"/>
              <w:jc w:val="center"/>
              <w:rPr>
                <w:lang w:eastAsia="zh-CN"/>
              </w:rPr>
            </w:pPr>
            <w:r>
              <w:rPr>
                <w:rFonts w:hint="eastAsia"/>
                <w:b/>
                <w:bCs/>
                <w:lang w:eastAsia="zh-CN"/>
              </w:rPr>
              <w:t>债务人</w:t>
            </w:r>
          </w:p>
        </w:tc>
        <w:tc>
          <w:tcPr>
            <w:tcW w:w="1559" w:type="dxa"/>
            <w:tcBorders>
              <w:left w:val="nil"/>
              <w:right w:val="single" w:color="auto" w:sz="4" w:space="0"/>
            </w:tcBorders>
            <w:shd w:val="clear" w:color="FFFFFF" w:fill="FFFFFF"/>
          </w:tcPr>
          <w:p>
            <w:pPr>
              <w:pStyle w:val="144"/>
              <w:jc w:val="center"/>
              <w:rPr>
                <w:lang w:eastAsia="zh-CN"/>
              </w:rPr>
            </w:pPr>
            <w:r>
              <w:rPr>
                <w:rFonts w:ascii="宋体" w:hAnsi="宋体" w:eastAsia="宋体" w:cs="宋体"/>
                <w:b/>
                <w:bCs/>
                <w:sz w:val="20"/>
                <w:szCs w:val="20"/>
              </w:rPr>
              <w:t>应收账款原值</w:t>
            </w:r>
          </w:p>
        </w:tc>
        <w:tc>
          <w:tcPr>
            <w:tcW w:w="2268" w:type="dxa"/>
            <w:gridSpan w:val="2"/>
            <w:tcBorders>
              <w:left w:val="single" w:color="auto" w:sz="4" w:space="0"/>
              <w:right w:val="single" w:color="auto" w:sz="4" w:space="0"/>
            </w:tcBorders>
            <w:shd w:val="clear" w:color="FFFFFF" w:fill="FFFFFF"/>
          </w:tcPr>
          <w:p>
            <w:pPr>
              <w:pStyle w:val="144"/>
              <w:jc w:val="center"/>
              <w:rPr>
                <w:lang w:eastAsia="zh-CN"/>
              </w:rPr>
            </w:pPr>
            <w:r>
              <w:rPr>
                <w:rFonts w:ascii="宋体" w:hAnsi="宋体" w:eastAsia="宋体" w:cs="宋体"/>
                <w:b/>
                <w:bCs/>
                <w:sz w:val="20"/>
                <w:szCs w:val="20"/>
              </w:rPr>
              <w:t>减：坏账准备</w:t>
            </w:r>
          </w:p>
        </w:tc>
        <w:tc>
          <w:tcPr>
            <w:tcW w:w="1474" w:type="dxa"/>
            <w:tcBorders>
              <w:left w:val="single" w:color="auto" w:sz="4" w:space="0"/>
              <w:right w:val="nil"/>
            </w:tcBorders>
            <w:shd w:val="clear" w:color="FFFFFF" w:fill="FFFFFF"/>
          </w:tcPr>
          <w:p>
            <w:pPr>
              <w:pStyle w:val="144"/>
              <w:jc w:val="center"/>
              <w:rPr>
                <w:lang w:eastAsia="zh-CN"/>
              </w:rPr>
            </w:pPr>
            <w:r>
              <w:rPr>
                <w:rFonts w:ascii="宋体" w:hAnsi="宋体" w:eastAsia="宋体" w:cs="宋体"/>
                <w:b/>
                <w:bCs/>
                <w:sz w:val="20"/>
                <w:szCs w:val="20"/>
              </w:rPr>
              <w:t>应收账款净值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trPr>
        <w:tc>
          <w:tcPr>
            <w:tcW w:w="3227" w:type="dxa"/>
            <w:vMerge w:val="continue"/>
            <w:tcBorders>
              <w:left w:val="nil"/>
              <w:bottom w:val="single" w:color="auto" w:sz="4" w:space="0"/>
              <w:right w:val="nil"/>
            </w:tcBorders>
            <w:shd w:val="clear" w:color="FFFFFF" w:fill="FFFFFF"/>
          </w:tcPr>
          <w:p>
            <w:pPr>
              <w:pStyle w:val="144"/>
              <w:jc w:val="both"/>
              <w:rPr>
                <w:lang w:eastAsia="zh-CN"/>
              </w:rPr>
            </w:pPr>
          </w:p>
        </w:tc>
        <w:tc>
          <w:tcPr>
            <w:tcW w:w="1559" w:type="dxa"/>
            <w:tcBorders>
              <w:left w:val="nil"/>
              <w:bottom w:val="single" w:color="auto" w:sz="4" w:space="0"/>
              <w:right w:val="single" w:color="auto" w:sz="4" w:space="0"/>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c>
          <w:tcPr>
            <w:tcW w:w="1134" w:type="dxa"/>
            <w:tcBorders>
              <w:left w:val="single" w:color="auto" w:sz="4" w:space="0"/>
              <w:bottom w:val="single" w:color="auto" w:sz="4" w:space="0"/>
              <w:right w:val="nil"/>
            </w:tcBorders>
            <w:shd w:val="clear" w:color="FFFFFF" w:fill="FFFFFF"/>
          </w:tcPr>
          <w:p>
            <w:pPr>
              <w:pStyle w:val="144"/>
              <w:jc w:val="center"/>
              <w:rPr>
                <w:b/>
                <w:bCs/>
                <w:sz w:val="20"/>
                <w:szCs w:val="20"/>
                <w:lang w:eastAsia="zh-CN"/>
              </w:rPr>
            </w:pPr>
            <w:r>
              <w:rPr>
                <w:rFonts w:hint="eastAsia"/>
                <w:b/>
                <w:bCs/>
                <w:sz w:val="20"/>
                <w:szCs w:val="20"/>
                <w:lang w:eastAsia="zh-CN"/>
              </w:rPr>
              <w:t>当期补提</w:t>
            </w:r>
          </w:p>
          <w:p>
            <w:pPr>
              <w:pStyle w:val="144"/>
              <w:jc w:val="center"/>
              <w:rPr>
                <w:lang w:eastAsia="zh-CN"/>
              </w:rPr>
            </w:pPr>
            <w:r>
              <w:rPr>
                <w:rFonts w:hint="eastAsia"/>
                <w:b/>
                <w:bCs/>
                <w:sz w:val="20"/>
                <w:szCs w:val="20"/>
                <w:lang w:eastAsia="zh-CN"/>
              </w:rPr>
              <w:t>或冲减数</w:t>
            </w:r>
          </w:p>
        </w:tc>
        <w:tc>
          <w:tcPr>
            <w:tcW w:w="1134" w:type="dxa"/>
            <w:tcBorders>
              <w:left w:val="nil"/>
              <w:bottom w:val="single" w:color="auto" w:sz="4" w:space="0"/>
              <w:right w:val="single" w:color="auto" w:sz="4" w:space="0"/>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c>
          <w:tcPr>
            <w:tcW w:w="1474" w:type="dxa"/>
            <w:tcBorders>
              <w:left w:val="single" w:color="auto" w:sz="4" w:space="0"/>
              <w:bottom w:val="single" w:color="auto" w:sz="4" w:space="0"/>
              <w:right w:val="nil"/>
            </w:tcBorders>
            <w:shd w:val="clear" w:color="FFFFFF" w:fill="FFFFFF"/>
          </w:tcPr>
          <w:p>
            <w:pPr>
              <w:pStyle w:val="144"/>
              <w:spacing w:line="480" w:lineRule="auto"/>
              <w:jc w:val="center"/>
              <w:rPr>
                <w:lang w:eastAsia="zh-CN"/>
              </w:rPr>
            </w:pPr>
            <w:r>
              <w:rPr>
                <w:rFonts w:ascii="宋体" w:hAnsi="宋体" w:eastAsia="宋体" w:cs="宋体"/>
                <w:b/>
                <w:bCs/>
                <w:sz w:val="20"/>
                <w:szCs w:val="20"/>
              </w:rPr>
              <w:t>年末数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exact"/>
        </w:trPr>
        <w:tc>
          <w:tcPr>
            <w:tcW w:w="3227" w:type="dxa"/>
            <w:tcBorders>
              <w:top w:val="single" w:color="auto" w:sz="4" w:space="0"/>
              <w:left w:val="nil"/>
              <w:bottom w:val="nil"/>
              <w:right w:val="nil"/>
            </w:tcBorders>
            <w:shd w:val="clear" w:color="FFFFFF" w:fill="FFFFFF"/>
          </w:tcPr>
          <w:p>
            <w:pPr>
              <w:pStyle w:val="144"/>
              <w:jc w:val="both"/>
              <w:rPr>
                <w:lang w:eastAsia="zh-CN"/>
              </w:rPr>
            </w:pPr>
          </w:p>
        </w:tc>
        <w:tc>
          <w:tcPr>
            <w:tcW w:w="1559" w:type="dxa"/>
            <w:tcBorders>
              <w:top w:val="single" w:color="auto" w:sz="4" w:space="0"/>
              <w:left w:val="nil"/>
              <w:bottom w:val="nil"/>
              <w:right w:val="single" w:color="auto" w:sz="4" w:space="0"/>
            </w:tcBorders>
            <w:shd w:val="clear" w:color="FFFFFF" w:fill="FFFFFF"/>
          </w:tcPr>
          <w:p>
            <w:pPr>
              <w:pStyle w:val="144"/>
              <w:jc w:val="both"/>
              <w:rPr>
                <w:lang w:eastAsia="zh-CN"/>
              </w:rPr>
            </w:pPr>
          </w:p>
        </w:tc>
        <w:tc>
          <w:tcPr>
            <w:tcW w:w="1134" w:type="dxa"/>
            <w:tcBorders>
              <w:top w:val="single" w:color="auto" w:sz="4" w:space="0"/>
              <w:left w:val="single" w:color="auto" w:sz="4" w:space="0"/>
              <w:bottom w:val="nil"/>
              <w:right w:val="nil"/>
            </w:tcBorders>
            <w:shd w:val="clear" w:color="FFFFFF" w:fill="FFFFFF"/>
          </w:tcPr>
          <w:p>
            <w:pPr>
              <w:pStyle w:val="144"/>
              <w:jc w:val="both"/>
              <w:rPr>
                <w:lang w:eastAsia="zh-CN"/>
              </w:rPr>
            </w:pPr>
          </w:p>
        </w:tc>
        <w:tc>
          <w:tcPr>
            <w:tcW w:w="1134" w:type="dxa"/>
            <w:tcBorders>
              <w:top w:val="single" w:color="auto" w:sz="4" w:space="0"/>
              <w:left w:val="nil"/>
              <w:bottom w:val="nil"/>
              <w:right w:val="single" w:color="auto" w:sz="4" w:space="0"/>
            </w:tcBorders>
            <w:shd w:val="clear" w:color="FFFFFF" w:fill="FFFFFF"/>
          </w:tcPr>
          <w:p>
            <w:pPr>
              <w:pStyle w:val="144"/>
              <w:jc w:val="both"/>
              <w:rPr>
                <w:lang w:eastAsia="zh-CN"/>
              </w:rPr>
            </w:pPr>
          </w:p>
        </w:tc>
        <w:tc>
          <w:tcPr>
            <w:tcW w:w="1474" w:type="dxa"/>
            <w:tcBorders>
              <w:top w:val="single" w:color="auto" w:sz="4" w:space="0"/>
              <w:left w:val="single" w:color="auto" w:sz="4" w:space="0"/>
              <w:bottom w:val="nil"/>
              <w:right w:val="nil"/>
            </w:tcBorders>
            <w:shd w:val="clear" w:color="FFFFFF" w:fill="FFFFFF"/>
          </w:tcPr>
          <w:p>
            <w:pPr>
              <w:pStyle w:val="144"/>
              <w:jc w:val="both"/>
              <w:rPr>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应收本部门内部单位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应收本部门以外的同级政府单位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应收本部门以外的非同级政府单位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应收同级财政</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3227" w:type="dxa"/>
            <w:tcBorders>
              <w:top w:val="nil"/>
              <w:left w:val="nil"/>
              <w:bottom w:val="nil"/>
              <w:right w:val="nil"/>
            </w:tcBorders>
            <w:shd w:val="clear" w:color="FFFFFF" w:fill="FFFFFF"/>
          </w:tcPr>
          <w:p>
            <w:pPr>
              <w:pageBreakBefore w:val="0"/>
              <w:widowControl w:val="0"/>
              <w:spacing w:before="3"/>
              <w:ind w:left="107"/>
              <w:jc w:val="left"/>
              <w:textAlignment w:val="auto"/>
            </w:pPr>
            <w:r>
              <w:rPr>
                <w:rFonts w:ascii="Times New Roman" w:hAnsi="Times New Roman" w:cs="Times New Roman" w:eastAsiaTheme="minorEastAsia"/>
                <w:b/>
                <w:i w:val="0"/>
                <w:color w:val="auto"/>
                <w:position w:val="-1"/>
                <w:sz w:val="20"/>
                <w:u w:val="none"/>
              </w:rPr>
              <w:t>应收其他单位</w:t>
            </w:r>
          </w:p>
        </w:tc>
        <w:tc>
          <w:tcPr>
            <w:tcW w:w="1559"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10,534.78</w:t>
            </w:r>
          </w:p>
        </w:tc>
        <w:tc>
          <w:tcPr>
            <w:tcW w:w="113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nil"/>
              <w:left w:val="nil"/>
              <w:bottom w:val="nil"/>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nil"/>
              <w:left w:val="single" w:color="auto" w:sz="4" w:space="0"/>
              <w:bottom w:val="nil"/>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10,534.78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3227" w:type="dxa"/>
            <w:tcBorders>
              <w:top w:val="single" w:color="auto" w:sz="4" w:space="0"/>
              <w:left w:val="nil"/>
              <w:bottom w:val="single" w:color="auto" w:sz="4" w:space="0"/>
              <w:right w:val="nil"/>
            </w:tcBorders>
            <w:shd w:val="clear" w:color="FFFFFF" w:fill="FFFFFF"/>
          </w:tcPr>
          <w:p>
            <w:pPr>
              <w:pageBreakBefore w:val="0"/>
              <w:widowControl w:val="0"/>
              <w:spacing w:before="3"/>
              <w:ind w:left="107"/>
              <w:jc w:val="center"/>
              <w:textAlignment w:val="auto"/>
            </w:pPr>
            <w:r>
              <w:rPr>
                <w:rFonts w:ascii="Times New Roman" w:hAnsi="Times New Roman" w:cs="Times New Roman" w:eastAsiaTheme="minorEastAsia"/>
                <w:b/>
                <w:i w:val="0"/>
                <w:color w:val="auto"/>
                <w:position w:val="-1"/>
                <w:sz w:val="20"/>
                <w:u w:val="none"/>
              </w:rPr>
              <w:t>合计</w:t>
            </w:r>
          </w:p>
        </w:tc>
        <w:tc>
          <w:tcPr>
            <w:tcW w:w="1559" w:type="dxa"/>
            <w:tcBorders>
              <w:top w:val="single" w:color="auto" w:sz="4" w:space="0"/>
              <w:left w:val="nil"/>
              <w:bottom w:val="single" w:color="auto" w:sz="4" w:space="0"/>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10,534.78</w:t>
            </w:r>
          </w:p>
        </w:tc>
        <w:tc>
          <w:tcPr>
            <w:tcW w:w="1134" w:type="dxa"/>
            <w:tcBorders>
              <w:top w:val="single" w:color="auto" w:sz="4" w:space="0"/>
              <w:left w:val="single" w:color="auto" w:sz="4" w:space="0"/>
              <w:bottom w:val="single" w:color="auto" w:sz="4" w:space="0"/>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134" w:type="dxa"/>
            <w:tcBorders>
              <w:top w:val="single" w:color="auto" w:sz="4" w:space="0"/>
              <w:left w:val="nil"/>
              <w:bottom w:val="single" w:color="auto" w:sz="4" w:space="0"/>
              <w:right w:val="single" w:color="auto" w:sz="4" w:space="0"/>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0.00</w:t>
            </w:r>
          </w:p>
        </w:tc>
        <w:tc>
          <w:tcPr>
            <w:tcW w:w="1474" w:type="dxa"/>
            <w:tcBorders>
              <w:top w:val="single" w:color="auto" w:sz="4" w:space="0"/>
              <w:left w:val="single" w:color="auto" w:sz="4" w:space="0"/>
              <w:bottom w:val="single" w:color="auto" w:sz="4" w:space="0"/>
              <w:right w:val="nil"/>
            </w:tcBorders>
            <w:shd w:val="clear" w:color="FFFFFF" w:fill="FFFFFF"/>
          </w:tcPr>
          <w:p>
            <w:pPr>
              <w:pageBreakBefore w:val="0"/>
              <w:widowControl w:val="0"/>
              <w:spacing w:before="3"/>
              <w:ind w:left="107"/>
              <w:jc w:val="right"/>
              <w:textAlignment w:val="auto"/>
            </w:pPr>
            <w:r>
              <w:rPr>
                <w:rFonts w:ascii="Times New Roman" w:hAnsi="Times New Roman" w:cs="Times New Roman" w:eastAsiaTheme="minorEastAsia"/>
                <w:b w:val="0"/>
                <w:i w:val="0"/>
                <w:color w:val="auto"/>
                <w:position w:val="-1"/>
                <w:sz w:val="20"/>
                <w:u w:val="none"/>
              </w:rPr>
              <w:t>10,534.78</w:t>
            </w:r>
          </w:p>
        </w:tc>
      </w:tr>
    </w:tbl>
    <w:p>
      <w:pPr>
        <w:pStyle w:val="144"/>
        <w:rPr>
          <w:rFonts w:ascii="宋体" w:hAnsi="宋体" w:eastAsia="宋体"/>
          <w:lang w:eastAsia="zh-CN"/>
        </w:rPr>
      </w:pPr>
      <w:r>
        <w:rPr>
          <w:rFonts w:hint="eastAsia" w:ascii="宋体" w:hAnsi="宋体" w:eastAsia="宋体" w:cs="宋体"/>
          <w:spacing w:val="-1"/>
          <w:sz w:val="20"/>
          <w:szCs w:val="20"/>
          <w:lang w:eastAsia="zh-CN"/>
        </w:rPr>
        <w:t>注：当期坏账准备冲</w:t>
      </w:r>
      <w:r>
        <w:rPr>
          <w:rFonts w:ascii="宋体" w:hAnsi="宋体" w:eastAsia="宋体" w:cs="宋体"/>
          <w:spacing w:val="-1"/>
          <w:sz w:val="20"/>
          <w:szCs w:val="20"/>
          <w:lang w:eastAsia="zh-CN"/>
        </w:rPr>
        <w:t>减数以“-”号填列。</w:t>
      </w:r>
    </w:p>
    <w:p>
      <w:pPr>
        <w:pStyle w:val="110"/>
        <w:ind w:firstLine="0" w:firstLineChars="0"/>
        <w:outlineLvl w:val="4"/>
        <w:sectPr>
          <w:pgSz w:w="11906" w:h="16838"/>
          <w:pgMar w:top="1440" w:right="1797" w:bottom="1440" w:left="1797" w:header="851" w:footer="992" w:gutter="0"/>
          <w:cols w:space="425" w:num="1"/>
          <w:docGrid w:type="lines" w:linePitch="326" w:charSpace="0"/>
        </w:sect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5</w:t>
      </w:r>
      <w:r>
        <w:rPr>
          <w:rFonts w:hint="eastAsia" w:ascii="宋体" w:hAnsi="宋体" w:eastAsia="宋体"/>
        </w:rPr>
        <w:t>）长期投资及投资收益明细信息如下：</w:t>
      </w:r>
    </w:p>
    <w:tbl>
      <w:tblPr>
        <w:tblStyle w:val="34"/>
        <w:tblW w:w="12465" w:type="dxa"/>
        <w:jc w:val="center"/>
        <w:tblLayout w:type="fixed"/>
        <w:tblCellMar>
          <w:top w:w="0" w:type="dxa"/>
          <w:left w:w="108" w:type="dxa"/>
          <w:bottom w:w="0" w:type="dxa"/>
          <w:right w:w="108" w:type="dxa"/>
        </w:tblCellMar>
      </w:tblPr>
      <w:tblGrid>
        <w:gridCol w:w="12465"/>
      </w:tblGrid>
      <w:tr>
        <w:tblPrEx>
          <w:tblCellMar>
            <w:top w:w="0" w:type="dxa"/>
            <w:left w:w="108" w:type="dxa"/>
            <w:bottom w:w="0" w:type="dxa"/>
            <w:right w:w="108" w:type="dxa"/>
          </w:tblCellMar>
        </w:tblPrEx>
        <w:trPr>
          <w:trHeight w:val="794" w:hRule="exact"/>
          <w:jc w:val="center"/>
        </w:trPr>
        <w:tc>
          <w:tcPr>
            <w:tcW w:w="12465" w:type="dxa"/>
            <w:tcBorders>
              <w:top w:val="nil"/>
              <w:left w:val="nil"/>
              <w:bottom w:val="nil"/>
              <w:right w:val="nil"/>
            </w:tcBorders>
            <w:shd w:val="clear" w:color="FFFFFF" w:fill="FFFFFF"/>
            <w:vAlign w:val="center"/>
          </w:tcPr>
          <w:p>
            <w:pPr>
              <w:rPr>
                <w:sz w:val="22"/>
                <w:szCs w:val="22"/>
              </w:rPr>
            </w:pPr>
            <w:r>
              <w:rPr>
                <w:rFonts w:hint="eastAsia"/>
                <w:sz w:val="22"/>
                <w:szCs w:val="22"/>
              </w:rPr>
              <w:t>附表5</w:t>
            </w:r>
          </w:p>
          <w:p>
            <w:pPr>
              <w:jc w:val="center"/>
              <w:rPr>
                <w:sz w:val="22"/>
                <w:szCs w:val="22"/>
              </w:rPr>
            </w:pPr>
            <w:r>
              <w:rPr>
                <w:rFonts w:ascii="宋体" w:hAnsi="宋体" w:eastAsia="宋体" w:cs="宋体"/>
                <w:sz w:val="22"/>
              </w:rPr>
              <w:t>附表5为空表（略）</w:t>
            </w:r>
          </w:p>
        </w:tc>
      </w:tr>
    </w:tbl>
    <w:p>
      <w:pPr>
        <w:spacing w:line="20" w:lineRule="exact"/>
        <w:jc w:val="right"/>
        <w:rPr>
          <w:b/>
          <w:bCs/>
          <w:sz w:val="20"/>
          <w:szCs w:val="20"/>
        </w:rPr>
      </w:pPr>
    </w:p>
    <w:p>
      <w:pPr>
        <w:rPr>
          <w:color w:val="FF0000"/>
          <w:sz w:val="22"/>
          <w:szCs w:val="22"/>
        </w:rPr>
      </w:pPr>
    </w:p>
    <w:p>
      <w:pPr>
        <w:pStyle w:val="110"/>
        <w:ind w:firstLine="600"/>
      </w:pPr>
    </w:p>
    <w:p>
      <w:pPr>
        <w:pStyle w:val="110"/>
        <w:ind w:firstLine="600"/>
        <w:jc w:val="right"/>
        <w:outlineLvl w:val="4"/>
        <w:sectPr>
          <w:pgSz w:w="16838" w:h="11906" w:orient="landscape"/>
          <w:pgMar w:top="1797" w:right="1440" w:bottom="1797" w:left="1440" w:header="851" w:footer="992" w:gutter="0"/>
          <w:cols w:space="425" w:num="1"/>
          <w:docGrid w:type="lines" w:linePitch="326" w:charSpace="0"/>
        </w:sectPr>
      </w:pPr>
    </w:p>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6</w:t>
      </w:r>
      <w:r>
        <w:rPr>
          <w:rFonts w:hint="eastAsia" w:ascii="宋体" w:hAnsi="宋体" w:eastAsia="宋体"/>
        </w:rPr>
        <w:t>）固定资产明细信息如下：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附表6</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固定资产明细表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4"/>
        <w:tblW w:w="9607" w:type="dxa"/>
        <w:jc w:val="center"/>
        <w:tblLayout w:type="fixed"/>
        <w:tblCellMar>
          <w:top w:w="0" w:type="dxa"/>
          <w:left w:w="108" w:type="dxa"/>
          <w:bottom w:w="0" w:type="dxa"/>
          <w:right w:w="108" w:type="dxa"/>
        </w:tblCellMar>
      </w:tblPr>
      <w:tblGrid>
        <w:gridCol w:w="3545"/>
        <w:gridCol w:w="1908"/>
        <w:gridCol w:w="1166"/>
        <w:gridCol w:w="1222"/>
        <w:gridCol w:w="1766"/>
      </w:tblGrid>
      <w:tr>
        <w:tblPrEx>
          <w:tblCellMar>
            <w:top w:w="0" w:type="dxa"/>
            <w:left w:w="108" w:type="dxa"/>
            <w:bottom w:w="0" w:type="dxa"/>
            <w:right w:w="108" w:type="dxa"/>
          </w:tblCellMar>
        </w:tblPrEx>
        <w:trPr>
          <w:trHeight w:val="397" w:hRule="atLeast"/>
          <w:tblHeader/>
          <w:jc w:val="center"/>
        </w:trPr>
        <w:tc>
          <w:tcPr>
            <w:tcW w:w="3545"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项目</w:t>
            </w:r>
          </w:p>
        </w:tc>
        <w:tc>
          <w:tcPr>
            <w:tcW w:w="1908"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年初数</w:t>
            </w:r>
          </w:p>
        </w:tc>
        <w:tc>
          <w:tcPr>
            <w:tcW w:w="11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本年增加</w:t>
            </w:r>
          </w:p>
        </w:tc>
        <w:tc>
          <w:tcPr>
            <w:tcW w:w="1222"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本年减少</w:t>
            </w:r>
          </w:p>
        </w:tc>
        <w:tc>
          <w:tcPr>
            <w:tcW w:w="1766" w:type="dxa"/>
            <w:tcBorders>
              <w:top w:val="single" w:color="auto" w:sz="4" w:space="0"/>
              <w:bottom w:val="single" w:color="auto" w:sz="4" w:space="0"/>
            </w:tcBorders>
            <w:shd w:val="clear" w:color="FFFFFF" w:fill="FFFFFF"/>
            <w:vAlign w:val="center"/>
          </w:tcPr>
          <w:p>
            <w:pPr>
              <w:jc w:val="center"/>
              <w:rPr>
                <w:b/>
                <w:bCs/>
                <w:sz w:val="20"/>
                <w:szCs w:val="20"/>
              </w:rPr>
            </w:pPr>
            <w:r>
              <w:rPr>
                <w:rFonts w:hint="eastAsia"/>
                <w:b/>
                <w:bCs/>
                <w:sz w:val="20"/>
                <w:szCs w:val="20"/>
              </w:rPr>
              <w:t>年末数</w:t>
            </w:r>
          </w:p>
        </w:tc>
      </w:tr>
      <w:tr>
        <w:tblPrEx>
          <w:tblCellMar>
            <w:top w:w="0" w:type="dxa"/>
            <w:left w:w="108" w:type="dxa"/>
            <w:bottom w:w="0" w:type="dxa"/>
            <w:right w:w="108" w:type="dxa"/>
          </w:tblCellMar>
        </w:tblPrEx>
        <w:trPr>
          <w:trHeight w:val="20" w:hRule="exact"/>
          <w:tblHeader/>
          <w:jc w:val="center"/>
        </w:trPr>
        <w:tc>
          <w:tcPr>
            <w:tcW w:w="3545" w:type="dxa"/>
            <w:tcBorders>
              <w:top w:val="single" w:color="auto" w:sz="4" w:space="0"/>
            </w:tcBorders>
            <w:shd w:val="clear" w:color="FFFFFF" w:fill="FFFFFF"/>
            <w:vAlign w:val="center"/>
          </w:tcPr>
          <w:p>
            <w:pPr>
              <w:jc w:val="center"/>
              <w:rPr>
                <w:b/>
                <w:bCs/>
                <w:sz w:val="20"/>
                <w:szCs w:val="20"/>
              </w:rPr>
            </w:pPr>
          </w:p>
        </w:tc>
        <w:tc>
          <w:tcPr>
            <w:tcW w:w="1908" w:type="dxa"/>
            <w:tcBorders>
              <w:top w:val="single" w:color="auto" w:sz="4" w:space="0"/>
            </w:tcBorders>
            <w:shd w:val="clear" w:color="FFFFFF" w:fill="FFFFFF"/>
            <w:vAlign w:val="center"/>
          </w:tcPr>
          <w:p>
            <w:pPr>
              <w:jc w:val="center"/>
              <w:rPr>
                <w:b/>
                <w:bCs/>
                <w:sz w:val="20"/>
                <w:szCs w:val="20"/>
              </w:rPr>
            </w:pPr>
          </w:p>
        </w:tc>
        <w:tc>
          <w:tcPr>
            <w:tcW w:w="1166" w:type="dxa"/>
            <w:tcBorders>
              <w:top w:val="single" w:color="auto" w:sz="4" w:space="0"/>
            </w:tcBorders>
            <w:shd w:val="clear" w:color="FFFFFF" w:fill="FFFFFF"/>
            <w:vAlign w:val="center"/>
          </w:tcPr>
          <w:p>
            <w:pPr>
              <w:jc w:val="center"/>
              <w:rPr>
                <w:b/>
                <w:bCs/>
                <w:sz w:val="20"/>
                <w:szCs w:val="20"/>
              </w:rPr>
            </w:pPr>
          </w:p>
        </w:tc>
        <w:tc>
          <w:tcPr>
            <w:tcW w:w="1222" w:type="dxa"/>
            <w:tcBorders>
              <w:top w:val="single" w:color="auto" w:sz="4" w:space="0"/>
            </w:tcBorders>
            <w:shd w:val="clear" w:color="FFFFFF" w:fill="FFFFFF"/>
            <w:vAlign w:val="center"/>
          </w:tcPr>
          <w:p>
            <w:pPr>
              <w:jc w:val="center"/>
              <w:rPr>
                <w:b/>
                <w:bCs/>
                <w:sz w:val="20"/>
                <w:szCs w:val="20"/>
              </w:rPr>
            </w:pPr>
          </w:p>
        </w:tc>
        <w:tc>
          <w:tcPr>
            <w:tcW w:w="1766" w:type="dxa"/>
            <w:tcBorders>
              <w:top w:val="single" w:color="auto" w:sz="4" w:space="0"/>
            </w:tcBorders>
            <w:shd w:val="clear" w:color="FFFFFF" w:fill="FFFFFF"/>
            <w:vAlign w:val="center"/>
          </w:tcPr>
          <w:p>
            <w:pPr>
              <w:jc w:val="center"/>
              <w:rPr>
                <w:b/>
                <w:bCs/>
                <w:sz w:val="20"/>
                <w:szCs w:val="20"/>
              </w:rPr>
            </w:pP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i w:val="0"/>
                <w:color w:val="000000"/>
                <w:position w:val="-1"/>
                <w:sz w:val="20"/>
                <w:u w:val="none"/>
              </w:rPr>
              <w:t>原值合计</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804.26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34.72</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838.98</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104.92</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7.84</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112.76</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476.88</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7.60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484.48</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51.81</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0.40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52.21</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0.76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0.76</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169.89</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18.88</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188.77</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累计折旧合计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490.11</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53.76</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543.87</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59.95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3.65</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63.60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326.33</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34.91</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361.24</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44.47</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2.88</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47.35</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59.36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12.32</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71.68</w:t>
            </w:r>
          </w:p>
        </w:tc>
      </w:tr>
      <w:tr>
        <w:tblPrEx>
          <w:tblCellMar>
            <w:top w:w="0" w:type="dxa"/>
            <w:left w:w="108" w:type="dxa"/>
            <w:bottom w:w="0" w:type="dxa"/>
            <w:right w:w="108" w:type="dxa"/>
          </w:tblCellMar>
        </w:tblPrEx>
        <w:trPr>
          <w:trHeight w:val="455" w:hRule="atLeast"/>
          <w:jc w:val="center"/>
        </w:trPr>
        <w:tc>
          <w:tcPr>
            <w:tcW w:w="3545" w:type="dxa"/>
            <w:tcBorders>
              <w:top w:val="single" w:color="auto" w:sz="4" w:space="0"/>
            </w:tcBorders>
            <w:shd w:val="clear" w:color="FFFFFF" w:fill="FFFFFF"/>
            <w:vAlign w:val="center"/>
          </w:tcPr>
          <w:p>
            <w:pPr>
              <w:pageBreakBefore w:val="0"/>
              <w:jc w:val="left"/>
              <w:textAlignment w:val="auto"/>
            </w:pPr>
            <w:r>
              <w:rPr>
                <w:b/>
                <w:i w:val="0"/>
                <w:color w:val="000000"/>
                <w:position w:val="-1"/>
                <w:sz w:val="20"/>
                <w:u w:val="none"/>
              </w:rPr>
              <w:t>净值合计</w:t>
            </w:r>
          </w:p>
        </w:tc>
        <w:tc>
          <w:tcPr>
            <w:tcW w:w="1908"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314.15</w:t>
            </w:r>
          </w:p>
        </w:tc>
        <w:tc>
          <w:tcPr>
            <w:tcW w:w="11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34.72</w:t>
            </w:r>
          </w:p>
        </w:tc>
        <w:tc>
          <w:tcPr>
            <w:tcW w:w="1222"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53.76</w:t>
            </w:r>
          </w:p>
        </w:tc>
        <w:tc>
          <w:tcPr>
            <w:tcW w:w="1766" w:type="dxa"/>
            <w:tcBorders>
              <w:top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295.11</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房屋及构筑物</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44.97</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7.84</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3.65</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49.16</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通用设备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150.55</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7.60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34.91</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123.24</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专用设备</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7.34</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0.40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2.88</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4.86</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文物和陈列品</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r>
      <w:tr>
        <w:tblPrEx>
          <w:tblCellMar>
            <w:top w:w="0" w:type="dxa"/>
            <w:left w:w="108" w:type="dxa"/>
            <w:bottom w:w="0" w:type="dxa"/>
            <w:right w:w="108" w:type="dxa"/>
          </w:tblCellMar>
        </w:tblPrEx>
        <w:trPr>
          <w:trHeight w:val="397" w:hRule="atLeast"/>
          <w:jc w:val="center"/>
        </w:trPr>
        <w:tc>
          <w:tcPr>
            <w:tcW w:w="3545" w:type="dxa"/>
            <w:shd w:val="clear" w:color="FFFFFF" w:fill="FFFFFF"/>
            <w:vAlign w:val="center"/>
          </w:tcPr>
          <w:p>
            <w:pPr>
              <w:pageBreakBefore w:val="0"/>
              <w:jc w:val="left"/>
              <w:textAlignment w:val="auto"/>
            </w:pPr>
            <w:r>
              <w:rPr>
                <w:b w:val="0"/>
                <w:i w:val="0"/>
                <w:color w:val="000000"/>
                <w:position w:val="-1"/>
                <w:sz w:val="20"/>
                <w:u w:val="none"/>
              </w:rPr>
              <w:t xml:space="preserve">  图书、档案</w:t>
            </w:r>
          </w:p>
        </w:tc>
        <w:tc>
          <w:tcPr>
            <w:tcW w:w="1908"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0.76</w:t>
            </w:r>
          </w:p>
        </w:tc>
        <w:tc>
          <w:tcPr>
            <w:tcW w:w="11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222"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0.00</w:t>
            </w:r>
          </w:p>
        </w:tc>
        <w:tc>
          <w:tcPr>
            <w:tcW w:w="1766" w:type="dxa"/>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0.76</w:t>
            </w:r>
          </w:p>
        </w:tc>
      </w:tr>
      <w:tr>
        <w:tblPrEx>
          <w:tblCellMar>
            <w:top w:w="0" w:type="dxa"/>
            <w:left w:w="108" w:type="dxa"/>
            <w:bottom w:w="0" w:type="dxa"/>
            <w:right w:w="108" w:type="dxa"/>
          </w:tblCellMar>
        </w:tblPrEx>
        <w:trPr>
          <w:trHeight w:val="455" w:hRule="atLeast"/>
          <w:jc w:val="center"/>
        </w:trPr>
        <w:tc>
          <w:tcPr>
            <w:tcW w:w="3545" w:type="dxa"/>
            <w:tcBorders>
              <w:bottom w:val="single" w:color="auto" w:sz="4" w:space="0"/>
            </w:tcBorders>
            <w:shd w:val="clear" w:color="FFFFFF" w:fill="FFFFFF"/>
            <w:vAlign w:val="center"/>
          </w:tcPr>
          <w:p>
            <w:pPr>
              <w:pageBreakBefore w:val="0"/>
              <w:jc w:val="left"/>
              <w:textAlignment w:val="auto"/>
            </w:pPr>
            <w:r>
              <w:rPr>
                <w:b w:val="0"/>
                <w:i w:val="0"/>
                <w:color w:val="000000"/>
                <w:position w:val="-1"/>
                <w:sz w:val="20"/>
                <w:u w:val="none"/>
              </w:rPr>
              <w:t xml:space="preserve">  家具、用具、装具及动植物</w:t>
            </w:r>
          </w:p>
        </w:tc>
        <w:tc>
          <w:tcPr>
            <w:tcW w:w="1908"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110.53</w:t>
            </w:r>
          </w:p>
        </w:tc>
        <w:tc>
          <w:tcPr>
            <w:tcW w:w="11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18.88</w:t>
            </w:r>
          </w:p>
        </w:tc>
        <w:tc>
          <w:tcPr>
            <w:tcW w:w="1222"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12.32</w:t>
            </w:r>
          </w:p>
        </w:tc>
        <w:tc>
          <w:tcPr>
            <w:tcW w:w="1766" w:type="dxa"/>
            <w:tcBorders>
              <w:bottom w:val="single" w:color="auto" w:sz="4" w:space="0"/>
            </w:tcBorders>
            <w:shd w:val="clear" w:color="FFFFFF" w:fill="FFFFFF"/>
            <w:vAlign w:val="center"/>
          </w:tcPr>
          <w:p>
            <w:pPr>
              <w:pageBreakBefore w:val="0"/>
              <w:jc w:val="right"/>
              <w:textAlignment w:val="auto"/>
            </w:pPr>
            <w:r>
              <w:rPr>
                <w:rFonts w:ascii="Times New Roman" w:hAnsi="Times New Roman" w:eastAsia="Times New Roman" w:cs="Times New Roman"/>
                <w:b w:val="0"/>
                <w:i w:val="0"/>
                <w:color w:val="000000"/>
                <w:position w:val="-1"/>
                <w:sz w:val="20"/>
                <w:u w:val="none"/>
              </w:rPr>
              <w:t>117.09</w:t>
            </w:r>
          </w:p>
        </w:tc>
      </w:tr>
    </w:tbl>
    <w:p/>
    <w:p>
      <w:pPr>
        <w:pStyle w:val="110"/>
        <w:ind w:firstLine="600"/>
        <w:outlineLvl w:val="3"/>
        <w:rPr>
          <w:rFonts w:ascii="宋体" w:hAnsi="宋体" w:eastAsia="宋体"/>
        </w:rPr>
      </w:pPr>
      <w:r>
        <w:rPr>
          <w:rFonts w:hint="eastAsia" w:ascii="宋体" w:hAnsi="宋体" w:eastAsia="宋体"/>
        </w:rPr>
        <w:t>（7）在建工程明细信息如下：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附表7</w:t>
            </w:r>
          </w:p>
          <w:p>
            <w:pPr>
              <w:jc w:val="center"/>
              <w:rPr>
                <w:sz w:val="22"/>
                <w:szCs w:val="22"/>
              </w:rPr>
            </w:pPr>
            <w:r>
              <w:rPr>
                <w:rFonts w:ascii="宋体" w:hAnsi="宋体" w:eastAsia="宋体" w:cs="宋体"/>
                <w:sz w:val="22"/>
              </w:rPr>
              <w:t>附表7为空表（略）</w:t>
            </w:r>
          </w:p>
        </w:tc>
      </w:tr>
    </w:tbl>
    <w:p>
      <w:pPr>
        <w:spacing w:line="20" w:lineRule="exact"/>
        <w:jc w:val="right"/>
        <w:rPr>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（8）无形资产明细信息如下：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附表8</w:t>
            </w:r>
          </w:p>
          <w:p>
            <w:pPr>
              <w:jc w:val="center"/>
              <w:rPr>
                <w:sz w:val="22"/>
                <w:szCs w:val="22"/>
              </w:rPr>
            </w:pPr>
            <w:r>
              <w:rPr>
                <w:rFonts w:ascii="宋体" w:hAnsi="宋体" w:eastAsia="宋体" w:cs="宋体"/>
                <w:sz w:val="22"/>
              </w:rPr>
              <w:t>附表8为空表（略）</w:t>
            </w:r>
          </w:p>
        </w:tc>
      </w:tr>
    </w:tbl>
    <w:p>
      <w:pPr>
        <w:spacing w:line="20" w:lineRule="exact"/>
        <w:jc w:val="right"/>
        <w:rPr>
          <w:sz w:val="20"/>
          <w:szCs w:val="20"/>
        </w:rPr>
      </w:pPr>
    </w:p>
    <w:p>
      <w:bookmarkStart w:id="70" w:name="RANGE!A1:D22"/>
      <w:bookmarkEnd w:id="70"/>
    </w:p>
    <w:p>
      <w:pPr>
        <w:pStyle w:val="110"/>
        <w:ind w:firstLine="600"/>
        <w:outlineLvl w:val="3"/>
        <w:rPr>
          <w:rFonts w:ascii="宋体" w:hAnsi="宋体" w:eastAsia="宋体"/>
        </w:rPr>
      </w:pPr>
      <w:r>
        <w:rPr>
          <w:rFonts w:hint="eastAsia" w:ascii="宋体" w:hAnsi="宋体" w:eastAsia="宋体"/>
        </w:rPr>
        <w:t>（9）公共基础设施明细信息如下：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-1</w:t>
            </w:r>
          </w:p>
          <w:p>
            <w:pPr>
              <w:jc w:val="center"/>
              <w:rPr>
                <w:sz w:val="22"/>
                <w:szCs w:val="22"/>
              </w:rPr>
            </w:pPr>
            <w:r>
              <w:rPr>
                <w:rFonts w:ascii="宋体" w:hAnsi="宋体" w:eastAsia="宋体" w:cs="宋体"/>
                <w:sz w:val="22"/>
              </w:rPr>
              <w:t>附表9-1为空表（略）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-2</w:t>
            </w:r>
          </w:p>
          <w:p>
            <w:pPr>
              <w:jc w:val="center"/>
              <w:rPr>
                <w:sz w:val="22"/>
                <w:szCs w:val="22"/>
              </w:rPr>
            </w:pPr>
            <w:r>
              <w:rPr>
                <w:rFonts w:ascii="宋体" w:hAnsi="宋体" w:eastAsia="宋体" w:cs="宋体"/>
                <w:sz w:val="22"/>
              </w:rPr>
              <w:t>附表9-2为空表（略）</w:t>
            </w:r>
          </w:p>
        </w:tc>
      </w:tr>
    </w:tbl>
    <w:p>
      <w:pPr>
        <w:spacing w:line="20" w:lineRule="exact"/>
        <w:jc w:val="right"/>
        <w:rPr>
          <w:b/>
          <w:sz w:val="20"/>
          <w:szCs w:val="20"/>
        </w:rPr>
      </w:pPr>
    </w:p>
    <w:p>
      <w:pPr>
        <w:rPr>
          <w:sz w:val="20"/>
          <w:szCs w:val="20"/>
        </w:rPr>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附表9</w:t>
            </w:r>
            <w:r>
              <w:rPr>
                <w:sz w:val="22"/>
                <w:szCs w:val="22"/>
              </w:rPr>
              <w:t>-3</w:t>
            </w:r>
          </w:p>
          <w:p>
            <w:pPr>
              <w:jc w:val="center"/>
              <w:rPr>
                <w:sz w:val="22"/>
                <w:szCs w:val="22"/>
              </w:rPr>
            </w:pPr>
            <w:r>
              <w:rPr>
                <w:rFonts w:ascii="宋体" w:hAnsi="宋体" w:eastAsia="宋体" w:cs="宋体"/>
                <w:sz w:val="22"/>
              </w:rPr>
              <w:t>附表9-3为空表（略）</w:t>
            </w:r>
          </w:p>
        </w:tc>
      </w:tr>
    </w:tbl>
    <w:p>
      <w:pPr>
        <w:spacing w:line="20" w:lineRule="exact"/>
        <w:jc w:val="right"/>
        <w:rPr>
          <w:b/>
          <w:sz w:val="20"/>
          <w:szCs w:val="20"/>
        </w:rPr>
      </w:pPr>
    </w:p>
    <w:p/>
    <w:p>
      <w:pPr>
        <w:pStyle w:val="110"/>
        <w:ind w:firstLine="600"/>
        <w:outlineLvl w:val="3"/>
        <w:rPr>
          <w:rFonts w:ascii="宋体" w:hAnsi="宋体" w:eastAsia="宋体"/>
        </w:rPr>
      </w:pPr>
      <w:r>
        <w:rPr>
          <w:rFonts w:hint="eastAsia" w:ascii="宋体" w:hAnsi="宋体" w:eastAsia="宋体"/>
        </w:rPr>
        <w:t>（10）政府储备物资明细信息如下：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附表10</w:t>
            </w:r>
          </w:p>
          <w:p>
            <w:pPr>
              <w:jc w:val="center"/>
              <w:rPr>
                <w:sz w:val="22"/>
                <w:szCs w:val="22"/>
              </w:rPr>
            </w:pPr>
            <w:r>
              <w:rPr>
                <w:rFonts w:ascii="宋体" w:hAnsi="宋体" w:eastAsia="宋体" w:cs="宋体"/>
                <w:sz w:val="22"/>
              </w:rPr>
              <w:t>附表10为空表（略）</w:t>
            </w:r>
          </w:p>
        </w:tc>
      </w:tr>
    </w:tbl>
    <w:p>
      <w:pPr>
        <w:spacing w:line="20" w:lineRule="exact"/>
        <w:jc w:val="right"/>
        <w:rPr>
          <w:b/>
          <w:sz w:val="20"/>
          <w:szCs w:val="20"/>
        </w:rPr>
      </w:pPr>
    </w:p>
    <w:p/>
    <w:p/>
    <w:p>
      <w:pPr>
        <w:pStyle w:val="110"/>
        <w:ind w:firstLine="600"/>
        <w:outlineLvl w:val="3"/>
        <w:rPr>
          <w:rFonts w:ascii="宋体" w:hAnsi="宋体" w:eastAsia="宋体"/>
        </w:rPr>
      </w:pPr>
      <w:r>
        <w:rPr>
          <w:rFonts w:hint="eastAsia" w:ascii="宋体" w:hAnsi="宋体" w:eastAsia="宋体"/>
        </w:rPr>
        <w:t>（11）保障性住房明细信息如下：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1</w:t>
            </w:r>
          </w:p>
          <w:p>
            <w:pPr>
              <w:jc w:val="center"/>
              <w:rPr>
                <w:sz w:val="22"/>
                <w:szCs w:val="22"/>
              </w:rPr>
            </w:pPr>
            <w:r>
              <w:rPr>
                <w:rFonts w:ascii="宋体" w:hAnsi="宋体" w:eastAsia="宋体" w:cs="宋体"/>
                <w:sz w:val="22"/>
              </w:rPr>
              <w:t>附表11为空表（略）</w:t>
            </w:r>
          </w:p>
        </w:tc>
      </w:tr>
    </w:tbl>
    <w:p>
      <w:pPr>
        <w:spacing w:line="20" w:lineRule="exact"/>
        <w:jc w:val="right"/>
        <w:rPr>
          <w:b/>
          <w:sz w:val="20"/>
          <w:szCs w:val="20"/>
        </w:rPr>
      </w:pPr>
    </w:p>
    <w:p>
      <w:pPr>
        <w:rPr>
          <w:sz w:val="20"/>
          <w:szCs w:val="20"/>
        </w:rPr>
      </w:pPr>
    </w:p>
    <w:p>
      <w:pPr>
        <w:pStyle w:val="110"/>
        <w:ind w:firstLine="600"/>
        <w:outlineLvl w:val="3"/>
        <w:rPr>
          <w:rFonts w:ascii="宋体" w:hAnsi="宋体" w:eastAsia="宋体"/>
        </w:rPr>
      </w:pPr>
      <w:r>
        <w:rPr>
          <w:rFonts w:hint="eastAsia" w:ascii="宋体" w:hAnsi="宋体" w:eastAsia="宋体"/>
        </w:rPr>
        <w:t>（12）应付账款明细信息如下：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2</w:t>
            </w:r>
          </w:p>
          <w:p>
            <w:pPr>
              <w:jc w:val="center"/>
              <w:rPr>
                <w:sz w:val="22"/>
                <w:szCs w:val="22"/>
              </w:rPr>
            </w:pPr>
            <w:r>
              <w:rPr>
                <w:rFonts w:ascii="宋体" w:hAnsi="宋体" w:eastAsia="宋体" w:cs="宋体"/>
                <w:sz w:val="22"/>
              </w:rPr>
              <w:t>附表12为空表（略）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3）预收账款明细信息如下：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3</w:t>
            </w:r>
          </w:p>
          <w:p>
            <w:pPr>
              <w:jc w:val="center"/>
              <w:rPr>
                <w:sz w:val="22"/>
                <w:szCs w:val="22"/>
              </w:rPr>
            </w:pPr>
            <w:r>
              <w:rPr>
                <w:rFonts w:ascii="宋体" w:hAnsi="宋体" w:eastAsia="宋体" w:cs="宋体"/>
                <w:sz w:val="22"/>
              </w:rPr>
              <w:t>附表13为空表（略）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4）其他应付款明细信息如下：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其他应付款明细表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264"/>
        <w:gridCol w:w="426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264" w:type="dxa"/>
            <w:tcBorders>
              <w:top w:val="single" w:color="auto" w:sz="4" w:space="0"/>
              <w:bottom w:val="single" w:color="auto" w:sz="4" w:space="0"/>
            </w:tcBorders>
            <w:shd w:val="clear" w:color="FFFFFF" w:fill="FFFFFF"/>
            <w:vAlign w:val="center"/>
          </w:tcPr>
          <w:p>
            <w:pPr>
              <w:widowControl w:val="0"/>
              <w:jc w:val="center"/>
              <w:rPr>
                <w:sz w:val="22"/>
                <w:szCs w:val="22"/>
              </w:rPr>
            </w:pPr>
            <w:r>
              <w:rPr>
                <w:rFonts w:hint="eastAsia"/>
                <w:b/>
                <w:bCs/>
                <w:sz w:val="20"/>
                <w:szCs w:val="20"/>
              </w:rPr>
              <w:t>债权人</w:t>
            </w:r>
          </w:p>
        </w:tc>
        <w:tc>
          <w:tcPr>
            <w:tcW w:w="4264" w:type="dxa"/>
            <w:tcBorders>
              <w:top w:val="single" w:color="auto" w:sz="4" w:space="0"/>
              <w:bottom w:val="single" w:color="auto" w:sz="4" w:space="0"/>
            </w:tcBorders>
            <w:shd w:val="clear" w:color="FFFFFF" w:fill="FFFFFF"/>
            <w:vAlign w:val="center"/>
          </w:tcPr>
          <w:p>
            <w:pPr>
              <w:widowControl w:val="0"/>
              <w:jc w:val="center"/>
              <w:rPr>
                <w:sz w:val="22"/>
                <w:szCs w:val="22"/>
              </w:rPr>
            </w:pPr>
            <w:r>
              <w:rPr>
                <w:rFonts w:hint="eastAsia"/>
                <w:b/>
                <w:bCs/>
                <w:sz w:val="20"/>
                <w:szCs w:val="20"/>
              </w:rPr>
              <w:t>年末数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264" w:type="dxa"/>
            <w:tcBorders>
              <w:top w:val="single" w:color="auto" w:sz="4" w:space="0"/>
            </w:tcBorders>
            <w:shd w:val="clear" w:color="FFFFFF" w:fill="FFFFFF"/>
          </w:tcPr>
          <w:p>
            <w:pPr>
              <w:widowControl w:val="0"/>
              <w:jc w:val="both"/>
              <w:rPr>
                <w:sz w:val="22"/>
                <w:szCs w:val="22"/>
              </w:rPr>
            </w:pPr>
          </w:p>
        </w:tc>
        <w:tc>
          <w:tcPr>
            <w:tcW w:w="4264"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应付本部门内部单位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应付本部门以外的同级政府单位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应付本部门以外的非同级政府单位</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应付同级财政</w:t>
            </w:r>
          </w:p>
        </w:tc>
        <w:tc>
          <w:tcPr>
            <w:tcW w:w="4264"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264" w:type="dxa"/>
            <w:shd w:val="clear" w:color="FFFFFF" w:fill="FFFFFF"/>
          </w:tcPr>
          <w:p>
            <w:pPr>
              <w:pageBreakBefore w:val="0"/>
              <w:widowControl w:val="0"/>
              <w:jc w:val="left"/>
              <w:textAlignment w:val="auto"/>
            </w:pPr>
            <w:r>
              <w:rPr>
                <w:b/>
                <w:i w:val="0"/>
                <w:color w:val="auto"/>
                <w:position w:val="-1"/>
                <w:sz w:val="20"/>
                <w:u w:val="none"/>
              </w:rPr>
              <w:t>应付其他单位</w:t>
            </w:r>
          </w:p>
        </w:tc>
        <w:tc>
          <w:tcPr>
            <w:tcW w:w="4264" w:type="dxa"/>
            <w:shd w:val="clear" w:color="FFFFFF" w:fill="FFFFFF"/>
          </w:tcPr>
          <w:p>
            <w:pPr>
              <w:pageBreakBefore w:val="0"/>
              <w:widowControl w:val="0"/>
              <w:jc w:val="right"/>
              <w:textAlignment w:val="auto"/>
            </w:pPr>
            <w:r>
              <w:rPr>
                <w:b w:val="0"/>
                <w:i w:val="0"/>
                <w:color w:val="auto"/>
                <w:position w:val="-1"/>
                <w:sz w:val="20"/>
                <w:u w:val="none"/>
              </w:rPr>
              <w:t>815.25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264"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4264"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815.25</w:t>
            </w:r>
          </w:p>
        </w:tc>
      </w:tr>
    </w:tbl>
    <w:p>
      <w:pPr>
        <w:rPr>
          <w:sz w:val="22"/>
          <w:szCs w:val="22"/>
        </w:rPr>
      </w:pPr>
      <w:r>
        <w:rPr>
          <w:rFonts w:hint="eastAsia"/>
          <w:sz w:val="20"/>
          <w:szCs w:val="20"/>
        </w:rPr>
        <w:t>注：“应付同级财政”主要包括预拨经费、向同级财政部门借入的款项</w:t>
      </w: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5）长期借款明细信息如下：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1</w:t>
            </w:r>
          </w:p>
          <w:p>
            <w:pPr>
              <w:jc w:val="center"/>
              <w:rPr>
                <w:sz w:val="22"/>
                <w:szCs w:val="22"/>
              </w:rPr>
            </w:pPr>
            <w:r>
              <w:rPr>
                <w:rFonts w:ascii="宋体" w:hAnsi="宋体" w:eastAsia="宋体" w:cs="宋体"/>
                <w:sz w:val="22"/>
              </w:rPr>
              <w:t>附表15-1为空表（略）</w:t>
            </w:r>
          </w:p>
        </w:tc>
      </w:tr>
    </w:tbl>
    <w:p>
      <w:pPr>
        <w:spacing w:line="20" w:lineRule="exact"/>
        <w:jc w:val="right"/>
        <w:rPr>
          <w:sz w:val="20"/>
          <w:szCs w:val="20"/>
        </w:rPr>
      </w:pPr>
    </w:p>
    <w:p>
      <w:pPr>
        <w:pStyle w:val="110"/>
        <w:ind w:firstLine="600"/>
      </w:pP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5</w:t>
            </w:r>
            <w:r>
              <w:rPr>
                <w:sz w:val="22"/>
                <w:szCs w:val="22"/>
              </w:rPr>
              <w:t>-</w:t>
            </w:r>
            <w:r>
              <w:rPr>
                <w:rFonts w:hint="eastAsia"/>
                <w:sz w:val="22"/>
                <w:szCs w:val="22"/>
              </w:rPr>
              <w:t>2</w:t>
            </w:r>
          </w:p>
          <w:p>
            <w:pPr>
              <w:jc w:val="center"/>
              <w:rPr>
                <w:sz w:val="22"/>
                <w:szCs w:val="22"/>
              </w:rPr>
            </w:pPr>
            <w:r>
              <w:rPr>
                <w:rFonts w:ascii="宋体" w:hAnsi="宋体" w:eastAsia="宋体" w:cs="宋体"/>
                <w:sz w:val="22"/>
              </w:rPr>
              <w:t>附表15-2为空表（略）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6）长期应付款明细信息如下：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6</w:t>
            </w:r>
          </w:p>
          <w:p>
            <w:pPr>
              <w:jc w:val="center"/>
              <w:rPr>
                <w:sz w:val="22"/>
                <w:szCs w:val="22"/>
              </w:rPr>
            </w:pPr>
            <w:r>
              <w:rPr>
                <w:rFonts w:ascii="宋体" w:hAnsi="宋体" w:eastAsia="宋体" w:cs="宋体"/>
                <w:sz w:val="22"/>
              </w:rPr>
              <w:t>附表16为空表（略）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7）事业收入明细信息如下：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7</w:t>
            </w:r>
          </w:p>
          <w:p>
            <w:pPr>
              <w:jc w:val="center"/>
              <w:rPr>
                <w:sz w:val="22"/>
                <w:szCs w:val="22"/>
              </w:rPr>
            </w:pPr>
            <w:r>
              <w:rPr>
                <w:rFonts w:ascii="宋体" w:hAnsi="宋体" w:eastAsia="宋体" w:cs="宋体"/>
                <w:sz w:val="22"/>
              </w:rPr>
              <w:t>附表17为空表（略）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w:t>
      </w:r>
      <w:r>
        <w:rPr>
          <w:rFonts w:ascii="宋体" w:hAnsi="宋体" w:eastAsia="宋体"/>
        </w:rPr>
        <w:t>1</w:t>
      </w:r>
      <w:r>
        <w:rPr>
          <w:rFonts w:hint="eastAsia" w:ascii="宋体" w:hAnsi="宋体" w:eastAsia="宋体"/>
        </w:rPr>
        <w:t>8）经营收入明细信息如下：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1</w:t>
            </w:r>
            <w:r>
              <w:rPr>
                <w:rFonts w:hint="eastAsia"/>
                <w:sz w:val="22"/>
                <w:szCs w:val="22"/>
              </w:rPr>
              <w:t>8</w:t>
            </w:r>
          </w:p>
          <w:p>
            <w:pPr>
              <w:jc w:val="center"/>
              <w:rPr>
                <w:sz w:val="22"/>
                <w:szCs w:val="22"/>
              </w:rPr>
            </w:pPr>
            <w:r>
              <w:rPr>
                <w:rFonts w:ascii="宋体" w:hAnsi="宋体" w:eastAsia="宋体" w:cs="宋体"/>
                <w:sz w:val="22"/>
              </w:rPr>
              <w:t>附表18为空表（略）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（19）非同级财政拨款收入明细信息如下：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附表19</w:t>
            </w:r>
          </w:p>
          <w:p>
            <w:pPr>
              <w:jc w:val="center"/>
              <w:rPr>
                <w:sz w:val="22"/>
                <w:szCs w:val="22"/>
              </w:rPr>
            </w:pPr>
            <w:r>
              <w:rPr>
                <w:rFonts w:ascii="宋体" w:hAnsi="宋体" w:eastAsia="宋体" w:cs="宋体"/>
                <w:sz w:val="22"/>
              </w:rPr>
              <w:t>附表19为空表（略）</w:t>
            </w:r>
          </w:p>
        </w:tc>
      </w:tr>
    </w:tbl>
    <w:p>
      <w:pPr>
        <w:spacing w:line="20" w:lineRule="exact"/>
        <w:jc w:val="right"/>
        <w:rPr>
          <w:sz w:val="20"/>
          <w:szCs w:val="20"/>
        </w:rPr>
      </w:pPr>
    </w:p>
    <w:p>
      <w:r>
        <w:rPr>
          <w:sz w:val="22"/>
        </w:rPr>
        <w:t>注：“来自非同级财政”是指收到其他财政部门的拨款。</w:t>
      </w:r>
    </w:p>
    <w:p>
      <w:pPr>
        <w:pStyle w:val="110"/>
        <w:ind w:firstLine="600"/>
        <w:outlineLvl w:val="3"/>
        <w:rPr>
          <w:rFonts w:ascii="宋体" w:hAnsi="宋体" w:eastAsia="宋体"/>
        </w:rPr>
      </w:pPr>
      <w:r>
        <w:rPr>
          <w:rFonts w:hint="eastAsia" w:ascii="宋体" w:hAnsi="宋体" w:eastAsia="宋体"/>
        </w:rPr>
        <w:t>（20）其他收入明细信息如下：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附表20</w:t>
            </w:r>
          </w:p>
          <w:p>
            <w:pPr>
              <w:jc w:val="center"/>
              <w:rPr>
                <w:sz w:val="22"/>
                <w:szCs w:val="22"/>
              </w:rPr>
            </w:pPr>
            <w:r>
              <w:rPr>
                <w:rFonts w:ascii="宋体" w:hAnsi="宋体" w:eastAsia="宋体" w:cs="宋体"/>
                <w:sz w:val="22"/>
              </w:rPr>
              <w:t>附表20为空表（略）</w:t>
            </w:r>
          </w:p>
        </w:tc>
      </w:tr>
    </w:tbl>
    <w:p>
      <w:pPr>
        <w:spacing w:line="20" w:lineRule="exact"/>
        <w:jc w:val="right"/>
        <w:rPr>
          <w:sz w:val="20"/>
          <w:szCs w:val="20"/>
        </w:rPr>
      </w:pPr>
    </w:p>
    <w:p>
      <w:pPr>
        <w:rPr>
          <w:sz w:val="22"/>
          <w:szCs w:val="22"/>
        </w:rPr>
      </w:pPr>
    </w:p>
    <w:p>
      <w:pPr>
        <w:pStyle w:val="110"/>
        <w:ind w:firstLine="600"/>
        <w:outlineLvl w:val="3"/>
        <w:rPr>
          <w:rFonts w:ascii="宋体" w:hAnsi="宋体" w:eastAsia="宋体"/>
        </w:rPr>
      </w:pPr>
      <w:r>
        <w:rPr>
          <w:rFonts w:hint="eastAsia" w:ascii="宋体" w:hAnsi="宋体" w:eastAsia="宋体"/>
        </w:rPr>
        <w:t>（21）业务活动费用明细信息如下：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1</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业务活动费用明细表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tabs>
          <w:tab w:val="left" w:pos="4242"/>
          <w:tab w:val="left" w:pos="6754"/>
        </w:tabs>
        <w:spacing w:line="20" w:lineRule="exact"/>
        <w:rPr>
          <w:b/>
          <w:bCs/>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227"/>
        <w:gridCol w:w="2458"/>
        <w:gridCol w:w="284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3227" w:type="dxa"/>
            <w:tcBorders>
              <w:top w:val="single" w:color="auto" w:sz="4" w:space="0"/>
              <w:bottom w:val="single" w:color="auto" w:sz="4" w:space="0"/>
            </w:tcBorders>
            <w:shd w:val="clear" w:color="FFFFFF" w:fill="FFFFFF"/>
          </w:tcPr>
          <w:p>
            <w:pPr>
              <w:widowControl/>
              <w:jc w:val="center"/>
              <w:rPr>
                <w:b/>
                <w:bCs/>
                <w:sz w:val="20"/>
                <w:szCs w:val="20"/>
              </w:rPr>
            </w:pPr>
            <w:r>
              <w:rPr>
                <w:rFonts w:hint="eastAsia"/>
                <w:b/>
                <w:bCs/>
                <w:sz w:val="20"/>
                <w:szCs w:val="20"/>
              </w:rPr>
              <w:t>项目</w:t>
            </w:r>
          </w:p>
        </w:tc>
        <w:tc>
          <w:tcPr>
            <w:tcW w:w="2458"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本年数</w:t>
            </w:r>
          </w:p>
        </w:tc>
        <w:tc>
          <w:tcPr>
            <w:tcW w:w="2843" w:type="dxa"/>
            <w:tcBorders>
              <w:top w:val="single" w:color="auto" w:sz="4" w:space="0"/>
              <w:bottom w:val="single" w:color="auto" w:sz="4" w:space="0"/>
            </w:tcBorders>
            <w:shd w:val="clear" w:color="FFFFFF" w:fill="FFFFFF"/>
          </w:tcPr>
          <w:p>
            <w:pPr>
              <w:widowControl w:val="0"/>
              <w:jc w:val="center"/>
              <w:rPr>
                <w:b/>
                <w:bCs/>
                <w:sz w:val="20"/>
                <w:szCs w:val="20"/>
              </w:rPr>
            </w:pPr>
            <w:r>
              <w:rPr>
                <w:rFonts w:hint="eastAsia"/>
                <w:b/>
                <w:bCs/>
                <w:sz w:val="20"/>
                <w:szCs w:val="20"/>
              </w:rPr>
              <w:t>上年数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3227" w:type="dxa"/>
            <w:tcBorders>
              <w:top w:val="single" w:color="auto" w:sz="4" w:space="0"/>
            </w:tcBorders>
            <w:shd w:val="clear" w:color="FFFFFF" w:fill="FFFFFF"/>
          </w:tcPr>
          <w:p>
            <w:pPr>
              <w:widowControl w:val="0"/>
              <w:jc w:val="both"/>
            </w:pPr>
          </w:p>
        </w:tc>
        <w:tc>
          <w:tcPr>
            <w:tcW w:w="2458" w:type="dxa"/>
            <w:tcBorders>
              <w:top w:val="single" w:color="auto" w:sz="4" w:space="0"/>
            </w:tcBorders>
            <w:shd w:val="clear" w:color="FFFFFF" w:fill="FFFFFF"/>
          </w:tcPr>
          <w:p>
            <w:pPr>
              <w:widowControl w:val="0"/>
              <w:jc w:val="both"/>
            </w:pPr>
          </w:p>
        </w:tc>
        <w:tc>
          <w:tcPr>
            <w:tcW w:w="2843" w:type="dxa"/>
            <w:tcBorders>
              <w:top w:val="single" w:color="auto" w:sz="4" w:space="0"/>
            </w:tcBorders>
            <w:shd w:val="clear" w:color="FFFFFF" w:fill="FFFFFF"/>
          </w:tcPr>
          <w:p>
            <w:pPr>
              <w:widowControl w:val="0"/>
              <w:jc w:val="both"/>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工资和福利费用</w:t>
            </w:r>
          </w:p>
        </w:tc>
        <w:tc>
          <w:tcPr>
            <w:tcW w:w="2458" w:type="dxa"/>
            <w:shd w:val="clear" w:color="FFFFFF" w:fill="FFFFFF"/>
          </w:tcPr>
          <w:p>
            <w:pPr>
              <w:pageBreakBefore w:val="0"/>
              <w:widowControl w:val="0"/>
              <w:jc w:val="right"/>
              <w:textAlignment w:val="auto"/>
            </w:pPr>
            <w:r>
              <w:rPr>
                <w:b w:val="0"/>
                <w:i w:val="0"/>
                <w:color w:val="auto"/>
                <w:position w:val="-1"/>
                <w:sz w:val="20"/>
                <w:u w:val="none"/>
              </w:rPr>
              <w:t>589.54</w:t>
            </w:r>
          </w:p>
        </w:tc>
        <w:tc>
          <w:tcPr>
            <w:tcW w:w="2843" w:type="dxa"/>
            <w:shd w:val="clear" w:color="FFFFFF" w:fill="FFFFFF"/>
          </w:tcPr>
          <w:p>
            <w:pPr>
              <w:pageBreakBefore w:val="0"/>
              <w:widowControl w:val="0"/>
              <w:jc w:val="right"/>
              <w:textAlignment w:val="auto"/>
            </w:pPr>
            <w:r>
              <w:rPr>
                <w:b w:val="0"/>
                <w:i w:val="0"/>
                <w:color w:val="auto"/>
                <w:position w:val="-1"/>
                <w:sz w:val="20"/>
                <w:u w:val="none"/>
              </w:rPr>
              <w:t>537.85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商品和服务费用</w:t>
            </w:r>
          </w:p>
        </w:tc>
        <w:tc>
          <w:tcPr>
            <w:tcW w:w="2458" w:type="dxa"/>
            <w:shd w:val="clear" w:color="FFFFFF" w:fill="FFFFFF"/>
          </w:tcPr>
          <w:p>
            <w:pPr>
              <w:pageBreakBefore w:val="0"/>
              <w:widowControl w:val="0"/>
              <w:jc w:val="right"/>
              <w:textAlignment w:val="auto"/>
            </w:pPr>
            <w:r>
              <w:rPr>
                <w:b w:val="0"/>
                <w:i w:val="0"/>
                <w:color w:val="auto"/>
                <w:position w:val="-1"/>
                <w:sz w:val="20"/>
                <w:u w:val="none"/>
              </w:rPr>
              <w:t>358.06</w:t>
            </w:r>
          </w:p>
        </w:tc>
        <w:tc>
          <w:tcPr>
            <w:tcW w:w="2843" w:type="dxa"/>
            <w:shd w:val="clear" w:color="FFFFFF" w:fill="FFFFFF"/>
          </w:tcPr>
          <w:p>
            <w:pPr>
              <w:pageBreakBefore w:val="0"/>
              <w:widowControl w:val="0"/>
              <w:jc w:val="right"/>
              <w:textAlignment w:val="auto"/>
            </w:pPr>
            <w:r>
              <w:rPr>
                <w:b w:val="0"/>
                <w:i w:val="0"/>
                <w:color w:val="auto"/>
                <w:position w:val="-1"/>
                <w:sz w:val="20"/>
                <w:u w:val="none"/>
              </w:rPr>
              <w:t>230.87</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对个人和家庭的补助费用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17,198.03</w:t>
            </w:r>
          </w:p>
        </w:tc>
        <w:tc>
          <w:tcPr>
            <w:tcW w:w="2843" w:type="dxa"/>
            <w:shd w:val="clear" w:color="FFFFFF" w:fill="FFFFFF"/>
          </w:tcPr>
          <w:p>
            <w:pPr>
              <w:pageBreakBefore w:val="0"/>
              <w:widowControl w:val="0"/>
              <w:jc w:val="right"/>
              <w:textAlignment w:val="auto"/>
            </w:pPr>
            <w:r>
              <w:rPr>
                <w:b w:val="0"/>
                <w:i w:val="0"/>
                <w:color w:val="auto"/>
                <w:position w:val="-1"/>
                <w:sz w:val="20"/>
                <w:u w:val="none"/>
              </w:rPr>
              <w:t>14,336.14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对企业补助费用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固定资产折旧费用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53.75</w:t>
            </w:r>
          </w:p>
        </w:tc>
        <w:tc>
          <w:tcPr>
            <w:tcW w:w="2843" w:type="dxa"/>
            <w:shd w:val="clear" w:color="FFFFFF" w:fill="FFFFFF"/>
          </w:tcPr>
          <w:p>
            <w:pPr>
              <w:pageBreakBefore w:val="0"/>
              <w:widowControl w:val="0"/>
              <w:jc w:val="right"/>
              <w:textAlignment w:val="auto"/>
            </w:pPr>
            <w:r>
              <w:rPr>
                <w:b w:val="0"/>
                <w:i w:val="0"/>
                <w:color w:val="auto"/>
                <w:position w:val="-1"/>
                <w:sz w:val="20"/>
                <w:u w:val="none"/>
              </w:rPr>
              <w:t>52.24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无形资产摊销费用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公共基础设施折旧（摊销）费用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保障性住房折旧费用</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计提专用基金</w:t>
            </w:r>
          </w:p>
        </w:tc>
        <w:tc>
          <w:tcPr>
            <w:tcW w:w="2458" w:type="dxa"/>
            <w:shd w:val="clear" w:color="FFFFFF" w:fill="FFFFFF"/>
          </w:tcPr>
          <w:p>
            <w:pPr>
              <w:pageBreakBefore w:val="0"/>
              <w:widowControl w:val="0"/>
              <w:jc w:val="right"/>
              <w:textAlignment w:val="auto"/>
            </w:pPr>
            <w:r>
              <w:rPr>
                <w:b w:val="0"/>
                <w:i w:val="0"/>
                <w:color w:val="auto"/>
                <w:position w:val="-1"/>
                <w:sz w:val="20"/>
                <w:u w:val="none"/>
              </w:rPr>
              <w:t>0.00</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3227" w:type="dxa"/>
            <w:shd w:val="clear" w:color="FFFFFF" w:fill="FFFFFF"/>
          </w:tcPr>
          <w:p>
            <w:pPr>
              <w:pageBreakBefore w:val="0"/>
              <w:widowControl w:val="0"/>
              <w:jc w:val="left"/>
              <w:textAlignment w:val="auto"/>
            </w:pPr>
            <w:r>
              <w:rPr>
                <w:b w:val="0"/>
                <w:i w:val="0"/>
                <w:color w:val="auto"/>
                <w:position w:val="-1"/>
                <w:sz w:val="20"/>
                <w:u w:val="none"/>
              </w:rPr>
              <w:t xml:space="preserve">  其他业务活动费用</w:t>
            </w:r>
          </w:p>
        </w:tc>
        <w:tc>
          <w:tcPr>
            <w:tcW w:w="2458" w:type="dxa"/>
            <w:shd w:val="clear" w:color="FFFFFF" w:fill="FFFFFF"/>
          </w:tcPr>
          <w:p>
            <w:pPr>
              <w:pageBreakBefore w:val="0"/>
              <w:widowControl w:val="0"/>
              <w:jc w:val="right"/>
              <w:textAlignment w:val="auto"/>
            </w:pPr>
            <w:r>
              <w:rPr>
                <w:b w:val="0"/>
                <w:i w:val="0"/>
                <w:color w:val="auto"/>
                <w:position w:val="-1"/>
                <w:sz w:val="20"/>
                <w:u w:val="none"/>
              </w:rPr>
              <w:t>1,129.25</w:t>
            </w:r>
          </w:p>
        </w:tc>
        <w:tc>
          <w:tcPr>
            <w:tcW w:w="2843" w:type="dxa"/>
            <w:shd w:val="clear" w:color="FFFFFF" w:fill="FFFFFF"/>
          </w:tcPr>
          <w:p>
            <w:pPr>
              <w:pageBreakBefore w:val="0"/>
              <w:widowControl w:val="0"/>
              <w:jc w:val="right"/>
              <w:textAlignment w:val="auto"/>
            </w:pPr>
            <w:r>
              <w:rPr>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3227" w:type="dxa"/>
            <w:tcBorders>
              <w:top w:val="single" w:color="auto" w:sz="4" w:space="0"/>
              <w:bottom w:val="single" w:color="auto" w:sz="4" w:space="0"/>
            </w:tcBorders>
            <w:shd w:val="clear" w:color="FFFFFF" w:fill="FFFFFF"/>
          </w:tcPr>
          <w:p>
            <w:pPr>
              <w:pageBreakBefore w:val="0"/>
              <w:widowControl w:val="0"/>
              <w:jc w:val="center"/>
              <w:textAlignment w:val="auto"/>
            </w:pPr>
            <w:r>
              <w:rPr>
                <w:b/>
                <w:i w:val="0"/>
                <w:color w:val="auto"/>
                <w:position w:val="-1"/>
                <w:sz w:val="20"/>
                <w:u w:val="none"/>
              </w:rPr>
              <w:t>合计</w:t>
            </w:r>
          </w:p>
        </w:tc>
        <w:tc>
          <w:tcPr>
            <w:tcW w:w="2458"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19,328.63</w:t>
            </w:r>
          </w:p>
        </w:tc>
        <w:tc>
          <w:tcPr>
            <w:tcW w:w="2843" w:type="dxa"/>
            <w:tcBorders>
              <w:top w:val="single" w:color="auto" w:sz="4" w:space="0"/>
              <w:bottom w:val="single" w:color="auto" w:sz="4" w:space="0"/>
            </w:tcBorders>
            <w:shd w:val="clear" w:color="FFFFFF" w:fill="FFFFFF"/>
          </w:tcPr>
          <w:p>
            <w:pPr>
              <w:pageBreakBefore w:val="0"/>
              <w:widowControl w:val="0"/>
              <w:jc w:val="right"/>
              <w:textAlignment w:val="auto"/>
            </w:pPr>
            <w:r>
              <w:rPr>
                <w:b w:val="0"/>
                <w:i w:val="0"/>
                <w:color w:val="auto"/>
                <w:position w:val="-1"/>
                <w:sz w:val="20"/>
                <w:u w:val="none"/>
              </w:rPr>
              <w:t>15,157.10</w:t>
            </w:r>
          </w:p>
        </w:tc>
      </w:tr>
    </w:tbl>
    <w:p/>
    <w:p>
      <w:pPr>
        <w:pStyle w:val="110"/>
        <w:ind w:firstLine="600"/>
        <w:outlineLvl w:val="3"/>
        <w:rPr>
          <w:rFonts w:ascii="宋体" w:hAnsi="宋体" w:eastAsia="宋体"/>
        </w:rPr>
      </w:pPr>
      <w:r>
        <w:rPr>
          <w:rFonts w:hint="eastAsia" w:ascii="宋体" w:hAnsi="宋体" w:eastAsia="宋体"/>
        </w:rPr>
        <w:t>（22）单位管理费用明细信息如下：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2</w:t>
            </w:r>
          </w:p>
          <w:p>
            <w:pPr>
              <w:jc w:val="center"/>
              <w:rPr>
                <w:sz w:val="22"/>
                <w:szCs w:val="22"/>
              </w:rPr>
            </w:pPr>
            <w:r>
              <w:rPr>
                <w:rFonts w:ascii="宋体" w:hAnsi="宋体" w:eastAsia="宋体" w:cs="宋体"/>
                <w:sz w:val="22"/>
              </w:rPr>
              <w:t>附表22为空表（略）</w:t>
            </w:r>
          </w:p>
        </w:tc>
      </w:tr>
    </w:tbl>
    <w:p>
      <w:pPr>
        <w:tabs>
          <w:tab w:val="left" w:pos="4242"/>
          <w:tab w:val="left" w:pos="6754"/>
        </w:tabs>
        <w:spacing w:line="20" w:lineRule="exact"/>
        <w:rPr>
          <w:b/>
          <w:bCs/>
          <w:sz w:val="20"/>
          <w:szCs w:val="20"/>
        </w:rPr>
      </w:pPr>
    </w:p>
    <w:p>
      <w:pPr>
        <w:rPr>
          <w:b/>
          <w:bCs/>
          <w:sz w:val="22"/>
          <w:szCs w:val="22"/>
        </w:rPr>
      </w:pPr>
    </w:p>
    <w:p>
      <w:pPr>
        <w:pStyle w:val="110"/>
        <w:ind w:firstLine="600"/>
        <w:outlineLvl w:val="3"/>
        <w:rPr>
          <w:rFonts w:ascii="宋体" w:hAnsi="宋体" w:eastAsia="宋体"/>
        </w:rPr>
      </w:pPr>
      <w:r>
        <w:rPr>
          <w:rFonts w:hint="eastAsia" w:ascii="宋体" w:hAnsi="宋体" w:eastAsia="宋体"/>
        </w:rPr>
        <w:t>（23）经营费用明细信息如下：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794"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3</w:t>
            </w:r>
          </w:p>
          <w:p>
            <w:pPr>
              <w:jc w:val="center"/>
              <w:rPr>
                <w:sz w:val="22"/>
                <w:szCs w:val="22"/>
              </w:rPr>
            </w:pPr>
            <w:r>
              <w:rPr>
                <w:rFonts w:ascii="宋体" w:hAnsi="宋体" w:eastAsia="宋体" w:cs="宋体"/>
                <w:sz w:val="22"/>
              </w:rPr>
              <w:t>附表23为空表（略）</w:t>
            </w:r>
          </w:p>
        </w:tc>
      </w:tr>
    </w:tbl>
    <w:p>
      <w:pPr>
        <w:tabs>
          <w:tab w:val="left" w:pos="4242"/>
          <w:tab w:val="left" w:pos="6754"/>
        </w:tabs>
        <w:spacing w:line="20" w:lineRule="exact"/>
        <w:rPr>
          <w:b/>
          <w:bCs/>
          <w:sz w:val="20"/>
          <w:szCs w:val="20"/>
        </w:rPr>
      </w:pPr>
    </w:p>
    <w:p/>
    <w:p>
      <w:pPr>
        <w:pStyle w:val="110"/>
        <w:ind w:firstLine="600"/>
        <w:outlineLvl w:val="3"/>
        <w:rPr>
          <w:rFonts w:ascii="宋体" w:hAnsi="宋体" w:eastAsia="宋体"/>
        </w:rPr>
      </w:pPr>
      <w:r>
        <w:rPr>
          <w:rFonts w:hint="eastAsia" w:ascii="宋体" w:hAnsi="宋体" w:eastAsia="宋体"/>
        </w:rPr>
        <w:t>（24）商品和服务费用明细信息如下：</w:t>
      </w:r>
    </w:p>
    <w:tbl>
      <w:tblPr>
        <w:tblStyle w:val="34"/>
        <w:tblW w:w="8528" w:type="dxa"/>
        <w:jc w:val="center"/>
        <w:tblLayout w:type="fixed"/>
        <w:tblCellMar>
          <w:top w:w="0" w:type="dxa"/>
          <w:left w:w="108" w:type="dxa"/>
          <w:bottom w:w="0" w:type="dxa"/>
          <w:right w:w="108" w:type="dxa"/>
        </w:tblCellMar>
      </w:tblPr>
      <w:tblGrid>
        <w:gridCol w:w="8528"/>
      </w:tblGrid>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rPr>
                <w:sz w:val="22"/>
                <w:szCs w:val="22"/>
              </w:rPr>
            </w:pPr>
            <w:r>
              <w:rPr>
                <w:rFonts w:hint="eastAsia"/>
                <w:sz w:val="22"/>
                <w:szCs w:val="22"/>
              </w:rPr>
              <w:t>附表</w:t>
            </w:r>
            <w:r>
              <w:rPr>
                <w:sz w:val="22"/>
                <w:szCs w:val="22"/>
              </w:rPr>
              <w:t>2</w:t>
            </w:r>
            <w:r>
              <w:rPr>
                <w:rFonts w:hint="eastAsia"/>
                <w:sz w:val="22"/>
                <w:szCs w:val="22"/>
              </w:rPr>
              <w:t>4</w:t>
            </w:r>
          </w:p>
          <w:p>
            <w:pPr>
              <w:rPr>
                <w:sz w:val="22"/>
                <w:szCs w:val="22"/>
              </w:rPr>
            </w:pP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center"/>
              <w:rPr>
                <w:b/>
                <w:bCs/>
                <w:sz w:val="22"/>
                <w:szCs w:val="22"/>
              </w:rPr>
            </w:pPr>
            <w:r>
              <w:rPr>
                <w:rFonts w:hint="eastAsia"/>
                <w:b/>
                <w:bCs/>
                <w:sz w:val="22"/>
                <w:szCs w:val="22"/>
              </w:rPr>
              <w:t>商品和服务费用明细表</w:t>
            </w:r>
          </w:p>
        </w:tc>
      </w:tr>
      <w:tr>
        <w:tblPrEx>
          <w:tblCellMar>
            <w:top w:w="0" w:type="dxa"/>
            <w:left w:w="108" w:type="dxa"/>
            <w:bottom w:w="0" w:type="dxa"/>
            <w:right w:w="108" w:type="dxa"/>
          </w:tblCellMar>
        </w:tblPrEx>
        <w:trPr>
          <w:trHeight w:val="397" w:hRule="exact"/>
          <w:jc w:val="center"/>
        </w:trPr>
        <w:tc>
          <w:tcPr>
            <w:tcW w:w="8528" w:type="dxa"/>
            <w:tcBorders>
              <w:top w:val="nil"/>
              <w:left w:val="nil"/>
              <w:bottom w:val="nil"/>
              <w:right w:val="nil"/>
            </w:tcBorders>
            <w:shd w:val="clear" w:color="FFFFFF" w:fill="FFFFFF"/>
            <w:vAlign w:val="center"/>
          </w:tcPr>
          <w:p>
            <w:pPr>
              <w:jc w:val="right"/>
              <w:rPr>
                <w:b/>
                <w:bCs/>
                <w:sz w:val="20"/>
                <w:szCs w:val="20"/>
              </w:rPr>
            </w:pPr>
            <w:r>
              <w:rPr>
                <w:rFonts w:hint="eastAsia"/>
                <w:sz w:val="20"/>
                <w:szCs w:val="20"/>
              </w:rPr>
              <w:t>单位：万元</w:t>
            </w:r>
          </w:p>
        </w:tc>
      </w:tr>
    </w:tbl>
    <w:p>
      <w:pPr>
        <w:spacing w:line="20" w:lineRule="exact"/>
        <w:jc w:val="right"/>
        <w:rPr>
          <w:sz w:val="20"/>
          <w:szCs w:val="20"/>
        </w:rPr>
      </w:pPr>
    </w:p>
    <w:tbl>
      <w:tblPr>
        <w:tblStyle w:val="35"/>
        <w:tblW w:w="85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77"/>
        <w:gridCol w:w="993"/>
        <w:gridCol w:w="1275"/>
        <w:gridCol w:w="1276"/>
        <w:gridCol w:w="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077" w:type="dxa"/>
            <w:vMerge w:val="restart"/>
            <w:tcBorders>
              <w:top w:val="single" w:color="auto" w:sz="4" w:space="0"/>
            </w:tcBorders>
            <w:shd w:val="clear" w:color="FFFFFF" w:fill="FFFFFF"/>
          </w:tcPr>
          <w:p>
            <w:pPr>
              <w:widowControl w:val="0"/>
              <w:spacing w:line="480" w:lineRule="auto"/>
              <w:jc w:val="center"/>
              <w:rPr>
                <w:sz w:val="22"/>
                <w:szCs w:val="22"/>
              </w:rPr>
            </w:pPr>
            <w:r>
              <w:rPr>
                <w:rFonts w:hint="eastAsia"/>
                <w:sz w:val="22"/>
                <w:szCs w:val="22"/>
              </w:rPr>
              <w:t>项目</w:t>
            </w:r>
          </w:p>
        </w:tc>
        <w:tc>
          <w:tcPr>
            <w:tcW w:w="4451" w:type="dxa"/>
            <w:gridSpan w:val="4"/>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本年数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4077" w:type="dxa"/>
            <w:vMerge w:val="continue"/>
            <w:tcBorders>
              <w:bottom w:val="single" w:color="auto" w:sz="4" w:space="0"/>
            </w:tcBorders>
            <w:shd w:val="clear" w:color="FFFFFF" w:fill="FFFFFF"/>
          </w:tcPr>
          <w:p>
            <w:pPr>
              <w:widowControl w:val="0"/>
              <w:jc w:val="center"/>
              <w:rPr>
                <w:sz w:val="22"/>
                <w:szCs w:val="22"/>
              </w:rPr>
            </w:pPr>
          </w:p>
        </w:tc>
        <w:tc>
          <w:tcPr>
            <w:tcW w:w="993" w:type="dxa"/>
            <w:tcBorders>
              <w:top w:val="single" w:color="auto" w:sz="4" w:space="0"/>
              <w:bottom w:val="single" w:color="auto" w:sz="4" w:space="0"/>
            </w:tcBorders>
            <w:shd w:val="clear" w:color="FFFFFF" w:fill="FFFFFF"/>
          </w:tcPr>
          <w:p>
            <w:pPr>
              <w:widowControl w:val="0"/>
              <w:spacing w:line="480" w:lineRule="auto"/>
              <w:jc w:val="center"/>
              <w:rPr>
                <w:sz w:val="22"/>
                <w:szCs w:val="22"/>
              </w:rPr>
            </w:pPr>
            <w:r>
              <w:rPr>
                <w:rFonts w:hint="eastAsia"/>
                <w:sz w:val="22"/>
                <w:szCs w:val="22"/>
              </w:rPr>
              <w:t>合计</w:t>
            </w:r>
          </w:p>
        </w:tc>
        <w:tc>
          <w:tcPr>
            <w:tcW w:w="1275"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业务活动费用</w:t>
            </w:r>
          </w:p>
        </w:tc>
        <w:tc>
          <w:tcPr>
            <w:tcW w:w="1276"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单位管理费用</w:t>
            </w:r>
          </w:p>
        </w:tc>
        <w:tc>
          <w:tcPr>
            <w:tcW w:w="907" w:type="dxa"/>
            <w:tcBorders>
              <w:top w:val="single" w:color="auto" w:sz="4" w:space="0"/>
              <w:bottom w:val="single" w:color="auto" w:sz="4" w:space="0"/>
            </w:tcBorders>
            <w:shd w:val="clear" w:color="FFFFFF" w:fill="FFFFFF"/>
          </w:tcPr>
          <w:p>
            <w:pPr>
              <w:widowControl w:val="0"/>
              <w:jc w:val="center"/>
              <w:rPr>
                <w:sz w:val="22"/>
                <w:szCs w:val="22"/>
              </w:rPr>
            </w:pPr>
            <w:r>
              <w:rPr>
                <w:rFonts w:hint="eastAsia"/>
                <w:sz w:val="22"/>
                <w:szCs w:val="22"/>
              </w:rPr>
              <w:t>经营</w:t>
            </w:r>
          </w:p>
          <w:p>
            <w:pPr>
              <w:widowControl w:val="0"/>
              <w:jc w:val="center"/>
              <w:rPr>
                <w:sz w:val="22"/>
                <w:szCs w:val="22"/>
              </w:rPr>
            </w:pPr>
            <w:r>
              <w:rPr>
                <w:rFonts w:hint="eastAsia"/>
                <w:sz w:val="22"/>
                <w:szCs w:val="22"/>
              </w:rPr>
              <w:t>费用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 w:hRule="exact"/>
        </w:trPr>
        <w:tc>
          <w:tcPr>
            <w:tcW w:w="4077" w:type="dxa"/>
            <w:tcBorders>
              <w:top w:val="single" w:color="auto" w:sz="4" w:space="0"/>
            </w:tcBorders>
            <w:shd w:val="clear" w:color="FFFFFF" w:fill="FFFFFF"/>
          </w:tcPr>
          <w:p>
            <w:pPr>
              <w:widowControl w:val="0"/>
              <w:jc w:val="both"/>
              <w:rPr>
                <w:sz w:val="22"/>
                <w:szCs w:val="22"/>
              </w:rPr>
            </w:pPr>
          </w:p>
        </w:tc>
        <w:tc>
          <w:tcPr>
            <w:tcW w:w="993" w:type="dxa"/>
            <w:tcBorders>
              <w:top w:val="single" w:color="auto" w:sz="4" w:space="0"/>
            </w:tcBorders>
            <w:shd w:val="clear" w:color="FFFFFF" w:fill="FFFFFF"/>
          </w:tcPr>
          <w:p>
            <w:pPr>
              <w:widowControl w:val="0"/>
              <w:jc w:val="both"/>
              <w:rPr>
                <w:sz w:val="22"/>
                <w:szCs w:val="22"/>
              </w:rPr>
            </w:pPr>
          </w:p>
        </w:tc>
        <w:tc>
          <w:tcPr>
            <w:tcW w:w="1275" w:type="dxa"/>
            <w:tcBorders>
              <w:top w:val="single" w:color="auto" w:sz="4" w:space="0"/>
            </w:tcBorders>
            <w:shd w:val="clear" w:color="FFFFFF" w:fill="FFFFFF"/>
          </w:tcPr>
          <w:p>
            <w:pPr>
              <w:widowControl w:val="0"/>
              <w:jc w:val="both"/>
              <w:rPr>
                <w:sz w:val="22"/>
                <w:szCs w:val="22"/>
              </w:rPr>
            </w:pPr>
          </w:p>
        </w:tc>
        <w:tc>
          <w:tcPr>
            <w:tcW w:w="1276" w:type="dxa"/>
            <w:tcBorders>
              <w:top w:val="single" w:color="auto" w:sz="4" w:space="0"/>
            </w:tcBorders>
            <w:shd w:val="clear" w:color="FFFFFF" w:fill="FFFFFF"/>
          </w:tcPr>
          <w:p>
            <w:pPr>
              <w:widowControl w:val="0"/>
              <w:jc w:val="both"/>
              <w:rPr>
                <w:sz w:val="22"/>
                <w:szCs w:val="22"/>
              </w:rPr>
            </w:pPr>
          </w:p>
        </w:tc>
        <w:tc>
          <w:tcPr>
            <w:tcW w:w="907" w:type="dxa"/>
            <w:tcBorders>
              <w:top w:val="single" w:color="auto" w:sz="4" w:space="0"/>
            </w:tcBorders>
            <w:shd w:val="clear" w:color="FFFFFF" w:fill="FFFFFF"/>
          </w:tcPr>
          <w:p>
            <w:pPr>
              <w:widowControl w:val="0"/>
              <w:jc w:val="both"/>
              <w:rPr>
                <w:sz w:val="22"/>
                <w:szCs w:val="22"/>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支付给部门内部单位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支付给本部门以外的同级政府单位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val="0"/>
                <w:i w:val="0"/>
                <w:color w:val="auto"/>
                <w:position w:val="-1"/>
                <w:sz w:val="20"/>
                <w:u w:val="none"/>
              </w:rPr>
              <w:t>支付给本部门以外的非同级政府单位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rPr>
        <w:tc>
          <w:tcPr>
            <w:tcW w:w="4077" w:type="dxa"/>
            <w:shd w:val="clear" w:color="FFFFFF" w:fill="FFFFFF"/>
          </w:tcPr>
          <w:p>
            <w:pPr>
              <w:pageBreakBefore w:val="0"/>
              <w:widowControl w:val="0"/>
              <w:jc w:val="left"/>
              <w:textAlignment w:val="auto"/>
            </w:pPr>
            <w:r>
              <w:rPr>
                <w:rFonts w:ascii="Times New Roman" w:hAnsi="Times New Roman" w:eastAsia="Times New Roman" w:cs="Times New Roman"/>
                <w:b/>
                <w:i w:val="0"/>
                <w:color w:val="auto"/>
                <w:position w:val="-1"/>
                <w:sz w:val="20"/>
                <w:u w:val="none"/>
              </w:rPr>
              <w:t>支付给其他单位</w:t>
            </w:r>
          </w:p>
        </w:tc>
        <w:tc>
          <w:tcPr>
            <w:tcW w:w="993"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358.06</w:t>
            </w:r>
          </w:p>
        </w:tc>
        <w:tc>
          <w:tcPr>
            <w:tcW w:w="1275"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358.06</w:t>
            </w:r>
          </w:p>
        </w:tc>
        <w:tc>
          <w:tcPr>
            <w:tcW w:w="1276"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5" w:hRule="atLeast"/>
        </w:trPr>
        <w:tc>
          <w:tcPr>
            <w:tcW w:w="4077" w:type="dxa"/>
            <w:tcBorders>
              <w:top w:val="single" w:color="auto" w:sz="4" w:space="0"/>
              <w:bottom w:val="single" w:color="auto" w:sz="4" w:space="0"/>
            </w:tcBorders>
            <w:shd w:val="clear" w:color="FFFFFF" w:fill="FFFFFF"/>
          </w:tcPr>
          <w:p>
            <w:pPr>
              <w:pageBreakBefore w:val="0"/>
              <w:widowControl w:val="0"/>
              <w:jc w:val="center"/>
              <w:textAlignment w:val="auto"/>
            </w:pPr>
            <w:r>
              <w:rPr>
                <w:rFonts w:ascii="Times New Roman" w:hAnsi="Times New Roman" w:eastAsia="Times New Roman" w:cs="Times New Roman"/>
                <w:b/>
                <w:i w:val="0"/>
                <w:color w:val="auto"/>
                <w:position w:val="-1"/>
                <w:sz w:val="20"/>
                <w:u w:val="none"/>
              </w:rPr>
              <w:t>合计</w:t>
            </w:r>
          </w:p>
        </w:tc>
        <w:tc>
          <w:tcPr>
            <w:tcW w:w="993"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358.06</w:t>
            </w:r>
          </w:p>
        </w:tc>
        <w:tc>
          <w:tcPr>
            <w:tcW w:w="1275"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358.06</w:t>
            </w:r>
          </w:p>
        </w:tc>
        <w:tc>
          <w:tcPr>
            <w:tcW w:w="1276"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c>
          <w:tcPr>
            <w:tcW w:w="907" w:type="dxa"/>
            <w:tcBorders>
              <w:top w:val="single" w:color="auto" w:sz="4" w:space="0"/>
              <w:bottom w:val="single" w:color="auto" w:sz="4" w:space="0"/>
            </w:tcBorders>
            <w:shd w:val="clear" w:color="FFFFFF" w:fill="FFFFFF"/>
          </w:tcPr>
          <w:p>
            <w:pPr>
              <w:pageBreakBefore w:val="0"/>
              <w:widowControl w:val="0"/>
              <w:jc w:val="right"/>
              <w:textAlignment w:val="auto"/>
            </w:pPr>
            <w:r>
              <w:rPr>
                <w:rFonts w:ascii="Times New Roman" w:hAnsi="Times New Roman" w:eastAsia="Times New Roman" w:cs="Times New Roman"/>
                <w:b w:val="0"/>
                <w:i w:val="0"/>
                <w:color w:val="auto"/>
                <w:position w:val="-1"/>
                <w:sz w:val="20"/>
                <w:u w:val="none"/>
              </w:rPr>
              <w:t>0.00</w:t>
            </w:r>
          </w:p>
        </w:tc>
      </w:tr>
    </w:tbl>
    <w:p>
      <w:pPr>
        <w:rPr>
          <w:sz w:val="22"/>
          <w:szCs w:val="22"/>
        </w:rPr>
      </w:pPr>
    </w:p>
    <w:p>
      <w:pPr>
        <w:pStyle w:val="110"/>
        <w:spacing w:line="360" w:lineRule="auto"/>
        <w:ind w:firstLine="600"/>
        <w:rPr>
          <w:rFonts w:hint="eastAsia" w:ascii="仿宋_GB2312" w:hAnsi="仿宋_GB2312" w:cs="仿宋_GB2312"/>
          <w:color w:val="000000" w:themeColor="text1"/>
          <w:szCs w:val="30"/>
          <w:lang w:val="en-US" w:eastAsia="zh-CN"/>
          <w14:textFill>
            <w14:solidFill>
              <w14:schemeClr w14:val="tx1"/>
            </w14:solidFill>
          </w14:textFill>
        </w:rPr>
      </w:pPr>
      <w:r>
        <w:rPr>
          <w:rFonts w:hint="eastAsia" w:ascii="仿宋_GB2312" w:hAnsi="仿宋_GB2312" w:cs="仿宋_GB2312"/>
          <w:color w:val="000000" w:themeColor="text1"/>
          <w:szCs w:val="30"/>
          <w:lang w:val="en-US" w:eastAsia="zh-CN"/>
          <w14:textFill>
            <w14:solidFill>
              <w14:schemeClr w14:val="tx1"/>
            </w14:solidFill>
          </w14:textFill>
        </w:rPr>
        <w:t>1.资产总额较上年增减变动幅度超过30%，是因为本年专项资金的增加，资金有结余。</w:t>
      </w:r>
    </w:p>
    <w:p>
      <w:pPr>
        <w:pStyle w:val="110"/>
        <w:spacing w:line="360" w:lineRule="auto"/>
        <w:ind w:firstLine="600"/>
        <w:rPr>
          <w:rFonts w:hint="eastAsia" w:ascii="仿宋_GB2312" w:hAnsi="仿宋_GB2312" w:cs="仿宋_GB2312"/>
          <w:color w:val="000000" w:themeColor="text1"/>
          <w:szCs w:val="30"/>
          <w:lang w:val="en-US" w:eastAsia="zh-CN"/>
          <w14:textFill>
            <w14:solidFill>
              <w14:schemeClr w14:val="tx1"/>
            </w14:solidFill>
          </w14:textFill>
        </w:rPr>
      </w:pPr>
      <w:r>
        <w:rPr>
          <w:rFonts w:hint="eastAsia" w:ascii="仿宋_GB2312" w:hAnsi="仿宋_GB2312" w:cs="仿宋_GB2312"/>
          <w:color w:val="000000" w:themeColor="text1"/>
          <w:szCs w:val="30"/>
          <w:lang w:val="en-US" w:eastAsia="zh-CN"/>
          <w14:textFill>
            <w14:solidFill>
              <w14:schemeClr w14:val="tx1"/>
            </w14:solidFill>
          </w14:textFill>
        </w:rPr>
        <w:t>2.收入总额较上年增加，是因为本年本年专项资金的增加，拨付经费增加。</w:t>
      </w:r>
    </w:p>
    <w:p>
      <w:pPr>
        <w:pStyle w:val="110"/>
        <w:spacing w:line="360" w:lineRule="auto"/>
        <w:ind w:firstLine="600"/>
        <w:rPr>
          <w:rFonts w:hint="eastAsia" w:ascii="仿宋" w:hAnsi="仿宋" w:eastAsia="仿宋"/>
          <w:b/>
          <w:color w:val="000000" w:themeColor="text1"/>
          <w:lang w:val="en-US" w:eastAsia="zh-CN"/>
          <w14:textFill>
            <w14:solidFill>
              <w14:schemeClr w14:val="tx1"/>
            </w14:solidFill>
          </w14:textFill>
        </w:rPr>
      </w:pPr>
      <w:r>
        <w:rPr>
          <w:rFonts w:hint="eastAsia" w:ascii="仿宋_GB2312" w:hAnsi="仿宋_GB2312" w:cs="仿宋_GB2312"/>
          <w:color w:val="000000" w:themeColor="text1"/>
          <w:szCs w:val="30"/>
          <w:lang w:val="en-US" w:eastAsia="zh-CN"/>
          <w14:textFill>
            <w14:solidFill>
              <w14:schemeClr w14:val="tx1"/>
            </w14:solidFill>
          </w14:textFill>
        </w:rPr>
        <w:t>3.费用总额较上年增加，是因为本年专项资金支出增加。</w:t>
      </w:r>
    </w:p>
    <w:p>
      <w:pPr>
        <w:pStyle w:val="2"/>
        <w:spacing w:before="0" w:after="0" w:line="360" w:lineRule="auto"/>
        <w:rPr>
          <w:rFonts w:ascii="宋体" w:eastAsia="宋体"/>
          <w:sz w:val="32"/>
          <w:szCs w:val="32"/>
        </w:rPr>
      </w:pPr>
      <w:bookmarkStart w:id="71" w:name="_Toc503548887"/>
      <w:bookmarkStart w:id="72" w:name="_Toc436083530"/>
      <w:bookmarkStart w:id="73" w:name="_Toc35452587"/>
      <w:bookmarkStart w:id="74" w:name="_Toc19719"/>
      <w:r>
        <w:rPr>
          <w:rFonts w:hint="eastAsia" w:ascii="宋体" w:eastAsia="宋体"/>
          <w:sz w:val="32"/>
          <w:szCs w:val="32"/>
        </w:rPr>
        <w:t>二、政府部门财务分析</w:t>
      </w:r>
      <w:bookmarkEnd w:id="71"/>
      <w:bookmarkEnd w:id="72"/>
      <w:bookmarkEnd w:id="73"/>
      <w:bookmarkEnd w:id="74"/>
    </w:p>
    <w:p>
      <w:pPr>
        <w:pStyle w:val="4"/>
        <w:spacing w:before="0" w:after="0" w:line="360" w:lineRule="auto"/>
        <w:ind w:firstLine="602"/>
        <w:jc w:val="left"/>
        <w:rPr>
          <w:rFonts w:ascii="仿宋" w:hAnsi="仿宋" w:eastAsia="仿宋" w:cs="黑体"/>
          <w:b/>
          <w:spacing w:val="-8"/>
        </w:rPr>
      </w:pPr>
      <w:bookmarkStart w:id="75" w:name="_Toc436083531"/>
      <w:bookmarkStart w:id="76" w:name="_Toc503548888"/>
      <w:bookmarkStart w:id="77" w:name="_Toc22883"/>
      <w:bookmarkStart w:id="78" w:name="_Toc35452588"/>
      <w:r>
        <w:rPr>
          <w:rFonts w:hint="eastAsia" w:ascii="仿宋" w:hAnsi="仿宋" w:eastAsia="仿宋"/>
          <w:b/>
        </w:rPr>
        <w:t>（一）</w:t>
      </w:r>
      <w:bookmarkEnd w:id="75"/>
      <w:bookmarkEnd w:id="76"/>
      <w:bookmarkStart w:id="79" w:name="_Toc503548889"/>
      <w:bookmarkStart w:id="80" w:name="_Toc436083532"/>
      <w:r>
        <w:rPr>
          <w:rFonts w:ascii="仿宋" w:hAnsi="仿宋" w:eastAsia="仿宋" w:cs="黑体"/>
          <w:b/>
          <w:spacing w:val="-8"/>
        </w:rPr>
        <w:t>政府部门工作目标完成情况。</w:t>
      </w:r>
      <w:bookmarkEnd w:id="77"/>
      <w:bookmarkEnd w:id="78"/>
    </w:p>
    <w:p>
      <w:pPr>
        <w:pStyle w:val="4"/>
        <w:spacing w:before="0" w:after="0" w:line="360" w:lineRule="auto"/>
        <w:ind w:firstLine="602"/>
        <w:jc w:val="left"/>
        <w:rPr>
          <w:rFonts w:hint="eastAsia" w:ascii="仿宋" w:hAnsi="仿宋" w:eastAsia="仿宋"/>
          <w:color w:val="auto"/>
          <w:sz w:val="30"/>
          <w:szCs w:val="30"/>
          <w:lang w:val="en-US" w:eastAsia="zh-CN"/>
        </w:rPr>
      </w:pPr>
      <w:bookmarkStart w:id="81" w:name="_Toc25930"/>
      <w:r>
        <w:rPr>
          <w:rFonts w:hint="eastAsia" w:ascii="仿宋" w:hAnsi="仿宋" w:eastAsia="仿宋"/>
          <w:color w:val="auto"/>
          <w:sz w:val="30"/>
          <w:szCs w:val="30"/>
          <w:lang w:val="en-US" w:eastAsia="zh-CN"/>
        </w:rPr>
        <w:t>贯彻和执行国家和自治区、呼伦贝尔市关于民政业务的法律和有关政策、标准、规划。</w:t>
      </w:r>
      <w:bookmarkEnd w:id="81"/>
    </w:p>
    <w:p>
      <w:pPr>
        <w:pStyle w:val="4"/>
        <w:spacing w:before="0" w:after="0" w:line="360" w:lineRule="auto"/>
        <w:ind w:firstLine="602"/>
        <w:jc w:val="left"/>
        <w:rPr>
          <w:rFonts w:ascii="仿宋" w:hAnsi="仿宋" w:eastAsia="仿宋"/>
          <w:b/>
        </w:rPr>
      </w:pPr>
      <w:bookmarkStart w:id="82" w:name="_Toc2454"/>
      <w:r>
        <w:rPr>
          <w:rFonts w:hint="eastAsia" w:ascii="仿宋" w:hAnsi="仿宋" w:eastAsia="仿宋"/>
          <w:b/>
        </w:rPr>
        <w:t>（二）</w:t>
      </w:r>
      <w:bookmarkEnd w:id="79"/>
      <w:bookmarkEnd w:id="80"/>
      <w:r>
        <w:rPr>
          <w:rFonts w:ascii="仿宋" w:hAnsi="仿宋" w:eastAsia="仿宋"/>
          <w:b/>
        </w:rPr>
        <w:t>政府部门财务状况分析。</w:t>
      </w:r>
      <w:bookmarkEnd w:id="82"/>
    </w:p>
    <w:p>
      <w:pPr>
        <w:pStyle w:val="110"/>
        <w:spacing w:line="360" w:lineRule="auto"/>
        <w:ind w:firstLine="31680"/>
        <w:jc w:val="both"/>
        <w:rPr>
          <w:rFonts w:hint="default" w:ascii="仿宋_GB2312" w:cs="仿宋_GB2312"/>
          <w:szCs w:val="30"/>
          <w:lang w:val="en-US"/>
        </w:rPr>
      </w:pPr>
      <w:r>
        <w:rPr>
          <w:rFonts w:hint="eastAsia" w:ascii="仿宋_GB2312" w:hAnsi="仿宋_GB2312" w:cs="仿宋_GB2312"/>
          <w:szCs w:val="30"/>
          <w:lang w:val="en-US" w:eastAsia="zh-CN"/>
        </w:rPr>
        <w:t>1.</w:t>
      </w:r>
      <w:r>
        <w:rPr>
          <w:rFonts w:hint="eastAsia" w:ascii="仿宋_GB2312" w:hAnsi="仿宋_GB2312" w:cs="仿宋_GB2312"/>
          <w:szCs w:val="30"/>
        </w:rPr>
        <w:t>资产类构成主要</w:t>
      </w:r>
      <w:r>
        <w:rPr>
          <w:rFonts w:hint="eastAsia" w:ascii="仿宋_GB2312" w:hAnsi="仿宋_GB2312" w:cs="仿宋_GB2312"/>
          <w:szCs w:val="30"/>
          <w:lang w:val="en-US" w:eastAsia="zh-CN"/>
        </w:rPr>
        <w:t>为固定资产净值2.17</w:t>
      </w:r>
      <w:r>
        <w:rPr>
          <w:rFonts w:ascii="仿宋_GB2312" w:hAnsi="仿宋_GB2312" w:cs="仿宋_GB2312"/>
          <w:szCs w:val="30"/>
        </w:rPr>
        <w:t>%</w:t>
      </w:r>
      <w:r>
        <w:rPr>
          <w:rFonts w:hint="eastAsia" w:ascii="仿宋_GB2312" w:hAnsi="仿宋_GB2312" w:cs="仿宋_GB2312"/>
          <w:szCs w:val="30"/>
        </w:rPr>
        <w:t>、</w:t>
      </w:r>
      <w:r>
        <w:rPr>
          <w:rFonts w:hint="eastAsia" w:ascii="仿宋_GB2312" w:hAnsi="仿宋_GB2312" w:cs="仿宋_GB2312"/>
          <w:szCs w:val="30"/>
          <w:lang w:val="en-US" w:eastAsia="zh-CN"/>
        </w:rPr>
        <w:t>较上年减少0.83%，其原因为资产累计折旧。货币资金0.6%</w:t>
      </w:r>
      <w:r>
        <w:rPr>
          <w:rFonts w:hint="eastAsia" w:ascii="仿宋_GB2312" w:hAnsi="仿宋_GB2312" w:cs="仿宋_GB2312"/>
          <w:szCs w:val="30"/>
        </w:rPr>
        <w:t>、</w:t>
      </w:r>
      <w:r>
        <w:rPr>
          <w:rFonts w:hint="eastAsia" w:ascii="仿宋_GB2312" w:hAnsi="仿宋_GB2312" w:cs="仿宋_GB2312"/>
          <w:szCs w:val="30"/>
          <w:lang w:val="en-US" w:eastAsia="zh-CN"/>
        </w:rPr>
        <w:t>较上年较少0.16%，其原因为财政收入减少，预付账款19.93%</w:t>
      </w:r>
      <w:r>
        <w:rPr>
          <w:rFonts w:hint="eastAsia" w:ascii="仿宋_GB2312" w:hAnsi="仿宋_GB2312" w:cs="仿宋_GB2312"/>
          <w:szCs w:val="30"/>
        </w:rPr>
        <w:t>、</w:t>
      </w:r>
      <w:r>
        <w:rPr>
          <w:rFonts w:hint="eastAsia" w:ascii="仿宋_GB2312" w:hAnsi="仿宋_GB2312" w:cs="仿宋_GB2312"/>
          <w:szCs w:val="30"/>
          <w:lang w:val="en-US" w:eastAsia="zh-CN"/>
        </w:rPr>
        <w:t>较上年增加8.63%，其原因为专项资金付出增加，其他应收款净额77.31%，较上年减少7.63%,其原因为冲销往来账款。</w:t>
      </w:r>
    </w:p>
    <w:p>
      <w:pPr>
        <w:spacing w:line="360" w:lineRule="auto"/>
        <w:ind w:firstLine="600" w:firstLineChars="200"/>
        <w:rPr>
          <w:rFonts w:ascii="仿宋" w:hAnsi="仿宋" w:eastAsia="仿宋"/>
          <w:color w:val="0070C0"/>
          <w:sz w:val="30"/>
          <w:szCs w:val="30"/>
        </w:rPr>
      </w:pPr>
    </w:p>
    <w:p>
      <w:pPr>
        <w:spacing w:line="360" w:lineRule="auto"/>
        <w:jc w:val="center"/>
      </w:pPr>
      <w:r>
        <w:t>资产结构分析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1" name="Drawing 0" descr="资产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rawing 0" descr="资产结构分析"/>
                    <pic:cNvPicPr>
                      <a:picLocks noChangeAspect="1"/>
                    </pic:cNvPicPr>
                  </pic:nvPicPr>
                  <pic:blipFill>
                    <a:blip r:embed="rId10"/>
                    <a:stretch>
                      <a:fillRect/>
                    </a:stretch>
                  </pic:blipFill>
                  <pic:spPr>
                    <a:xfrm>
                      <a:off x="0" y="0"/>
                      <a:ext cx="6350000" cy="3695700"/>
                    </a:xfrm>
                    <a:prstGeom prst="rect">
                      <a:avLst/>
                    </a:prstGeom>
                  </pic:spPr>
                </pic:pic>
              </a:graphicData>
            </a:graphic>
          </wp:inline>
        </w:drawing>
      </w:r>
    </w:p>
    <w:p>
      <w:pPr>
        <w:pStyle w:val="110"/>
        <w:spacing w:line="360" w:lineRule="auto"/>
        <w:ind w:firstLine="480"/>
        <w:jc w:val="center"/>
        <w:rPr>
          <w:rFonts w:asciiTheme="minorEastAsia" w:hAnsiTheme="minorEastAsia" w:eastAsiaTheme="minorEastAsia"/>
          <w:color w:val="0070C0"/>
          <w:sz w:val="24"/>
          <w:szCs w:val="24"/>
        </w:rPr>
      </w:pPr>
    </w:p>
    <w:p>
      <w:pPr>
        <w:spacing w:line="360" w:lineRule="auto"/>
        <w:jc w:val="center"/>
      </w:pPr>
      <w:r>
        <w:t>重要资产项目年度情况分析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2" name="Drawing 1" descr="重要资产项目年度情况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rawing 1" descr="重要资产项目年度情况分析"/>
                    <pic:cNvPicPr>
                      <a:picLocks noChangeAspect="1"/>
                    </pic:cNvPicPr>
                  </pic:nvPicPr>
                  <pic:blipFill>
                    <a:blip r:embed="rId11"/>
                    <a:stretch>
                      <a:fillRect/>
                    </a:stretch>
                  </pic:blipFill>
                  <pic:spPr>
                    <a:xfrm>
                      <a:off x="0" y="0"/>
                      <a:ext cx="6350000" cy="3695700"/>
                    </a:xfrm>
                    <a:prstGeom prst="rect">
                      <a:avLst/>
                    </a:prstGeom>
                  </pic:spPr>
                </pic:pic>
              </a:graphicData>
            </a:graphic>
          </wp:inline>
        </w:drawing>
      </w:r>
    </w:p>
    <w:p>
      <w:pPr>
        <w:spacing w:line="360" w:lineRule="auto"/>
        <w:ind w:firstLine="480" w:firstLineChars="200"/>
        <w:rPr>
          <w:color w:val="0070C0"/>
        </w:rPr>
      </w:pPr>
    </w:p>
    <w:p>
      <w:pPr>
        <w:spacing w:line="360" w:lineRule="auto"/>
        <w:ind w:firstLine="600" w:firstLineChars="200"/>
        <w:rPr>
          <w:rFonts w:ascii="仿宋" w:hAnsi="仿宋" w:eastAsia="仿宋"/>
          <w:color w:val="0070C0"/>
          <w:sz w:val="30"/>
          <w:szCs w:val="30"/>
        </w:rPr>
      </w:pPr>
      <w:r>
        <w:rPr>
          <w:rFonts w:ascii="仿宋" w:hAnsi="仿宋" w:eastAsia="仿宋"/>
          <w:color w:val="0070C0"/>
          <w:sz w:val="30"/>
          <w:szCs w:val="30"/>
        </w:rPr>
        <w:t>2.</w:t>
      </w:r>
      <w:r>
        <w:rPr>
          <w:rFonts w:hint="eastAsia" w:ascii="仿宋_GB2312" w:hAnsi="仿宋_GB2312" w:eastAsia="仿宋_GB2312" w:cs="仿宋_GB2312"/>
          <w:sz w:val="30"/>
          <w:szCs w:val="30"/>
          <w:lang w:val="en-US" w:eastAsia="zh-CN" w:bidi="ar-SA"/>
        </w:rPr>
        <w:t>负债类全部为流动负债，其中：其他应付款100%，较上年增长6.76%，其原因为职工借款增加.</w:t>
      </w:r>
    </w:p>
    <w:p>
      <w:pPr>
        <w:spacing w:line="360" w:lineRule="auto"/>
        <w:jc w:val="center"/>
      </w:pPr>
      <w:r>
        <w:rPr>
          <w:rFonts w:hint="eastAsia"/>
        </w:rPr>
        <w:t>部门债务分析图：</w:t>
      </w:r>
    </w:p>
    <w:p>
      <w:pPr>
        <w:pStyle w:val="110"/>
        <w:keepNext w:val="0"/>
        <w:keepLines w:val="0"/>
        <w:pageBreakBefore w:val="0"/>
        <w:widowControl/>
        <w:kinsoku/>
        <w:wordWrap/>
        <w:overflowPunct/>
        <w:topLinePunct w:val="0"/>
        <w:autoSpaceDE/>
        <w:autoSpaceDN/>
        <w:bidi w:val="0"/>
        <w:adjustRightInd/>
        <w:snapToGrid/>
        <w:spacing w:line="360" w:lineRule="auto"/>
        <w:ind w:left="-720" w:leftChars="-300" w:firstLine="0" w:firstLineChars="0"/>
        <w:jc w:val="center"/>
        <w:textAlignment w:val="auto"/>
        <w:rPr>
          <w:rFonts w:ascii="新宋体" w:hAnsi="新宋体" w:eastAsia="新宋体"/>
          <w:sz w:val="24"/>
          <w:szCs w:val="24"/>
        </w:rPr>
      </w:pPr>
      <w:r>
        <w:rPr>
          <w:rFonts w:ascii="新宋体" w:hAnsi="新宋体" w:eastAsia="新宋体"/>
          <w:sz w:val="24"/>
          <w:szCs w:val="24"/>
        </w:rPr>
        <w:drawing>
          <wp:inline distT="0" distB="0" distL="0" distR="0">
            <wp:extent cx="6350000" cy="3695700"/>
            <wp:effectExtent l="0" t="0" r="12700" b="0"/>
            <wp:docPr id="3" name="Drawing 2" descr="部门债务结构"/>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rawing 2" descr="部门债务结构"/>
                    <pic:cNvPicPr>
                      <a:picLocks noChangeAspect="1"/>
                    </pic:cNvPicPr>
                  </pic:nvPicPr>
                  <pic:blipFill>
                    <a:blip r:embed="rId12"/>
                    <a:stretch>
                      <a:fillRect/>
                    </a:stretch>
                  </pic:blipFill>
                  <pic:spPr>
                    <a:xfrm>
                      <a:off x="0" y="0"/>
                      <a:ext cx="6350000" cy="3695700"/>
                    </a:xfrm>
                    <a:prstGeom prst="rect">
                      <a:avLst/>
                    </a:prstGeom>
                  </pic:spPr>
                </pic:pic>
              </a:graphicData>
            </a:graphic>
          </wp:inline>
        </w:drawing>
      </w:r>
    </w:p>
    <w:p>
      <w:pPr>
        <w:spacing w:line="360" w:lineRule="auto"/>
        <w:jc w:val="center"/>
      </w:pPr>
    </w:p>
    <w:p>
      <w:pPr>
        <w:spacing w:line="360" w:lineRule="auto"/>
        <w:jc w:val="center"/>
        <w:rPr>
          <w:rFonts w:hint="eastAsia"/>
        </w:rPr>
      </w:pPr>
      <w:r>
        <w:t>重要</w:t>
      </w:r>
      <w:r>
        <w:rPr>
          <w:rFonts w:hint="eastAsia"/>
        </w:rPr>
        <w:t>负债变化</w:t>
      </w:r>
      <w:r>
        <w:t>分析</w:t>
      </w:r>
      <w:r>
        <w:rPr>
          <w:rFonts w:hint="eastAsia"/>
        </w:rPr>
        <w:t>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3695700"/>
            <wp:effectExtent l="0" t="0" r="12700" b="0"/>
            <wp:docPr id="4" name="Drawing 3" descr="重要负债变化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3" descr="重要负债变化分析"/>
                    <pic:cNvPicPr>
                      <a:picLocks noChangeAspect="1"/>
                    </pic:cNvPicPr>
                  </pic:nvPicPr>
                  <pic:blipFill>
                    <a:blip r:embed="rId13"/>
                    <a:stretch>
                      <a:fillRect/>
                    </a:stretch>
                  </pic:blipFill>
                  <pic:spPr>
                    <a:xfrm>
                      <a:off x="0" y="0"/>
                      <a:ext cx="6350000" cy="3695700"/>
                    </a:xfrm>
                    <a:prstGeom prst="rect">
                      <a:avLst/>
                    </a:prstGeom>
                  </pic:spPr>
                </pic:pic>
              </a:graphicData>
            </a:graphic>
          </wp:inline>
        </w:drawing>
      </w:r>
    </w:p>
    <w:p>
      <w:pPr>
        <w:pStyle w:val="110"/>
        <w:spacing w:line="360" w:lineRule="auto"/>
        <w:ind w:firstLine="31680"/>
        <w:jc w:val="both"/>
      </w:pPr>
      <w:r>
        <w:rPr>
          <w:rFonts w:ascii="仿宋" w:hAnsi="仿宋" w:eastAsia="仿宋"/>
          <w:color w:val="0070C0"/>
          <w:sz w:val="30"/>
          <w:szCs w:val="30"/>
        </w:rPr>
        <w:t>3.</w:t>
      </w:r>
      <w:r>
        <w:rPr>
          <w:rFonts w:ascii="仿宋_GB2312" w:hAnsi="仿宋_GB2312" w:cs="仿宋_GB2312"/>
          <w:szCs w:val="30"/>
        </w:rPr>
        <w:t>20</w:t>
      </w:r>
      <w:r>
        <w:rPr>
          <w:rFonts w:hint="eastAsia" w:ascii="仿宋_GB2312" w:hAnsi="仿宋_GB2312" w:cs="仿宋_GB2312"/>
          <w:szCs w:val="30"/>
          <w:lang w:val="en-US" w:eastAsia="zh-CN"/>
        </w:rPr>
        <w:t>20</w:t>
      </w:r>
      <w:r>
        <w:rPr>
          <w:rFonts w:hint="eastAsia" w:ascii="仿宋_GB2312" w:hAnsi="仿宋_GB2312" w:cs="仿宋_GB2312"/>
          <w:szCs w:val="30"/>
        </w:rPr>
        <w:t>年度流动比率</w:t>
      </w:r>
      <w:r>
        <w:rPr>
          <w:rFonts w:hint="eastAsia" w:ascii="仿宋_GB2312" w:hAnsi="仿宋_GB2312" w:cs="仿宋_GB2312"/>
          <w:szCs w:val="30"/>
          <w:lang w:val="en-US" w:eastAsia="zh-CN"/>
        </w:rPr>
        <w:t>1635.37</w:t>
      </w:r>
      <w:r>
        <w:rPr>
          <w:rFonts w:ascii="仿宋_GB2312" w:hAnsi="仿宋_GB2312" w:cs="仿宋_GB2312"/>
          <w:szCs w:val="30"/>
        </w:rPr>
        <w:t>%</w:t>
      </w:r>
      <w:r>
        <w:rPr>
          <w:rFonts w:hint="eastAsia" w:ascii="仿宋_GB2312" w:hAnsi="仿宋_GB2312" w:cs="仿宋_GB2312"/>
          <w:szCs w:val="30"/>
        </w:rPr>
        <w:t>，有较强的流动性；收入费用率</w:t>
      </w:r>
      <w:r>
        <w:rPr>
          <w:rFonts w:hint="eastAsia" w:ascii="仿宋_GB2312" w:hAnsi="仿宋_GB2312" w:cs="仿宋_GB2312"/>
          <w:szCs w:val="30"/>
          <w:lang w:val="en-US" w:eastAsia="zh-CN"/>
        </w:rPr>
        <w:t>103</w:t>
      </w:r>
      <w:r>
        <w:rPr>
          <w:rFonts w:ascii="仿宋_GB2312" w:hAnsi="仿宋_GB2312" w:cs="仿宋_GB2312"/>
          <w:szCs w:val="30"/>
        </w:rPr>
        <w:t>%</w:t>
      </w:r>
      <w:r>
        <w:rPr>
          <w:rFonts w:hint="eastAsia" w:ascii="仿宋_GB2312" w:hAnsi="仿宋_GB2312" w:cs="仿宋_GB2312"/>
          <w:szCs w:val="30"/>
        </w:rPr>
        <w:t>，</w:t>
      </w:r>
      <w:r>
        <w:rPr>
          <w:rFonts w:hint="eastAsia" w:ascii="仿宋_GB2312" w:hAnsi="仿宋_GB2312" w:cs="仿宋_GB2312"/>
          <w:szCs w:val="30"/>
          <w:lang w:val="en-US" w:eastAsia="zh-CN"/>
        </w:rPr>
        <w:t>较上年增长18.32%，其原因为专项资金增加，</w:t>
      </w:r>
      <w:r>
        <w:rPr>
          <w:rFonts w:hint="eastAsia" w:ascii="仿宋_GB2312" w:hAnsi="仿宋_GB2312" w:cs="仿宋_GB2312"/>
          <w:szCs w:val="30"/>
        </w:rPr>
        <w:t>政府费用支出比例控制较好；现金比率</w:t>
      </w:r>
      <w:r>
        <w:rPr>
          <w:rFonts w:hint="eastAsia" w:ascii="仿宋_GB2312" w:hAnsi="仿宋_GB2312" w:cs="仿宋_GB2312"/>
          <w:szCs w:val="30"/>
          <w:lang w:val="en-US" w:eastAsia="zh-CN"/>
        </w:rPr>
        <w:t>9.95</w:t>
      </w:r>
      <w:r>
        <w:rPr>
          <w:rFonts w:ascii="仿宋_GB2312" w:hAnsi="仿宋_GB2312" w:cs="仿宋_GB2312"/>
          <w:szCs w:val="30"/>
        </w:rPr>
        <w:t>%</w:t>
      </w:r>
      <w:r>
        <w:rPr>
          <w:rFonts w:hint="eastAsia" w:ascii="仿宋_GB2312" w:hAnsi="仿宋_GB2312" w:cs="仿宋_GB2312"/>
          <w:szCs w:val="30"/>
        </w:rPr>
        <w:t>；资产负债率</w:t>
      </w:r>
      <w:r>
        <w:rPr>
          <w:rFonts w:hint="eastAsia" w:ascii="仿宋_GB2312" w:hAnsi="仿宋_GB2312" w:cs="仿宋_GB2312"/>
          <w:szCs w:val="30"/>
          <w:lang w:val="en-US" w:eastAsia="zh-CN"/>
        </w:rPr>
        <w:t>5.98</w:t>
      </w:r>
      <w:r>
        <w:rPr>
          <w:rFonts w:ascii="仿宋_GB2312" w:hAnsi="仿宋_GB2312" w:cs="仿宋_GB2312"/>
          <w:szCs w:val="30"/>
        </w:rPr>
        <w:t>%</w:t>
      </w:r>
      <w:r>
        <w:rPr>
          <w:rFonts w:hint="eastAsia" w:ascii="仿宋_GB2312" w:hAnsi="仿宋_GB2312" w:cs="仿宋_GB2312"/>
          <w:szCs w:val="30"/>
        </w:rPr>
        <w:t>；</w:t>
      </w:r>
      <w:r>
        <w:rPr>
          <w:rFonts w:hint="eastAsia" w:ascii="仿宋_GB2312" w:hAnsi="仿宋_GB2312" w:cs="仿宋_GB2312"/>
          <w:szCs w:val="30"/>
          <w:lang w:val="en-US" w:eastAsia="zh-CN"/>
        </w:rPr>
        <w:t>保障性住房成新率0.00%，固定资产成新率35.17%；</w:t>
      </w:r>
      <w:r>
        <w:rPr>
          <w:rFonts w:hint="eastAsia" w:ascii="仿宋_GB2312" w:hAnsi="仿宋_GB2312" w:cs="仿宋_GB2312"/>
          <w:szCs w:val="30"/>
        </w:rPr>
        <w:t>公共基础设施成新率</w:t>
      </w:r>
      <w:r>
        <w:rPr>
          <w:rFonts w:ascii="仿宋_GB2312" w:hAnsi="仿宋_GB2312" w:cs="仿宋_GB2312"/>
          <w:szCs w:val="30"/>
        </w:rPr>
        <w:t>0%</w:t>
      </w:r>
      <w:r>
        <w:rPr>
          <w:rFonts w:hint="eastAsia" w:ascii="仿宋_GB2312" w:hAnsi="仿宋_GB2312" w:cs="仿宋_GB2312"/>
          <w:szCs w:val="30"/>
        </w:rPr>
        <w:t>。当期及未来中长期财务风险较低及可控程度高，需要进一步加强化解政府债务力度，确保不发生系统性金融风险。</w:t>
      </w:r>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5" name="Drawing 4"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Drawing 4" descr="部门财务分析"/>
                    <pic:cNvPicPr>
                      <a:picLocks noChangeAspect="1"/>
                    </pic:cNvPicPr>
                  </pic:nvPicPr>
                  <pic:blipFill>
                    <a:blip r:embed="rId14"/>
                    <a:stretch>
                      <a:fillRect/>
                    </a:stretch>
                  </pic:blipFill>
                  <pic:spPr>
                    <a:xfrm>
                      <a:off x="0" y="0"/>
                      <a:ext cx="6350000" cy="36957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3" w:name="_Toc436083533"/>
      <w:bookmarkStart w:id="84" w:name="_Toc503548890"/>
      <w:bookmarkStart w:id="85" w:name="_Toc29658"/>
      <w:r>
        <w:rPr>
          <w:rFonts w:hint="eastAsia" w:ascii="仿宋" w:hAnsi="仿宋" w:eastAsia="仿宋"/>
          <w:b/>
        </w:rPr>
        <w:t>（三）</w:t>
      </w:r>
      <w:bookmarkEnd w:id="83"/>
      <w:bookmarkEnd w:id="84"/>
      <w:r>
        <w:rPr>
          <w:rFonts w:ascii="仿宋" w:hAnsi="仿宋" w:eastAsia="仿宋"/>
          <w:b/>
        </w:rPr>
        <w:t>政府部门运行情况分析。</w:t>
      </w:r>
      <w:bookmarkEnd w:id="85"/>
    </w:p>
    <w:p>
      <w:pPr>
        <w:spacing w:line="360" w:lineRule="auto"/>
        <w:ind w:firstLine="240"/>
        <w:jc w:val="center"/>
        <w:rPr>
          <w:rFonts w:hint="eastAsia" w:ascii="仿宋_GB2312" w:hAnsi="仿宋_GB2312" w:eastAsia="仿宋_GB2312" w:cs="仿宋_GB2312"/>
          <w:sz w:val="30"/>
          <w:szCs w:val="30"/>
          <w:lang w:val="en-US" w:eastAsia="zh-CN" w:bidi="ar-SA"/>
        </w:rPr>
      </w:pPr>
      <w:r>
        <w:rPr>
          <w:rFonts w:hint="eastAsia" w:ascii="仿宋" w:hAnsi="仿宋" w:eastAsia="仿宋"/>
          <w:color w:val="auto"/>
          <w:sz w:val="30"/>
          <w:szCs w:val="30"/>
        </w:rPr>
        <w:t>1.</w:t>
      </w:r>
      <w:r>
        <w:rPr>
          <w:rFonts w:hint="eastAsia" w:ascii="仿宋" w:hAnsi="仿宋" w:eastAsia="仿宋"/>
          <w:color w:val="auto"/>
          <w:sz w:val="30"/>
          <w:szCs w:val="30"/>
          <w:lang w:val="en-US" w:eastAsia="zh-CN"/>
        </w:rPr>
        <w:t>2020年莫力达瓦达斡尔族自治旗民政局年收入为100%财政拨款收入，</w:t>
      </w:r>
      <w:r>
        <w:rPr>
          <w:rFonts w:hint="eastAsia" w:ascii="仿宋_GB2312" w:hAnsi="仿宋_GB2312" w:eastAsia="仿宋_GB2312" w:cs="仿宋_GB2312"/>
          <w:sz w:val="30"/>
          <w:szCs w:val="30"/>
          <w:lang w:val="en-US" w:eastAsia="zh-CN" w:bidi="ar-SA"/>
        </w:rPr>
        <w:t>为一般公共预算收入。</w:t>
      </w:r>
    </w:p>
    <w:p>
      <w:pPr>
        <w:spacing w:line="360" w:lineRule="auto"/>
        <w:ind w:firstLine="600" w:firstLineChars="200"/>
        <w:rPr>
          <w:rFonts w:hint="eastAsia" w:ascii="仿宋" w:hAnsi="仿宋" w:eastAsia="仿宋"/>
          <w:color w:val="auto"/>
          <w:sz w:val="30"/>
          <w:szCs w:val="30"/>
          <w:lang w:val="en-US" w:eastAsia="zh-CN"/>
        </w:rPr>
      </w:pPr>
    </w:p>
    <w:p>
      <w:pPr>
        <w:spacing w:line="360" w:lineRule="auto"/>
        <w:ind w:firstLine="240"/>
        <w:jc w:val="center"/>
      </w:pPr>
      <w:r>
        <w:rPr>
          <w:rFonts w:hint="eastAsia"/>
        </w:rPr>
        <w:t>收入类结构分析图: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2781300"/>
            <wp:effectExtent l="0" t="0" r="12700" b="0"/>
            <wp:docPr id="6" name="Drawing 5" descr="收入结构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Drawing 5" descr="收入结构分析"/>
                    <pic:cNvPicPr>
                      <a:picLocks noChangeAspect="1"/>
                    </pic:cNvPicPr>
                  </pic:nvPicPr>
                  <pic:blipFill>
                    <a:blip r:embed="rId15"/>
                    <a:stretch>
                      <a:fillRect/>
                    </a:stretch>
                  </pic:blipFill>
                  <pic:spPr>
                    <a:xfrm>
                      <a:off x="0" y="0"/>
                      <a:ext cx="6350000" cy="2781300"/>
                    </a:xfrm>
                    <a:prstGeom prst="rect">
                      <a:avLst/>
                    </a:prstGeom>
                  </pic:spPr>
                </pic:pic>
              </a:graphicData>
            </a:graphic>
          </wp:inline>
        </w:drawing>
      </w:r>
    </w:p>
    <w:p>
      <w:pPr>
        <w:pStyle w:val="110"/>
        <w:spacing w:line="360" w:lineRule="auto"/>
        <w:ind w:firstLine="600"/>
        <w:jc w:val="both"/>
      </w:pPr>
    </w:p>
    <w:p>
      <w:pPr>
        <w:pStyle w:val="110"/>
        <w:spacing w:line="360" w:lineRule="auto"/>
        <w:ind w:firstLine="31680"/>
        <w:jc w:val="both"/>
        <w:rPr>
          <w:rFonts w:hint="eastAsia" w:ascii="仿宋_GB2312" w:eastAsia="仿宋_GB2312" w:cs="仿宋_GB2312"/>
          <w:szCs w:val="30"/>
          <w:lang w:val="en-US" w:eastAsia="zh-CN"/>
        </w:rPr>
      </w:pPr>
      <w:r>
        <w:rPr>
          <w:rFonts w:hint="eastAsia" w:ascii="仿宋" w:hAnsi="仿宋" w:eastAsia="仿宋"/>
          <w:color w:val="auto"/>
          <w:sz w:val="30"/>
          <w:szCs w:val="30"/>
        </w:rPr>
        <w:t>2.</w:t>
      </w:r>
      <w:r>
        <w:rPr>
          <w:rFonts w:ascii="仿宋_GB2312" w:hAnsi="仿宋_GB2312" w:cs="仿宋_GB2312"/>
          <w:szCs w:val="30"/>
        </w:rPr>
        <w:t>20</w:t>
      </w:r>
      <w:r>
        <w:rPr>
          <w:rFonts w:hint="eastAsia" w:ascii="仿宋_GB2312" w:hAnsi="仿宋_GB2312" w:cs="仿宋_GB2312"/>
          <w:szCs w:val="30"/>
          <w:lang w:val="en-US" w:eastAsia="zh-CN"/>
        </w:rPr>
        <w:t>20</w:t>
      </w:r>
      <w:r>
        <w:rPr>
          <w:rFonts w:hint="eastAsia" w:ascii="仿宋_GB2312" w:hAnsi="仿宋_GB2312" w:cs="仿宋_GB2312"/>
          <w:szCs w:val="30"/>
        </w:rPr>
        <w:t>年度费用主要为基本支出</w:t>
      </w:r>
      <w:r>
        <w:rPr>
          <w:rFonts w:ascii="仿宋_GB2312" w:hAnsi="仿宋_GB2312" w:cs="仿宋_GB2312"/>
          <w:szCs w:val="30"/>
        </w:rPr>
        <w:t>100%</w:t>
      </w:r>
      <w:r>
        <w:rPr>
          <w:rFonts w:hint="eastAsia" w:ascii="仿宋_GB2312" w:hAnsi="仿宋_GB2312" w:cs="仿宋_GB2312"/>
          <w:szCs w:val="30"/>
        </w:rPr>
        <w:t>。按照支出用途分类工资福利费用</w:t>
      </w:r>
      <w:r>
        <w:rPr>
          <w:rFonts w:hint="eastAsia" w:ascii="仿宋_GB2312" w:hAnsi="仿宋_GB2312" w:cs="仿宋_GB2312"/>
          <w:szCs w:val="30"/>
          <w:lang w:val="en-US" w:eastAsia="zh-CN"/>
        </w:rPr>
        <w:t>3.05</w:t>
      </w:r>
      <w:r>
        <w:rPr>
          <w:rFonts w:ascii="仿宋_GB2312" w:hAnsi="仿宋_GB2312" w:cs="仿宋_GB2312"/>
          <w:szCs w:val="30"/>
        </w:rPr>
        <w:t>%</w:t>
      </w:r>
      <w:r>
        <w:rPr>
          <w:rFonts w:hint="eastAsia" w:ascii="仿宋_GB2312" w:hAnsi="仿宋_GB2312" w:cs="仿宋_GB2312"/>
          <w:szCs w:val="30"/>
        </w:rPr>
        <w:t>，</w:t>
      </w:r>
      <w:r>
        <w:rPr>
          <w:rFonts w:hint="eastAsia" w:ascii="仿宋_GB2312" w:hAnsi="仿宋_GB2312" w:cs="仿宋_GB2312"/>
          <w:szCs w:val="30"/>
          <w:lang w:val="en-US" w:eastAsia="zh-CN"/>
        </w:rPr>
        <w:t>较上年减少0.5%，其原因为人员退休。</w:t>
      </w:r>
      <w:r>
        <w:rPr>
          <w:rFonts w:hint="eastAsia" w:ascii="仿宋_GB2312" w:hAnsi="仿宋_GB2312" w:cs="仿宋_GB2312"/>
          <w:szCs w:val="30"/>
        </w:rPr>
        <w:t>商品和服务费用</w:t>
      </w:r>
      <w:r>
        <w:rPr>
          <w:rFonts w:hint="eastAsia" w:ascii="仿宋_GB2312" w:hAnsi="仿宋_GB2312" w:cs="仿宋_GB2312"/>
          <w:szCs w:val="30"/>
          <w:lang w:val="en-US" w:eastAsia="zh-CN"/>
        </w:rPr>
        <w:t>1.85</w:t>
      </w:r>
      <w:r>
        <w:rPr>
          <w:rFonts w:ascii="仿宋_GB2312" w:hAnsi="仿宋_GB2312" w:cs="仿宋_GB2312"/>
          <w:szCs w:val="30"/>
        </w:rPr>
        <w:t>%</w:t>
      </w:r>
      <w:r>
        <w:rPr>
          <w:rFonts w:hint="eastAsia" w:ascii="仿宋_GB2312" w:hAnsi="仿宋_GB2312" w:cs="仿宋_GB2312"/>
          <w:szCs w:val="30"/>
        </w:rPr>
        <w:t>，</w:t>
      </w:r>
      <w:r>
        <w:rPr>
          <w:rFonts w:hint="eastAsia" w:ascii="仿宋_GB2312" w:hAnsi="仿宋_GB2312" w:cs="仿宋_GB2312"/>
          <w:szCs w:val="30"/>
          <w:lang w:val="en-US" w:eastAsia="zh-CN"/>
        </w:rPr>
        <w:t>较上年增加0.3%，其原因为下乡费用增多。固定资产</w:t>
      </w:r>
      <w:r>
        <w:rPr>
          <w:rFonts w:hint="eastAsia" w:ascii="仿宋_GB2312" w:hAnsi="仿宋_GB2312" w:cs="仿宋_GB2312"/>
          <w:szCs w:val="30"/>
        </w:rPr>
        <w:t>折旧费用</w:t>
      </w:r>
      <w:r>
        <w:rPr>
          <w:rFonts w:hint="eastAsia" w:ascii="仿宋_GB2312" w:hAnsi="仿宋_GB2312" w:cs="仿宋_GB2312"/>
          <w:szCs w:val="30"/>
          <w:lang w:val="en-US" w:eastAsia="zh-CN"/>
        </w:rPr>
        <w:t>0.28</w:t>
      </w:r>
      <w:r>
        <w:rPr>
          <w:rFonts w:ascii="仿宋_GB2312" w:hAnsi="仿宋_GB2312" w:cs="仿宋_GB2312"/>
          <w:szCs w:val="30"/>
        </w:rPr>
        <w:t>%</w:t>
      </w:r>
      <w:r>
        <w:rPr>
          <w:rFonts w:hint="eastAsia" w:ascii="仿宋_GB2312" w:hAnsi="仿宋_GB2312" w:cs="仿宋_GB2312"/>
          <w:szCs w:val="30"/>
        </w:rPr>
        <w:t>，</w:t>
      </w:r>
      <w:r>
        <w:rPr>
          <w:rFonts w:hint="eastAsia" w:ascii="仿宋_GB2312" w:hAnsi="仿宋_GB2312" w:cs="仿宋_GB2312"/>
          <w:szCs w:val="30"/>
          <w:lang w:val="en-US" w:eastAsia="zh-CN"/>
        </w:rPr>
        <w:t>较上年减少0.05%，其原因为累计折旧减少，</w:t>
      </w:r>
      <w:r>
        <w:rPr>
          <w:rFonts w:hint="eastAsia" w:ascii="仿宋_GB2312" w:hAnsi="仿宋_GB2312" w:cs="仿宋_GB2312"/>
          <w:szCs w:val="30"/>
        </w:rPr>
        <w:t>对个人和家庭的补助</w:t>
      </w:r>
      <w:r>
        <w:rPr>
          <w:rFonts w:hint="eastAsia" w:ascii="仿宋_GB2312" w:hAnsi="仿宋_GB2312" w:cs="仿宋_GB2312"/>
          <w:szCs w:val="30"/>
          <w:lang w:val="en-US" w:eastAsia="zh-CN"/>
        </w:rPr>
        <w:t>88.98</w:t>
      </w:r>
      <w:r>
        <w:rPr>
          <w:rFonts w:ascii="仿宋_GB2312" w:hAnsi="仿宋_GB2312" w:cs="仿宋_GB2312"/>
          <w:szCs w:val="30"/>
        </w:rPr>
        <w:t>%</w:t>
      </w:r>
      <w:r>
        <w:rPr>
          <w:rFonts w:hint="eastAsia" w:ascii="仿宋_GB2312" w:hAnsi="仿宋_GB2312" w:cs="仿宋_GB2312"/>
          <w:szCs w:val="30"/>
          <w:lang w:eastAsia="zh-CN"/>
        </w:rPr>
        <w:t>，</w:t>
      </w:r>
      <w:r>
        <w:rPr>
          <w:rFonts w:hint="eastAsia" w:ascii="仿宋_GB2312" w:hAnsi="仿宋_GB2312" w:cs="仿宋_GB2312"/>
          <w:szCs w:val="30"/>
          <w:lang w:val="en-US" w:eastAsia="zh-CN"/>
        </w:rPr>
        <w:t>较上年减少5.6%，其原因为补贴人员减少</w:t>
      </w:r>
      <w:r>
        <w:rPr>
          <w:rFonts w:hint="eastAsia" w:ascii="仿宋_GB2312" w:hAnsi="仿宋_GB2312" w:cs="仿宋_GB2312"/>
          <w:szCs w:val="30"/>
        </w:rPr>
        <w:t>。</w:t>
      </w:r>
    </w:p>
    <w:p>
      <w:pPr>
        <w:spacing w:line="360" w:lineRule="auto"/>
        <w:ind w:firstLine="600" w:firstLineChars="200"/>
        <w:rPr>
          <w:rFonts w:ascii="仿宋" w:hAnsi="仿宋" w:eastAsia="仿宋"/>
          <w:color w:val="0070C0"/>
          <w:sz w:val="30"/>
          <w:szCs w:val="30"/>
        </w:rPr>
      </w:pPr>
    </w:p>
    <w:p>
      <w:pPr>
        <w:spacing w:line="360" w:lineRule="auto"/>
        <w:jc w:val="center"/>
      </w:pPr>
      <w:r>
        <w:rPr>
          <w:rFonts w:hint="eastAsia"/>
        </w:rPr>
        <w:t>费用(按科目)分析图：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rPr>
          <w:rFonts w:hint="eastAsia"/>
        </w:rPr>
        <w:drawing>
          <wp:inline distT="0" distB="0" distL="0" distR="0">
            <wp:extent cx="6350000" cy="2781300"/>
            <wp:effectExtent l="0" t="0" r="12700" b="0"/>
            <wp:docPr id="7" name="Drawing 6" descr="费用按科目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Drawing 6" descr="费用按科目分析"/>
                    <pic:cNvPicPr>
                      <a:picLocks noChangeAspect="1"/>
                    </pic:cNvPicPr>
                  </pic:nvPicPr>
                  <pic:blipFill>
                    <a:blip r:embed="rId16"/>
                    <a:stretch>
                      <a:fillRect/>
                    </a:stretch>
                  </pic:blipFill>
                  <pic:spPr>
                    <a:xfrm>
                      <a:off x="0" y="0"/>
                      <a:ext cx="6350000" cy="2781300"/>
                    </a:xfrm>
                    <a:prstGeom prst="rect">
                      <a:avLst/>
                    </a:prstGeom>
                  </pic:spPr>
                </pic:pic>
              </a:graphicData>
            </a:graphic>
          </wp:inline>
        </w:drawing>
      </w:r>
    </w:p>
    <w:p>
      <w:pPr>
        <w:spacing w:line="360" w:lineRule="auto"/>
        <w:jc w:val="center"/>
      </w:pPr>
      <w:r>
        <w:rPr>
          <w:rFonts w:hint="eastAsia"/>
        </w:rPr>
        <w:t>费用(按经济性质)分析图：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rPr>
          <w:rFonts w:hint="eastAsia"/>
        </w:rPr>
      </w:pPr>
      <w:r>
        <w:rPr>
          <w:rFonts w:hint="eastAsia"/>
        </w:rPr>
        <w:drawing>
          <wp:inline distT="0" distB="0" distL="0" distR="0">
            <wp:extent cx="6350000" cy="2781300"/>
            <wp:effectExtent l="0" t="0" r="12700" b="0"/>
            <wp:docPr id="8" name="Drawing 7" descr="费用按经济性质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Drawing 7" descr="费用按经济性质分析"/>
                    <pic:cNvPicPr>
                      <a:picLocks noChangeAspect="1"/>
                    </pic:cNvPicPr>
                  </pic:nvPicPr>
                  <pic:blipFill>
                    <a:blip r:embed="rId17"/>
                    <a:stretch>
                      <a:fillRect/>
                    </a:stretch>
                  </pic:blipFill>
                  <pic:spPr>
                    <a:xfrm>
                      <a:off x="0" y="0"/>
                      <a:ext cx="6350000" cy="2781300"/>
                    </a:xfrm>
                    <a:prstGeom prst="rect">
                      <a:avLst/>
                    </a:prstGeom>
                  </pic:spPr>
                </pic:pic>
              </a:graphicData>
            </a:graphic>
          </wp:inline>
        </w:drawing>
      </w:r>
    </w:p>
    <w:p>
      <w:pPr>
        <w:spacing w:line="360" w:lineRule="auto"/>
        <w:jc w:val="center"/>
      </w:pPr>
    </w:p>
    <w:p>
      <w:pPr>
        <w:spacing w:line="360" w:lineRule="auto"/>
        <w:ind w:firstLine="600" w:firstLineChars="200"/>
        <w:rPr>
          <w:rFonts w:ascii="仿宋" w:hAnsi="仿宋" w:eastAsia="仿宋"/>
          <w:color w:val="auto"/>
          <w:sz w:val="30"/>
          <w:szCs w:val="30"/>
        </w:rPr>
      </w:pPr>
      <w:r>
        <w:rPr>
          <w:rFonts w:ascii="仿宋" w:hAnsi="仿宋" w:eastAsia="仿宋"/>
          <w:color w:val="auto"/>
          <w:sz w:val="30"/>
          <w:szCs w:val="30"/>
        </w:rPr>
        <w:t>3.运用政府部门的收入费用率等指标，分析政府部门收入与费用的比例情况。</w:t>
      </w:r>
    </w:p>
    <w:p>
      <w:pPr>
        <w:spacing w:line="360" w:lineRule="auto"/>
        <w:jc w:val="center"/>
      </w:pPr>
      <w:r>
        <w:rPr>
          <w:rFonts w:hint="eastAsia"/>
        </w:rPr>
        <w:t>部门财务状况分析图:</w:t>
      </w:r>
    </w:p>
    <w:p>
      <w:pPr>
        <w:keepNext w:val="0"/>
        <w:keepLines w:val="0"/>
        <w:pageBreakBefore w:val="0"/>
        <w:widowControl/>
        <w:kinsoku/>
        <w:wordWrap/>
        <w:overflowPunct/>
        <w:topLinePunct w:val="0"/>
        <w:autoSpaceDE/>
        <w:autoSpaceDN/>
        <w:bidi w:val="0"/>
        <w:adjustRightInd/>
        <w:snapToGrid/>
        <w:spacing w:line="360" w:lineRule="auto"/>
        <w:ind w:left="-720" w:leftChars="-300"/>
        <w:jc w:val="center"/>
        <w:textAlignment w:val="auto"/>
      </w:pPr>
      <w:r>
        <w:drawing>
          <wp:inline distT="0" distB="0" distL="0" distR="0">
            <wp:extent cx="6350000" cy="3695700"/>
            <wp:effectExtent l="0" t="0" r="12700" b="0"/>
            <wp:docPr id="9" name="Drawing 8" descr="部门财务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Drawing 8" descr="部门财务分析"/>
                    <pic:cNvPicPr>
                      <a:picLocks noChangeAspect="1"/>
                    </pic:cNvPicPr>
                  </pic:nvPicPr>
                  <pic:blipFill>
                    <a:blip r:embed="rId14"/>
                    <a:stretch>
                      <a:fillRect/>
                    </a:stretch>
                  </pic:blipFill>
                  <pic:spPr>
                    <a:xfrm>
                      <a:off x="0" y="0"/>
                      <a:ext cx="6350000" cy="3695700"/>
                    </a:xfrm>
                    <a:prstGeom prst="rect">
                      <a:avLst/>
                    </a:prstGeom>
                  </pic:spPr>
                </pic:pic>
              </a:graphicData>
            </a:graphic>
          </wp:inline>
        </w:drawing>
      </w:r>
    </w:p>
    <w:p>
      <w:pPr>
        <w:spacing w:line="360" w:lineRule="auto"/>
        <w:jc w:val="center"/>
      </w:pPr>
    </w:p>
    <w:p>
      <w:pPr>
        <w:pStyle w:val="4"/>
        <w:spacing w:before="0" w:after="0" w:line="360" w:lineRule="auto"/>
        <w:ind w:firstLine="602"/>
        <w:jc w:val="left"/>
        <w:rPr>
          <w:rFonts w:ascii="仿宋" w:hAnsi="仿宋" w:eastAsia="仿宋"/>
          <w:b/>
        </w:rPr>
      </w:pPr>
      <w:bookmarkStart w:id="86" w:name="_Toc436083534"/>
      <w:bookmarkStart w:id="87" w:name="_Toc503548891"/>
      <w:bookmarkStart w:id="88" w:name="_Toc35452589"/>
      <w:bookmarkStart w:id="89" w:name="_Toc25089"/>
      <w:r>
        <w:rPr>
          <w:rFonts w:hint="eastAsia" w:ascii="仿宋" w:hAnsi="仿宋" w:eastAsia="仿宋"/>
          <w:b/>
        </w:rPr>
        <w:t>（四）</w:t>
      </w:r>
      <w:bookmarkEnd w:id="86"/>
      <w:bookmarkEnd w:id="87"/>
      <w:r>
        <w:rPr>
          <w:rFonts w:ascii="仿宋" w:hAnsi="仿宋" w:eastAsia="仿宋"/>
          <w:b/>
        </w:rPr>
        <w:t>政府部门财务管理情况。</w:t>
      </w:r>
      <w:bookmarkEnd w:id="88"/>
      <w:bookmarkEnd w:id="89"/>
    </w:p>
    <w:p>
      <w:pPr>
        <w:spacing w:line="360" w:lineRule="auto"/>
        <w:ind w:firstLine="600" w:firstLineChars="200"/>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1、部门预算编制前，做好财产清查、支出情况、异常需求分析工作，摸清家底为正式编制年度预算做好准备。编制下年度部门预算要对本年度本部门预算结果采取绩效评价的方法进行总结分析，将其预算执行情况和下年度的经济发展规划结合起来，预测下年度人收支状况来完成。部门预算的编制，要全面体现该部门的年度收支状况。收入方面要按照收入类别逐项核定，具体到单位和项目，支出方面要按照支出类别、支出项目的轻重缓急安排经费，对专项经费的支出要健立专门的预算计划。</w:t>
      </w:r>
    </w:p>
    <w:p>
      <w:pPr>
        <w:spacing w:line="360" w:lineRule="auto"/>
        <w:ind w:firstLine="600" w:firstLineChars="200"/>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2、内控管理</w:t>
      </w:r>
    </w:p>
    <w:p>
      <w:pPr>
        <w:spacing w:line="360" w:lineRule="auto"/>
        <w:ind w:firstLine="600" w:firstLineChars="200"/>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成立内部控制领导小组并下设办公室，明确内控办成员单位的职责分工，建立分工明确、责任清晰、齐抓共管的内部控制组织管理架构，层层传导压力，层层抓好落实。</w:t>
      </w:r>
    </w:p>
    <w:p>
      <w:pPr>
        <w:numPr>
          <w:ilvl w:val="0"/>
          <w:numId w:val="2"/>
        </w:numPr>
        <w:spacing w:line="360" w:lineRule="auto"/>
        <w:ind w:firstLine="600" w:firstLineChars="200"/>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资产管理定期向财政部门进行统计报送报表。从制度到具体实施环节严格把控，防止国有资产流失，提高国有资产保值增值率。</w:t>
      </w:r>
    </w:p>
    <w:p>
      <w:pPr>
        <w:numPr>
          <w:ilvl w:val="0"/>
          <w:numId w:val="2"/>
        </w:numPr>
        <w:spacing w:line="360" w:lineRule="auto"/>
        <w:ind w:firstLine="600" w:firstLineChars="200"/>
        <w:rPr>
          <w:rFonts w:hint="eastAsia" w:ascii="仿宋" w:hAnsi="仿宋" w:eastAsia="仿宋"/>
          <w:color w:val="auto"/>
          <w:sz w:val="30"/>
          <w:szCs w:val="30"/>
          <w:lang w:val="en-US" w:eastAsia="zh-CN"/>
        </w:rPr>
      </w:pPr>
      <w:r>
        <w:rPr>
          <w:rFonts w:hint="eastAsia" w:ascii="仿宋" w:hAnsi="仿宋" w:eastAsia="仿宋"/>
          <w:color w:val="auto"/>
          <w:sz w:val="30"/>
          <w:szCs w:val="30"/>
          <w:lang w:val="en-US" w:eastAsia="zh-CN"/>
        </w:rPr>
        <w:t>人才队伍建设定期进行财务人员专业化培训，从政策法规、会计制度等方面进行专项培训。</w:t>
      </w:r>
    </w:p>
    <w:p>
      <w:pPr>
        <w:numPr>
          <w:ilvl w:val="0"/>
          <w:numId w:val="0"/>
        </w:numPr>
        <w:spacing w:line="360" w:lineRule="auto"/>
        <w:rPr>
          <w:rFonts w:hint="eastAsia" w:ascii="仿宋" w:hAnsi="仿宋" w:eastAsia="仿宋"/>
          <w:color w:val="auto"/>
          <w:sz w:val="30"/>
          <w:szCs w:val="30"/>
          <w:lang w:val="en-US" w:eastAsia="zh-CN"/>
        </w:rPr>
      </w:pPr>
    </w:p>
    <w:p>
      <w:pPr>
        <w:spacing w:line="360" w:lineRule="auto"/>
        <w:rPr>
          <w:rFonts w:hint="default" w:ascii="仿宋" w:hAnsi="仿宋" w:eastAsia="仿宋"/>
          <w:color w:val="auto"/>
          <w:sz w:val="30"/>
          <w:szCs w:val="30"/>
          <w:lang w:val="en-US" w:eastAsia="zh-CN"/>
        </w:rPr>
      </w:pPr>
      <w:bookmarkStart w:id="90" w:name="_GoBack"/>
      <w:bookmarkEnd w:id="90"/>
    </w:p>
    <w:sectPr>
      <w:pgSz w:w="11906" w:h="16838"/>
      <w:pgMar w:top="1440" w:right="1797" w:bottom="1440" w:left="1797"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华文中宋">
    <w:altName w:val="宋体"/>
    <w:panose1 w:val="02010600040101010101"/>
    <w:charset w:val="86"/>
    <w:family w:val="auto"/>
    <w:pitch w:val="default"/>
    <w:sig w:usb0="00000000" w:usb1="00000000" w:usb2="00000000" w:usb3="00000000" w:csb0="0004009F" w:csb1="DFD70000"/>
  </w:font>
  <w:font w:name="Cambria">
    <w:panose1 w:val="02040503050406030204"/>
    <w:charset w:val="00"/>
    <w:family w:val="roman"/>
    <w:pitch w:val="default"/>
    <w:sig w:usb0="E00002FF" w:usb1="400004FF" w:usb2="00000000" w:usb3="00000000" w:csb0="2000019F" w:csb1="00000000"/>
  </w:font>
  <w:font w:name="Tahoma">
    <w:panose1 w:val="020B0604030504040204"/>
    <w:charset w:val="00"/>
    <w:family w:val="swiss"/>
    <w:pitch w:val="default"/>
    <w:sig w:usb0="E1002EFF" w:usb1="C000605B" w:usb2="00000029" w:usb3="00000000" w:csb0="200101FF" w:csb1="2028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80F3C52" w:usb2="00000016" w:usb3="00000000" w:csb0="0004001F" w:csb1="00000000"/>
  </w:font>
  <w:font w:name="Microsoft JhengHei">
    <w:panose1 w:val="020B0604030504040204"/>
    <w:charset w:val="88"/>
    <w:family w:val="swiss"/>
    <w:pitch w:val="default"/>
    <w:sig w:usb0="00000087" w:usb1="28AF4000" w:usb2="00000016" w:usb3="00000000" w:csb0="00100009"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1"/>
      <w:jc w:val="center"/>
      <w:rPr>
        <w:rFonts w:ascii="仿宋" w:hAnsi="仿宋" w:eastAsia="仿宋"/>
      </w:rPr>
    </w:pPr>
    <w:sdt>
      <w:sdtPr>
        <w:rPr>
          <w:rFonts w:ascii="仿宋" w:hAnsi="仿宋" w:eastAsia="仿宋"/>
        </w:rPr>
        <w:id w:val="-1690983955"/>
      </w:sdtPr>
      <w:sdtEndPr>
        <w:rPr>
          <w:rFonts w:ascii="仿宋" w:hAnsi="仿宋" w:eastAsia="仿宋"/>
        </w:rPr>
      </w:sdtEndPr>
      <w:sdtContent>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sdtContent>
    </w:sdt>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ascii="仿宋" w:hAnsi="仿宋" w:eastAsia="仿宋"/>
      </w:rPr>
      <w:id w:val="1038315459"/>
    </w:sdtPr>
    <w:sdtEndPr>
      <w:rPr>
        <w:rFonts w:ascii="仿宋" w:hAnsi="仿宋" w:eastAsia="仿宋"/>
      </w:rPr>
    </w:sdtEndPr>
    <w:sdtContent>
      <w:sdt>
        <w:sdtPr>
          <w:rPr>
            <w:rFonts w:ascii="仿宋" w:hAnsi="仿宋" w:eastAsia="仿宋"/>
          </w:rPr>
          <w:id w:val="-242650556"/>
        </w:sdtPr>
        <w:sdtEndPr>
          <w:rPr>
            <w:rFonts w:ascii="仿宋" w:hAnsi="仿宋" w:eastAsia="仿宋"/>
          </w:rPr>
        </w:sdtEndPr>
        <w:sdtContent>
          <w:p>
            <w:pPr>
              <w:pStyle w:val="21"/>
              <w:jc w:val="center"/>
              <w:rPr>
                <w:rFonts w:ascii="仿宋" w:hAnsi="仿宋" w:eastAsia="仿宋"/>
              </w:rPr>
            </w:pPr>
            <w:r>
              <w:rPr>
                <w:rFonts w:ascii="仿宋" w:hAnsi="仿宋" w:eastAsia="仿宋"/>
                <w:lang w:val="zh-CN"/>
              </w:rPr>
              <w:t xml:space="preserve"> </w:t>
            </w:r>
            <w:r>
              <w:rPr>
                <w:rFonts w:ascii="仿宋" w:hAnsi="仿宋" w:eastAsia="仿宋"/>
                <w:b/>
                <w:bCs/>
              </w:rPr>
              <w:fldChar w:fldCharType="begin"/>
            </w:r>
            <w:r>
              <w:rPr>
                <w:rFonts w:ascii="仿宋" w:hAnsi="仿宋" w:eastAsia="仿宋"/>
                <w:b/>
                <w:bCs/>
              </w:rPr>
              <w:instrText xml:space="preserve">PAGE</w:instrText>
            </w:r>
            <w:r>
              <w:rPr>
                <w:rFonts w:ascii="仿宋" w:hAnsi="仿宋" w:eastAsia="仿宋"/>
                <w:b/>
                <w:bCs/>
              </w:rPr>
              <w:fldChar w:fldCharType="separate"/>
            </w:r>
            <w:r>
              <w:rPr>
                <w:rFonts w:ascii="仿宋" w:hAnsi="仿宋" w:eastAsia="仿宋"/>
                <w:b/>
                <w:bCs/>
              </w:rPr>
              <w:t>1</w:t>
            </w:r>
            <w:r>
              <w:rPr>
                <w:rFonts w:ascii="仿宋" w:hAnsi="仿宋" w:eastAsia="仿宋"/>
                <w:b/>
                <w:bCs/>
              </w:rPr>
              <w:fldChar w:fldCharType="end"/>
            </w:r>
            <w:r>
              <w:rPr>
                <w:rFonts w:ascii="仿宋" w:hAnsi="仿宋" w:eastAsia="仿宋"/>
                <w:lang w:val="zh-CN"/>
              </w:rPr>
              <w:t xml:space="preserve"> / </w:t>
            </w:r>
            <w:r>
              <w:rPr>
                <w:rFonts w:ascii="仿宋" w:hAnsi="仿宋" w:eastAsia="仿宋"/>
                <w:b/>
                <w:bCs/>
              </w:rPr>
              <w:fldChar w:fldCharType="begin"/>
            </w:r>
            <w:r>
              <w:rPr>
                <w:rFonts w:ascii="仿宋" w:hAnsi="仿宋" w:eastAsia="仿宋"/>
                <w:b/>
                <w:bCs/>
              </w:rPr>
              <w:instrText xml:space="preserve">NUMPAGES</w:instrText>
            </w:r>
            <w:r>
              <w:rPr>
                <w:rFonts w:ascii="仿宋" w:hAnsi="仿宋" w:eastAsia="仿宋"/>
                <w:b/>
                <w:bCs/>
              </w:rPr>
              <w:fldChar w:fldCharType="separate"/>
            </w:r>
            <w:r>
              <w:rPr>
                <w:rFonts w:ascii="仿宋" w:hAnsi="仿宋" w:eastAsia="仿宋"/>
                <w:b/>
                <w:bCs/>
              </w:rPr>
              <w:t>15</w:t>
            </w:r>
            <w:r>
              <w:rPr>
                <w:rFonts w:ascii="仿宋" w:hAnsi="仿宋" w:eastAsia="仿宋"/>
                <w:b/>
                <w:bCs/>
              </w:rPr>
              <w:fldChar w:fldCharType="end"/>
            </w:r>
          </w:p>
        </w:sdtContent>
      </w:sdt>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3240024"/>
    </w:sdtPr>
    <w:sdtEndPr>
      <w:rPr>
        <w:rFonts w:ascii="Times New Roman" w:hAnsi="Times New Roman"/>
        <w:sz w:val="21"/>
        <w:szCs w:val="21"/>
      </w:rPr>
    </w:sdtEndPr>
    <w:sdtContent>
      <w:p>
        <w:pPr>
          <w:pStyle w:val="21"/>
          <w:jc w:val="center"/>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rPr>
          <w:t>1</w:t>
        </w:r>
        <w:r>
          <w:rPr>
            <w:rFonts w:ascii="Times New Roman" w:hAnsi="Times New Roman"/>
            <w:sz w:val="21"/>
            <w:szCs w:val="21"/>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2">
    <w:p>
      <w:r>
        <w:separator/>
      </w:r>
    </w:p>
  </w:footnote>
  <w:footnote w:type="continuationSeparator" w:id="3">
    <w:p>
      <w:r>
        <w:continuationSeparator/>
      </w:r>
    </w:p>
  </w:footnote>
  <w:footnote w:id="0">
    <w:p>
      <w:pPr>
        <w:pStyle w:val="26"/>
        <w:rPr>
          <w:rFonts w:asciiTheme="minorEastAsia" w:hAnsiTheme="minorEastAsia" w:eastAsiaTheme="minorEastAsia"/>
          <w:sz w:val="21"/>
          <w:szCs w:val="21"/>
        </w:rPr>
      </w:pPr>
      <w:r>
        <w:rPr>
          <w:rStyle w:val="42"/>
        </w:rPr>
        <w:footnoteRef/>
      </w:r>
      <w:r>
        <w:rPr>
          <w:rFonts w:asciiTheme="minorEastAsia" w:hAnsiTheme="minorEastAsia" w:eastAsiaTheme="minorEastAsia"/>
          <w:sz w:val="21"/>
          <w:szCs w:val="21"/>
        </w:rPr>
        <w:t xml:space="preserve"> </w:t>
      </w:r>
      <w:r>
        <w:rPr>
          <w:rFonts w:hint="eastAsia" w:asciiTheme="minorEastAsia" w:hAnsiTheme="minorEastAsia" w:eastAsiaTheme="minorEastAsia"/>
          <w:sz w:val="21"/>
          <w:szCs w:val="21"/>
        </w:rPr>
        <w:t>表</w:t>
      </w:r>
      <w:r>
        <w:rPr>
          <w:rFonts w:asciiTheme="minorEastAsia" w:hAnsiTheme="minorEastAsia" w:eastAsiaTheme="minorEastAsia"/>
          <w:sz w:val="21"/>
          <w:szCs w:val="21"/>
        </w:rPr>
        <w:t xml:space="preserve"> 2-2 的“其他费用”包括“业务活动费用”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“单位管理费用”</w:t>
      </w:r>
      <w:r>
        <w:rPr>
          <w:rFonts w:hint="eastAsia" w:asciiTheme="minorEastAsia" w:hAnsiTheme="minorEastAsia" w:eastAsiaTheme="minorEastAsia"/>
          <w:sz w:val="21"/>
          <w:szCs w:val="21"/>
        </w:rPr>
        <w:t>、</w:t>
      </w:r>
      <w:r>
        <w:rPr>
          <w:rFonts w:asciiTheme="minorEastAsia" w:hAnsiTheme="minorEastAsia" w:eastAsiaTheme="minorEastAsia"/>
          <w:sz w:val="21"/>
          <w:szCs w:val="21"/>
        </w:rPr>
        <w:t>“经营费用”等会计科目中的其他部分。</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F90E2E7"/>
    <w:multiLevelType w:val="singleLevel"/>
    <w:tmpl w:val="9F90E2E7"/>
    <w:lvl w:ilvl="0" w:tentative="0">
      <w:start w:val="3"/>
      <w:numFmt w:val="decimal"/>
      <w:suff w:val="nothing"/>
      <w:lvlText w:val="%1、"/>
      <w:lvlJc w:val="left"/>
    </w:lvl>
  </w:abstractNum>
  <w:abstractNum w:abstractNumId="1">
    <w:nsid w:val="D1A62931"/>
    <w:multiLevelType w:val="singleLevel"/>
    <w:tmpl w:val="D1A62931"/>
    <w:lvl w:ilvl="0" w:tentative="0">
      <w:start w:val="3"/>
      <w:numFmt w:val="decimal"/>
      <w:lvlText w:val="%1."/>
      <w:lvlJc w:val="left"/>
      <w:pPr>
        <w:tabs>
          <w:tab w:val="left" w:pos="312"/>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hideSpellingErrors/>
  <w:documentProtection w:enforcement="0"/>
  <w:defaultTabStop w:val="420"/>
  <w:drawingGridHorizontalSpacing w:val="120"/>
  <w:drawingGridVerticalSpacing w:val="163"/>
  <w:noPunctuationKerning w:val="1"/>
  <w:characterSpacingControl w:val="doNotCompress"/>
  <w:noLineBreaksAfter w:lang="zh-CN" w:val="$([{£¥·‘“〈《「『【〔〖〝﹙﹛﹝＄（．［｛￡￥"/>
  <w:noLineBreaksBefore w:lang="zh-CN" w:val="!%),.:;&gt;?]}¢¨°·ˇˉ―‖’”…‰′″›℃∶、。〃〉》」』】〕〗〞︶︺︾﹀﹄﹚﹜﹞！＂％＇），．：；？］｀｜｝～￠"/>
  <w:footnotePr>
    <w:numFmt w:val="decimalEnclosedCircleChinese"/>
    <w:footnote w:id="2"/>
    <w:footnote w:id="3"/>
  </w:foot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0A"/>
    <w:rsid w:val="00000769"/>
    <w:rsid w:val="00001875"/>
    <w:rsid w:val="00001DA2"/>
    <w:rsid w:val="00003542"/>
    <w:rsid w:val="00003D4F"/>
    <w:rsid w:val="00005D80"/>
    <w:rsid w:val="00006043"/>
    <w:rsid w:val="000073F5"/>
    <w:rsid w:val="0001053B"/>
    <w:rsid w:val="000116C9"/>
    <w:rsid w:val="00012C4B"/>
    <w:rsid w:val="00012EB0"/>
    <w:rsid w:val="00013EC7"/>
    <w:rsid w:val="0001401B"/>
    <w:rsid w:val="00014AA7"/>
    <w:rsid w:val="00015324"/>
    <w:rsid w:val="00016B3D"/>
    <w:rsid w:val="00017068"/>
    <w:rsid w:val="00020A10"/>
    <w:rsid w:val="000220CF"/>
    <w:rsid w:val="00022E5B"/>
    <w:rsid w:val="00024E2E"/>
    <w:rsid w:val="00030B80"/>
    <w:rsid w:val="0003107E"/>
    <w:rsid w:val="0003429E"/>
    <w:rsid w:val="000355A9"/>
    <w:rsid w:val="00035C9B"/>
    <w:rsid w:val="000406AA"/>
    <w:rsid w:val="00042520"/>
    <w:rsid w:val="00043D78"/>
    <w:rsid w:val="00044F77"/>
    <w:rsid w:val="00045215"/>
    <w:rsid w:val="0004568F"/>
    <w:rsid w:val="00045AB1"/>
    <w:rsid w:val="00051605"/>
    <w:rsid w:val="000518FB"/>
    <w:rsid w:val="000550B8"/>
    <w:rsid w:val="00057002"/>
    <w:rsid w:val="00060A24"/>
    <w:rsid w:val="000648ED"/>
    <w:rsid w:val="000658F0"/>
    <w:rsid w:val="000671C8"/>
    <w:rsid w:val="00067E05"/>
    <w:rsid w:val="000705FA"/>
    <w:rsid w:val="00070862"/>
    <w:rsid w:val="00071A7A"/>
    <w:rsid w:val="00075C7E"/>
    <w:rsid w:val="00075F12"/>
    <w:rsid w:val="000774A6"/>
    <w:rsid w:val="000823CD"/>
    <w:rsid w:val="000838FB"/>
    <w:rsid w:val="00084BB6"/>
    <w:rsid w:val="000850F5"/>
    <w:rsid w:val="00086A07"/>
    <w:rsid w:val="000870A3"/>
    <w:rsid w:val="00090C8A"/>
    <w:rsid w:val="000922B9"/>
    <w:rsid w:val="000949F2"/>
    <w:rsid w:val="000958AE"/>
    <w:rsid w:val="00097B38"/>
    <w:rsid w:val="000A12FF"/>
    <w:rsid w:val="000A16A6"/>
    <w:rsid w:val="000A2130"/>
    <w:rsid w:val="000A22D9"/>
    <w:rsid w:val="000A44B0"/>
    <w:rsid w:val="000A4CD0"/>
    <w:rsid w:val="000A514F"/>
    <w:rsid w:val="000A60C9"/>
    <w:rsid w:val="000A7312"/>
    <w:rsid w:val="000A7E42"/>
    <w:rsid w:val="000B1C40"/>
    <w:rsid w:val="000B1C95"/>
    <w:rsid w:val="000B7274"/>
    <w:rsid w:val="000B7A45"/>
    <w:rsid w:val="000C0493"/>
    <w:rsid w:val="000C08B8"/>
    <w:rsid w:val="000C092E"/>
    <w:rsid w:val="000C0C01"/>
    <w:rsid w:val="000C0F1F"/>
    <w:rsid w:val="000C29C6"/>
    <w:rsid w:val="000C3DEA"/>
    <w:rsid w:val="000C48D6"/>
    <w:rsid w:val="000C490D"/>
    <w:rsid w:val="000C5B8A"/>
    <w:rsid w:val="000C6630"/>
    <w:rsid w:val="000D069C"/>
    <w:rsid w:val="000D2D84"/>
    <w:rsid w:val="000D575F"/>
    <w:rsid w:val="000D7026"/>
    <w:rsid w:val="000E296D"/>
    <w:rsid w:val="000E2AFB"/>
    <w:rsid w:val="000E552E"/>
    <w:rsid w:val="000E607C"/>
    <w:rsid w:val="000E7147"/>
    <w:rsid w:val="000F050D"/>
    <w:rsid w:val="000F0E6A"/>
    <w:rsid w:val="000F0E76"/>
    <w:rsid w:val="000F1A84"/>
    <w:rsid w:val="000F486C"/>
    <w:rsid w:val="00101331"/>
    <w:rsid w:val="00101871"/>
    <w:rsid w:val="00102186"/>
    <w:rsid w:val="00102256"/>
    <w:rsid w:val="00102702"/>
    <w:rsid w:val="0010314B"/>
    <w:rsid w:val="00103C6B"/>
    <w:rsid w:val="00104C9B"/>
    <w:rsid w:val="00105AEE"/>
    <w:rsid w:val="00107B24"/>
    <w:rsid w:val="001107A6"/>
    <w:rsid w:val="001118AF"/>
    <w:rsid w:val="00111CD8"/>
    <w:rsid w:val="00112D8E"/>
    <w:rsid w:val="001142C8"/>
    <w:rsid w:val="001147E2"/>
    <w:rsid w:val="00115725"/>
    <w:rsid w:val="00115E97"/>
    <w:rsid w:val="0012075A"/>
    <w:rsid w:val="00122A2B"/>
    <w:rsid w:val="001249B1"/>
    <w:rsid w:val="00125531"/>
    <w:rsid w:val="00126554"/>
    <w:rsid w:val="00127BC8"/>
    <w:rsid w:val="00130483"/>
    <w:rsid w:val="00130C64"/>
    <w:rsid w:val="0013119C"/>
    <w:rsid w:val="001360A0"/>
    <w:rsid w:val="00136B58"/>
    <w:rsid w:val="0013729D"/>
    <w:rsid w:val="001378A2"/>
    <w:rsid w:val="00141101"/>
    <w:rsid w:val="00141CC6"/>
    <w:rsid w:val="00143282"/>
    <w:rsid w:val="00144A75"/>
    <w:rsid w:val="0014526F"/>
    <w:rsid w:val="0015075E"/>
    <w:rsid w:val="001511CD"/>
    <w:rsid w:val="001632D2"/>
    <w:rsid w:val="0016377B"/>
    <w:rsid w:val="001641DD"/>
    <w:rsid w:val="001649F2"/>
    <w:rsid w:val="0016697A"/>
    <w:rsid w:val="00167CC1"/>
    <w:rsid w:val="00167DF7"/>
    <w:rsid w:val="00172398"/>
    <w:rsid w:val="001728C1"/>
    <w:rsid w:val="00173869"/>
    <w:rsid w:val="0018105E"/>
    <w:rsid w:val="001856D7"/>
    <w:rsid w:val="00186921"/>
    <w:rsid w:val="001871E1"/>
    <w:rsid w:val="001879A6"/>
    <w:rsid w:val="00192BFF"/>
    <w:rsid w:val="00193CDE"/>
    <w:rsid w:val="001942C0"/>
    <w:rsid w:val="001A066C"/>
    <w:rsid w:val="001A0727"/>
    <w:rsid w:val="001A206F"/>
    <w:rsid w:val="001A50A4"/>
    <w:rsid w:val="001B1C30"/>
    <w:rsid w:val="001B1E04"/>
    <w:rsid w:val="001B22EA"/>
    <w:rsid w:val="001B331A"/>
    <w:rsid w:val="001B5606"/>
    <w:rsid w:val="001B57C1"/>
    <w:rsid w:val="001B6347"/>
    <w:rsid w:val="001C449F"/>
    <w:rsid w:val="001C517D"/>
    <w:rsid w:val="001C53B3"/>
    <w:rsid w:val="001C553C"/>
    <w:rsid w:val="001C6110"/>
    <w:rsid w:val="001C74F9"/>
    <w:rsid w:val="001D0EC0"/>
    <w:rsid w:val="001D2EA7"/>
    <w:rsid w:val="001D6874"/>
    <w:rsid w:val="001D74A1"/>
    <w:rsid w:val="001E4D19"/>
    <w:rsid w:val="001E57FA"/>
    <w:rsid w:val="001F54C8"/>
    <w:rsid w:val="001F5A03"/>
    <w:rsid w:val="001F79E5"/>
    <w:rsid w:val="0020407F"/>
    <w:rsid w:val="0020598F"/>
    <w:rsid w:val="00206746"/>
    <w:rsid w:val="00206BB0"/>
    <w:rsid w:val="002076E3"/>
    <w:rsid w:val="00210A2B"/>
    <w:rsid w:val="002118F2"/>
    <w:rsid w:val="00214FEF"/>
    <w:rsid w:val="002175DD"/>
    <w:rsid w:val="00217E61"/>
    <w:rsid w:val="00217F6E"/>
    <w:rsid w:val="002209DF"/>
    <w:rsid w:val="00221E15"/>
    <w:rsid w:val="00224F54"/>
    <w:rsid w:val="00225950"/>
    <w:rsid w:val="00225E1C"/>
    <w:rsid w:val="00226734"/>
    <w:rsid w:val="00226EE9"/>
    <w:rsid w:val="00232060"/>
    <w:rsid w:val="00232F1D"/>
    <w:rsid w:val="00233FC4"/>
    <w:rsid w:val="00234B3B"/>
    <w:rsid w:val="00235F8B"/>
    <w:rsid w:val="00236D26"/>
    <w:rsid w:val="0024034A"/>
    <w:rsid w:val="002418CD"/>
    <w:rsid w:val="00241AA8"/>
    <w:rsid w:val="00242525"/>
    <w:rsid w:val="00242E1C"/>
    <w:rsid w:val="00243AED"/>
    <w:rsid w:val="00244DC8"/>
    <w:rsid w:val="00245188"/>
    <w:rsid w:val="0024707D"/>
    <w:rsid w:val="002512A3"/>
    <w:rsid w:val="00254782"/>
    <w:rsid w:val="0025565A"/>
    <w:rsid w:val="00255F1C"/>
    <w:rsid w:val="002565BE"/>
    <w:rsid w:val="002575F2"/>
    <w:rsid w:val="002578CB"/>
    <w:rsid w:val="00260466"/>
    <w:rsid w:val="00260805"/>
    <w:rsid w:val="00260A30"/>
    <w:rsid w:val="00260EEB"/>
    <w:rsid w:val="00262284"/>
    <w:rsid w:val="00262A7D"/>
    <w:rsid w:val="0026475C"/>
    <w:rsid w:val="00264D04"/>
    <w:rsid w:val="00264D9F"/>
    <w:rsid w:val="0026523B"/>
    <w:rsid w:val="00270F44"/>
    <w:rsid w:val="00271F2D"/>
    <w:rsid w:val="00272542"/>
    <w:rsid w:val="002744F3"/>
    <w:rsid w:val="00277626"/>
    <w:rsid w:val="00280B8A"/>
    <w:rsid w:val="00280F92"/>
    <w:rsid w:val="0028166B"/>
    <w:rsid w:val="002831B2"/>
    <w:rsid w:val="00291EB7"/>
    <w:rsid w:val="002924D5"/>
    <w:rsid w:val="00295DF2"/>
    <w:rsid w:val="00295E23"/>
    <w:rsid w:val="0029609F"/>
    <w:rsid w:val="0029654A"/>
    <w:rsid w:val="0029710A"/>
    <w:rsid w:val="002A04E4"/>
    <w:rsid w:val="002A1C06"/>
    <w:rsid w:val="002A2024"/>
    <w:rsid w:val="002A2C9B"/>
    <w:rsid w:val="002A3752"/>
    <w:rsid w:val="002A37E3"/>
    <w:rsid w:val="002A4231"/>
    <w:rsid w:val="002A534D"/>
    <w:rsid w:val="002B2B8B"/>
    <w:rsid w:val="002B388D"/>
    <w:rsid w:val="002B4B1E"/>
    <w:rsid w:val="002B588B"/>
    <w:rsid w:val="002B6211"/>
    <w:rsid w:val="002B62E2"/>
    <w:rsid w:val="002B7809"/>
    <w:rsid w:val="002B795A"/>
    <w:rsid w:val="002C183C"/>
    <w:rsid w:val="002C1D74"/>
    <w:rsid w:val="002C1F43"/>
    <w:rsid w:val="002C309E"/>
    <w:rsid w:val="002C4368"/>
    <w:rsid w:val="002C4683"/>
    <w:rsid w:val="002C604A"/>
    <w:rsid w:val="002D0E07"/>
    <w:rsid w:val="002D2483"/>
    <w:rsid w:val="002D26B5"/>
    <w:rsid w:val="002D2A22"/>
    <w:rsid w:val="002D4937"/>
    <w:rsid w:val="002D649B"/>
    <w:rsid w:val="002D67E7"/>
    <w:rsid w:val="002D6A3D"/>
    <w:rsid w:val="002E16FD"/>
    <w:rsid w:val="002E245A"/>
    <w:rsid w:val="002E3516"/>
    <w:rsid w:val="002E3759"/>
    <w:rsid w:val="002E45B4"/>
    <w:rsid w:val="002E691F"/>
    <w:rsid w:val="002E6C0C"/>
    <w:rsid w:val="002F0EA9"/>
    <w:rsid w:val="002F1523"/>
    <w:rsid w:val="002F34FA"/>
    <w:rsid w:val="002F3C42"/>
    <w:rsid w:val="002F4770"/>
    <w:rsid w:val="002F4EDB"/>
    <w:rsid w:val="002F6DCE"/>
    <w:rsid w:val="003000F8"/>
    <w:rsid w:val="003006A4"/>
    <w:rsid w:val="003012C1"/>
    <w:rsid w:val="00302AE0"/>
    <w:rsid w:val="003039C2"/>
    <w:rsid w:val="003060CB"/>
    <w:rsid w:val="00306E2E"/>
    <w:rsid w:val="00306F77"/>
    <w:rsid w:val="00307420"/>
    <w:rsid w:val="00311C3D"/>
    <w:rsid w:val="00314926"/>
    <w:rsid w:val="0032056A"/>
    <w:rsid w:val="00320698"/>
    <w:rsid w:val="00326C84"/>
    <w:rsid w:val="00327462"/>
    <w:rsid w:val="00333D5B"/>
    <w:rsid w:val="00335816"/>
    <w:rsid w:val="00341346"/>
    <w:rsid w:val="00341BEE"/>
    <w:rsid w:val="00341C57"/>
    <w:rsid w:val="00343C87"/>
    <w:rsid w:val="003462B8"/>
    <w:rsid w:val="003479F1"/>
    <w:rsid w:val="00350559"/>
    <w:rsid w:val="00354927"/>
    <w:rsid w:val="00361205"/>
    <w:rsid w:val="0036131C"/>
    <w:rsid w:val="0036266F"/>
    <w:rsid w:val="003632B8"/>
    <w:rsid w:val="0036359D"/>
    <w:rsid w:val="00364BE9"/>
    <w:rsid w:val="00365C39"/>
    <w:rsid w:val="0036707D"/>
    <w:rsid w:val="003707CA"/>
    <w:rsid w:val="00371E8B"/>
    <w:rsid w:val="00372264"/>
    <w:rsid w:val="0037232F"/>
    <w:rsid w:val="00373254"/>
    <w:rsid w:val="0037524B"/>
    <w:rsid w:val="00381C97"/>
    <w:rsid w:val="00382847"/>
    <w:rsid w:val="003829A0"/>
    <w:rsid w:val="0038357D"/>
    <w:rsid w:val="00385BA4"/>
    <w:rsid w:val="00387FD3"/>
    <w:rsid w:val="00392067"/>
    <w:rsid w:val="00393FE8"/>
    <w:rsid w:val="00394F7D"/>
    <w:rsid w:val="003969ED"/>
    <w:rsid w:val="003979C6"/>
    <w:rsid w:val="003A1794"/>
    <w:rsid w:val="003A1EE9"/>
    <w:rsid w:val="003A405A"/>
    <w:rsid w:val="003A6767"/>
    <w:rsid w:val="003B58BB"/>
    <w:rsid w:val="003B5EAE"/>
    <w:rsid w:val="003B78FC"/>
    <w:rsid w:val="003C0A80"/>
    <w:rsid w:val="003C4B8E"/>
    <w:rsid w:val="003C5B87"/>
    <w:rsid w:val="003C5BB6"/>
    <w:rsid w:val="003C62A8"/>
    <w:rsid w:val="003D072F"/>
    <w:rsid w:val="003D1F35"/>
    <w:rsid w:val="003D3EA0"/>
    <w:rsid w:val="003D5F6D"/>
    <w:rsid w:val="003E1876"/>
    <w:rsid w:val="003E18C3"/>
    <w:rsid w:val="003E3A15"/>
    <w:rsid w:val="003E44B6"/>
    <w:rsid w:val="003E52D0"/>
    <w:rsid w:val="003E74FE"/>
    <w:rsid w:val="003E75AE"/>
    <w:rsid w:val="003F0EC3"/>
    <w:rsid w:val="003F1734"/>
    <w:rsid w:val="003F1EE5"/>
    <w:rsid w:val="003F37D7"/>
    <w:rsid w:val="003F3DC0"/>
    <w:rsid w:val="003F532D"/>
    <w:rsid w:val="003F6B4B"/>
    <w:rsid w:val="003F7411"/>
    <w:rsid w:val="0040197A"/>
    <w:rsid w:val="0040235A"/>
    <w:rsid w:val="00404858"/>
    <w:rsid w:val="00406A6E"/>
    <w:rsid w:val="00407AD0"/>
    <w:rsid w:val="00410E70"/>
    <w:rsid w:val="00411585"/>
    <w:rsid w:val="00411BEA"/>
    <w:rsid w:val="004124B2"/>
    <w:rsid w:val="00412F4A"/>
    <w:rsid w:val="0041350E"/>
    <w:rsid w:val="004152A1"/>
    <w:rsid w:val="00415CA8"/>
    <w:rsid w:val="00420B87"/>
    <w:rsid w:val="004217D6"/>
    <w:rsid w:val="00422763"/>
    <w:rsid w:val="0042361A"/>
    <w:rsid w:val="00423902"/>
    <w:rsid w:val="00423A5F"/>
    <w:rsid w:val="004247B7"/>
    <w:rsid w:val="00426813"/>
    <w:rsid w:val="00426BB1"/>
    <w:rsid w:val="00431DB6"/>
    <w:rsid w:val="00431E78"/>
    <w:rsid w:val="004365FA"/>
    <w:rsid w:val="00436998"/>
    <w:rsid w:val="00437111"/>
    <w:rsid w:val="00437AB5"/>
    <w:rsid w:val="00441A52"/>
    <w:rsid w:val="00441A6C"/>
    <w:rsid w:val="004455B3"/>
    <w:rsid w:val="004479CB"/>
    <w:rsid w:val="00450B61"/>
    <w:rsid w:val="0045156C"/>
    <w:rsid w:val="004546B3"/>
    <w:rsid w:val="00455A18"/>
    <w:rsid w:val="004560AC"/>
    <w:rsid w:val="00460758"/>
    <w:rsid w:val="00460839"/>
    <w:rsid w:val="00461438"/>
    <w:rsid w:val="0046160E"/>
    <w:rsid w:val="0046582D"/>
    <w:rsid w:val="004672EE"/>
    <w:rsid w:val="0047032C"/>
    <w:rsid w:val="00473604"/>
    <w:rsid w:val="00473EE6"/>
    <w:rsid w:val="00474044"/>
    <w:rsid w:val="004744DB"/>
    <w:rsid w:val="004755AE"/>
    <w:rsid w:val="004756F4"/>
    <w:rsid w:val="00475A1E"/>
    <w:rsid w:val="00475C1D"/>
    <w:rsid w:val="00477567"/>
    <w:rsid w:val="004823A1"/>
    <w:rsid w:val="00487EC4"/>
    <w:rsid w:val="004939D3"/>
    <w:rsid w:val="00493C54"/>
    <w:rsid w:val="0049482B"/>
    <w:rsid w:val="00497183"/>
    <w:rsid w:val="004A0918"/>
    <w:rsid w:val="004A0FFA"/>
    <w:rsid w:val="004A5AA1"/>
    <w:rsid w:val="004A75E4"/>
    <w:rsid w:val="004B1FFF"/>
    <w:rsid w:val="004B347A"/>
    <w:rsid w:val="004B4201"/>
    <w:rsid w:val="004B481F"/>
    <w:rsid w:val="004B67B2"/>
    <w:rsid w:val="004C0072"/>
    <w:rsid w:val="004C08A5"/>
    <w:rsid w:val="004C0AD5"/>
    <w:rsid w:val="004C1B17"/>
    <w:rsid w:val="004C2304"/>
    <w:rsid w:val="004C2A23"/>
    <w:rsid w:val="004C2B6C"/>
    <w:rsid w:val="004C307C"/>
    <w:rsid w:val="004C426F"/>
    <w:rsid w:val="004D463C"/>
    <w:rsid w:val="004D7C97"/>
    <w:rsid w:val="004E075C"/>
    <w:rsid w:val="004E1E4A"/>
    <w:rsid w:val="004E2C9F"/>
    <w:rsid w:val="004E4555"/>
    <w:rsid w:val="004E612E"/>
    <w:rsid w:val="004E6ABC"/>
    <w:rsid w:val="004E73C0"/>
    <w:rsid w:val="004E7CFD"/>
    <w:rsid w:val="004F185B"/>
    <w:rsid w:val="004F2020"/>
    <w:rsid w:val="004F23C8"/>
    <w:rsid w:val="004F294C"/>
    <w:rsid w:val="004F4CDF"/>
    <w:rsid w:val="004F617B"/>
    <w:rsid w:val="004F6DCF"/>
    <w:rsid w:val="004F749E"/>
    <w:rsid w:val="004F7669"/>
    <w:rsid w:val="00501133"/>
    <w:rsid w:val="00501429"/>
    <w:rsid w:val="00503E30"/>
    <w:rsid w:val="0050421A"/>
    <w:rsid w:val="00505893"/>
    <w:rsid w:val="005058E0"/>
    <w:rsid w:val="00505ED0"/>
    <w:rsid w:val="005136AC"/>
    <w:rsid w:val="00514C0A"/>
    <w:rsid w:val="00515777"/>
    <w:rsid w:val="00517E82"/>
    <w:rsid w:val="00520829"/>
    <w:rsid w:val="00522778"/>
    <w:rsid w:val="00522A14"/>
    <w:rsid w:val="00524170"/>
    <w:rsid w:val="005263C4"/>
    <w:rsid w:val="005265FF"/>
    <w:rsid w:val="00526F99"/>
    <w:rsid w:val="00527657"/>
    <w:rsid w:val="00530903"/>
    <w:rsid w:val="00531AE8"/>
    <w:rsid w:val="00531EC4"/>
    <w:rsid w:val="0053361D"/>
    <w:rsid w:val="00535062"/>
    <w:rsid w:val="0053530D"/>
    <w:rsid w:val="0053720C"/>
    <w:rsid w:val="00537CB8"/>
    <w:rsid w:val="005434A6"/>
    <w:rsid w:val="0054542F"/>
    <w:rsid w:val="005471A0"/>
    <w:rsid w:val="00550C5C"/>
    <w:rsid w:val="00552C69"/>
    <w:rsid w:val="00555575"/>
    <w:rsid w:val="005570BA"/>
    <w:rsid w:val="00561665"/>
    <w:rsid w:val="0056294E"/>
    <w:rsid w:val="00565210"/>
    <w:rsid w:val="00565A04"/>
    <w:rsid w:val="00567528"/>
    <w:rsid w:val="00576B53"/>
    <w:rsid w:val="00586B31"/>
    <w:rsid w:val="00587292"/>
    <w:rsid w:val="005929B4"/>
    <w:rsid w:val="00595F93"/>
    <w:rsid w:val="005A1DB5"/>
    <w:rsid w:val="005A4D96"/>
    <w:rsid w:val="005A6D77"/>
    <w:rsid w:val="005A7093"/>
    <w:rsid w:val="005A7C46"/>
    <w:rsid w:val="005B1194"/>
    <w:rsid w:val="005B1AE9"/>
    <w:rsid w:val="005B2D7B"/>
    <w:rsid w:val="005B5A3C"/>
    <w:rsid w:val="005B703E"/>
    <w:rsid w:val="005C0A7D"/>
    <w:rsid w:val="005C1012"/>
    <w:rsid w:val="005C1440"/>
    <w:rsid w:val="005C284E"/>
    <w:rsid w:val="005C3A71"/>
    <w:rsid w:val="005C4BBB"/>
    <w:rsid w:val="005C7B69"/>
    <w:rsid w:val="005D28B0"/>
    <w:rsid w:val="005D3D84"/>
    <w:rsid w:val="005D55D8"/>
    <w:rsid w:val="005D6099"/>
    <w:rsid w:val="005D6706"/>
    <w:rsid w:val="005D6852"/>
    <w:rsid w:val="005E0029"/>
    <w:rsid w:val="005E1967"/>
    <w:rsid w:val="005E1BA0"/>
    <w:rsid w:val="005F0174"/>
    <w:rsid w:val="005F2993"/>
    <w:rsid w:val="005F37A4"/>
    <w:rsid w:val="005F3894"/>
    <w:rsid w:val="005F3F3D"/>
    <w:rsid w:val="005F4691"/>
    <w:rsid w:val="005F6324"/>
    <w:rsid w:val="005F7596"/>
    <w:rsid w:val="006019C3"/>
    <w:rsid w:val="00601C9D"/>
    <w:rsid w:val="006032DD"/>
    <w:rsid w:val="006046F3"/>
    <w:rsid w:val="00606051"/>
    <w:rsid w:val="00612313"/>
    <w:rsid w:val="00613747"/>
    <w:rsid w:val="00614EDD"/>
    <w:rsid w:val="00616C81"/>
    <w:rsid w:val="00622158"/>
    <w:rsid w:val="00622D9B"/>
    <w:rsid w:val="006236B4"/>
    <w:rsid w:val="00623787"/>
    <w:rsid w:val="006244E0"/>
    <w:rsid w:val="0062468A"/>
    <w:rsid w:val="00626C88"/>
    <w:rsid w:val="00626D13"/>
    <w:rsid w:val="00631E9A"/>
    <w:rsid w:val="00631F22"/>
    <w:rsid w:val="00633D13"/>
    <w:rsid w:val="00634924"/>
    <w:rsid w:val="00635C52"/>
    <w:rsid w:val="00636295"/>
    <w:rsid w:val="00640FAA"/>
    <w:rsid w:val="00641CEE"/>
    <w:rsid w:val="00642B29"/>
    <w:rsid w:val="00642DA5"/>
    <w:rsid w:val="00642E1E"/>
    <w:rsid w:val="0064338C"/>
    <w:rsid w:val="00643467"/>
    <w:rsid w:val="0064438F"/>
    <w:rsid w:val="00646035"/>
    <w:rsid w:val="006461C9"/>
    <w:rsid w:val="00646F24"/>
    <w:rsid w:val="00650DF3"/>
    <w:rsid w:val="00652400"/>
    <w:rsid w:val="00653A00"/>
    <w:rsid w:val="0066061A"/>
    <w:rsid w:val="006607A6"/>
    <w:rsid w:val="006612B3"/>
    <w:rsid w:val="0066282D"/>
    <w:rsid w:val="00663DCC"/>
    <w:rsid w:val="00664F21"/>
    <w:rsid w:val="006650B1"/>
    <w:rsid w:val="006654E2"/>
    <w:rsid w:val="006679F2"/>
    <w:rsid w:val="00667AC0"/>
    <w:rsid w:val="006711E6"/>
    <w:rsid w:val="006714D3"/>
    <w:rsid w:val="00671C86"/>
    <w:rsid w:val="006725E8"/>
    <w:rsid w:val="00677BD2"/>
    <w:rsid w:val="00677E15"/>
    <w:rsid w:val="00681398"/>
    <w:rsid w:val="00682700"/>
    <w:rsid w:val="006855DB"/>
    <w:rsid w:val="00686B5D"/>
    <w:rsid w:val="006906FD"/>
    <w:rsid w:val="00691B55"/>
    <w:rsid w:val="006922D7"/>
    <w:rsid w:val="00692810"/>
    <w:rsid w:val="006933EE"/>
    <w:rsid w:val="0069599C"/>
    <w:rsid w:val="00695A9C"/>
    <w:rsid w:val="00696848"/>
    <w:rsid w:val="006A14CE"/>
    <w:rsid w:val="006A3E5A"/>
    <w:rsid w:val="006A4575"/>
    <w:rsid w:val="006A470F"/>
    <w:rsid w:val="006A591A"/>
    <w:rsid w:val="006A6C27"/>
    <w:rsid w:val="006A6D16"/>
    <w:rsid w:val="006B160E"/>
    <w:rsid w:val="006B31A3"/>
    <w:rsid w:val="006B3DF3"/>
    <w:rsid w:val="006B4B49"/>
    <w:rsid w:val="006B4BB9"/>
    <w:rsid w:val="006B53BB"/>
    <w:rsid w:val="006B699C"/>
    <w:rsid w:val="006B6C70"/>
    <w:rsid w:val="006B770E"/>
    <w:rsid w:val="006C0FCF"/>
    <w:rsid w:val="006C50EE"/>
    <w:rsid w:val="006C54FA"/>
    <w:rsid w:val="006C5F4C"/>
    <w:rsid w:val="006C5FFC"/>
    <w:rsid w:val="006D00A4"/>
    <w:rsid w:val="006D0CB8"/>
    <w:rsid w:val="006D16E2"/>
    <w:rsid w:val="006D1EE1"/>
    <w:rsid w:val="006D2ED7"/>
    <w:rsid w:val="006D3976"/>
    <w:rsid w:val="006D534E"/>
    <w:rsid w:val="006D70C1"/>
    <w:rsid w:val="006D71AA"/>
    <w:rsid w:val="006E3072"/>
    <w:rsid w:val="006E4FA4"/>
    <w:rsid w:val="006E5499"/>
    <w:rsid w:val="006E5D09"/>
    <w:rsid w:val="006E5D2B"/>
    <w:rsid w:val="006E6377"/>
    <w:rsid w:val="006E73BF"/>
    <w:rsid w:val="006F021E"/>
    <w:rsid w:val="006F1820"/>
    <w:rsid w:val="006F25B2"/>
    <w:rsid w:val="006F2E86"/>
    <w:rsid w:val="006F483D"/>
    <w:rsid w:val="006F6017"/>
    <w:rsid w:val="00701D9F"/>
    <w:rsid w:val="00702C4F"/>
    <w:rsid w:val="00706EF1"/>
    <w:rsid w:val="007071EF"/>
    <w:rsid w:val="007110C3"/>
    <w:rsid w:val="00711204"/>
    <w:rsid w:val="00711D7D"/>
    <w:rsid w:val="007124F0"/>
    <w:rsid w:val="007129EC"/>
    <w:rsid w:val="00714952"/>
    <w:rsid w:val="00715ED1"/>
    <w:rsid w:val="007164D9"/>
    <w:rsid w:val="00716FF6"/>
    <w:rsid w:val="007174F1"/>
    <w:rsid w:val="007209C1"/>
    <w:rsid w:val="00720A59"/>
    <w:rsid w:val="0072221C"/>
    <w:rsid w:val="007236DE"/>
    <w:rsid w:val="00723E0A"/>
    <w:rsid w:val="00726964"/>
    <w:rsid w:val="00727924"/>
    <w:rsid w:val="00730223"/>
    <w:rsid w:val="00730F22"/>
    <w:rsid w:val="00731692"/>
    <w:rsid w:val="00733312"/>
    <w:rsid w:val="0073481D"/>
    <w:rsid w:val="00734FF6"/>
    <w:rsid w:val="0073576C"/>
    <w:rsid w:val="0073658A"/>
    <w:rsid w:val="00740007"/>
    <w:rsid w:val="00740BAC"/>
    <w:rsid w:val="00740CDE"/>
    <w:rsid w:val="00740DE7"/>
    <w:rsid w:val="007414ED"/>
    <w:rsid w:val="0074244B"/>
    <w:rsid w:val="00743ACF"/>
    <w:rsid w:val="0074448F"/>
    <w:rsid w:val="00747295"/>
    <w:rsid w:val="007504A0"/>
    <w:rsid w:val="007512AA"/>
    <w:rsid w:val="007525E1"/>
    <w:rsid w:val="00752FCF"/>
    <w:rsid w:val="007609BC"/>
    <w:rsid w:val="00764ED2"/>
    <w:rsid w:val="00764FF4"/>
    <w:rsid w:val="007665B0"/>
    <w:rsid w:val="00766611"/>
    <w:rsid w:val="00767014"/>
    <w:rsid w:val="00767F8B"/>
    <w:rsid w:val="00770333"/>
    <w:rsid w:val="00771B04"/>
    <w:rsid w:val="007741A2"/>
    <w:rsid w:val="007743BB"/>
    <w:rsid w:val="00777CBF"/>
    <w:rsid w:val="00777D9B"/>
    <w:rsid w:val="00780577"/>
    <w:rsid w:val="007830C8"/>
    <w:rsid w:val="00784432"/>
    <w:rsid w:val="007849C7"/>
    <w:rsid w:val="00786101"/>
    <w:rsid w:val="00786547"/>
    <w:rsid w:val="007879D6"/>
    <w:rsid w:val="00790B09"/>
    <w:rsid w:val="007920E6"/>
    <w:rsid w:val="00792C51"/>
    <w:rsid w:val="00792CCC"/>
    <w:rsid w:val="00793A3A"/>
    <w:rsid w:val="0079478B"/>
    <w:rsid w:val="00796211"/>
    <w:rsid w:val="00797D2C"/>
    <w:rsid w:val="007A13F6"/>
    <w:rsid w:val="007A187E"/>
    <w:rsid w:val="007A1AA9"/>
    <w:rsid w:val="007A2C86"/>
    <w:rsid w:val="007A35DA"/>
    <w:rsid w:val="007A39AE"/>
    <w:rsid w:val="007A40FD"/>
    <w:rsid w:val="007A421E"/>
    <w:rsid w:val="007A469B"/>
    <w:rsid w:val="007A4786"/>
    <w:rsid w:val="007A5415"/>
    <w:rsid w:val="007A5B34"/>
    <w:rsid w:val="007A615C"/>
    <w:rsid w:val="007A62A2"/>
    <w:rsid w:val="007B1999"/>
    <w:rsid w:val="007B1D2C"/>
    <w:rsid w:val="007B47C4"/>
    <w:rsid w:val="007B5070"/>
    <w:rsid w:val="007B667C"/>
    <w:rsid w:val="007B69B1"/>
    <w:rsid w:val="007B77E3"/>
    <w:rsid w:val="007B7E1B"/>
    <w:rsid w:val="007C1794"/>
    <w:rsid w:val="007C1FDD"/>
    <w:rsid w:val="007C434F"/>
    <w:rsid w:val="007D1094"/>
    <w:rsid w:val="007D1993"/>
    <w:rsid w:val="007D2C9B"/>
    <w:rsid w:val="007D3AB6"/>
    <w:rsid w:val="007D3B7B"/>
    <w:rsid w:val="007D42FD"/>
    <w:rsid w:val="007D4D1D"/>
    <w:rsid w:val="007D73B8"/>
    <w:rsid w:val="007E1BDE"/>
    <w:rsid w:val="007E416E"/>
    <w:rsid w:val="007E4F26"/>
    <w:rsid w:val="007E6D06"/>
    <w:rsid w:val="007F0ECD"/>
    <w:rsid w:val="007F599C"/>
    <w:rsid w:val="00800A2F"/>
    <w:rsid w:val="00803997"/>
    <w:rsid w:val="0080433F"/>
    <w:rsid w:val="0080608F"/>
    <w:rsid w:val="008076DD"/>
    <w:rsid w:val="00812534"/>
    <w:rsid w:val="00812D33"/>
    <w:rsid w:val="00813CEF"/>
    <w:rsid w:val="00814A7E"/>
    <w:rsid w:val="00814C59"/>
    <w:rsid w:val="008208C6"/>
    <w:rsid w:val="00833BC1"/>
    <w:rsid w:val="00834D1B"/>
    <w:rsid w:val="00836735"/>
    <w:rsid w:val="00842CE8"/>
    <w:rsid w:val="00843DFE"/>
    <w:rsid w:val="008448EA"/>
    <w:rsid w:val="008450E5"/>
    <w:rsid w:val="00846D3C"/>
    <w:rsid w:val="00850F58"/>
    <w:rsid w:val="008511AB"/>
    <w:rsid w:val="00851D08"/>
    <w:rsid w:val="0085324C"/>
    <w:rsid w:val="00854754"/>
    <w:rsid w:val="00855C5B"/>
    <w:rsid w:val="00860269"/>
    <w:rsid w:val="00860828"/>
    <w:rsid w:val="0086092B"/>
    <w:rsid w:val="00861692"/>
    <w:rsid w:val="00861849"/>
    <w:rsid w:val="00862B5E"/>
    <w:rsid w:val="00864E15"/>
    <w:rsid w:val="00865022"/>
    <w:rsid w:val="00865169"/>
    <w:rsid w:val="0086562A"/>
    <w:rsid w:val="008720EF"/>
    <w:rsid w:val="008736B6"/>
    <w:rsid w:val="008746C9"/>
    <w:rsid w:val="0087529C"/>
    <w:rsid w:val="00875EE4"/>
    <w:rsid w:val="00876A3C"/>
    <w:rsid w:val="00877315"/>
    <w:rsid w:val="00877A24"/>
    <w:rsid w:val="00880271"/>
    <w:rsid w:val="0088144D"/>
    <w:rsid w:val="00883315"/>
    <w:rsid w:val="0088771A"/>
    <w:rsid w:val="00887726"/>
    <w:rsid w:val="00891ADF"/>
    <w:rsid w:val="008932E6"/>
    <w:rsid w:val="008969B9"/>
    <w:rsid w:val="00896F79"/>
    <w:rsid w:val="008970B2"/>
    <w:rsid w:val="008A01F2"/>
    <w:rsid w:val="008A1933"/>
    <w:rsid w:val="008A4757"/>
    <w:rsid w:val="008A59E2"/>
    <w:rsid w:val="008A6808"/>
    <w:rsid w:val="008A6F86"/>
    <w:rsid w:val="008A6F88"/>
    <w:rsid w:val="008A7C7E"/>
    <w:rsid w:val="008B04D9"/>
    <w:rsid w:val="008B15BD"/>
    <w:rsid w:val="008B1627"/>
    <w:rsid w:val="008B1F63"/>
    <w:rsid w:val="008B28F1"/>
    <w:rsid w:val="008B2E64"/>
    <w:rsid w:val="008B51CA"/>
    <w:rsid w:val="008B567B"/>
    <w:rsid w:val="008B6796"/>
    <w:rsid w:val="008B79BE"/>
    <w:rsid w:val="008B7A59"/>
    <w:rsid w:val="008B7FCC"/>
    <w:rsid w:val="008C0D96"/>
    <w:rsid w:val="008C19F8"/>
    <w:rsid w:val="008C2745"/>
    <w:rsid w:val="008C2F7E"/>
    <w:rsid w:val="008C3CB2"/>
    <w:rsid w:val="008C637F"/>
    <w:rsid w:val="008C75A9"/>
    <w:rsid w:val="008C76B3"/>
    <w:rsid w:val="008C7BD1"/>
    <w:rsid w:val="008D19C1"/>
    <w:rsid w:val="008D572D"/>
    <w:rsid w:val="008D5831"/>
    <w:rsid w:val="008D724A"/>
    <w:rsid w:val="008D7E10"/>
    <w:rsid w:val="008E028E"/>
    <w:rsid w:val="008E045B"/>
    <w:rsid w:val="008F1C64"/>
    <w:rsid w:val="008F3413"/>
    <w:rsid w:val="008F503B"/>
    <w:rsid w:val="008F5402"/>
    <w:rsid w:val="008F585F"/>
    <w:rsid w:val="008F5D94"/>
    <w:rsid w:val="008F6B03"/>
    <w:rsid w:val="008F7815"/>
    <w:rsid w:val="009012E9"/>
    <w:rsid w:val="00903A27"/>
    <w:rsid w:val="00903F99"/>
    <w:rsid w:val="0090411D"/>
    <w:rsid w:val="009075BA"/>
    <w:rsid w:val="00907FF9"/>
    <w:rsid w:val="0091054E"/>
    <w:rsid w:val="0091076A"/>
    <w:rsid w:val="0091446D"/>
    <w:rsid w:val="009169A1"/>
    <w:rsid w:val="0091765A"/>
    <w:rsid w:val="009229CB"/>
    <w:rsid w:val="00923503"/>
    <w:rsid w:val="00924777"/>
    <w:rsid w:val="00925B0E"/>
    <w:rsid w:val="00927D0E"/>
    <w:rsid w:val="00930473"/>
    <w:rsid w:val="00930589"/>
    <w:rsid w:val="009332C6"/>
    <w:rsid w:val="00934774"/>
    <w:rsid w:val="00937427"/>
    <w:rsid w:val="0093781D"/>
    <w:rsid w:val="00937B78"/>
    <w:rsid w:val="009423B4"/>
    <w:rsid w:val="0094550F"/>
    <w:rsid w:val="00945533"/>
    <w:rsid w:val="009468C6"/>
    <w:rsid w:val="00950524"/>
    <w:rsid w:val="00950D55"/>
    <w:rsid w:val="0095233A"/>
    <w:rsid w:val="0095338A"/>
    <w:rsid w:val="00955C1D"/>
    <w:rsid w:val="009578F6"/>
    <w:rsid w:val="00957B36"/>
    <w:rsid w:val="009618E4"/>
    <w:rsid w:val="00962DA3"/>
    <w:rsid w:val="00963596"/>
    <w:rsid w:val="00964AD8"/>
    <w:rsid w:val="00965DBE"/>
    <w:rsid w:val="00967196"/>
    <w:rsid w:val="00967D6A"/>
    <w:rsid w:val="009703E3"/>
    <w:rsid w:val="009737A2"/>
    <w:rsid w:val="009743AE"/>
    <w:rsid w:val="009774A4"/>
    <w:rsid w:val="00977B40"/>
    <w:rsid w:val="00980B1B"/>
    <w:rsid w:val="009817D4"/>
    <w:rsid w:val="009821E0"/>
    <w:rsid w:val="00983664"/>
    <w:rsid w:val="00985693"/>
    <w:rsid w:val="009864F1"/>
    <w:rsid w:val="009866C3"/>
    <w:rsid w:val="00991971"/>
    <w:rsid w:val="00993989"/>
    <w:rsid w:val="00995352"/>
    <w:rsid w:val="00997FE0"/>
    <w:rsid w:val="009A00CB"/>
    <w:rsid w:val="009A107B"/>
    <w:rsid w:val="009B35B8"/>
    <w:rsid w:val="009B4632"/>
    <w:rsid w:val="009B52BD"/>
    <w:rsid w:val="009B5943"/>
    <w:rsid w:val="009C660A"/>
    <w:rsid w:val="009C6945"/>
    <w:rsid w:val="009C6A68"/>
    <w:rsid w:val="009C73C4"/>
    <w:rsid w:val="009D02E8"/>
    <w:rsid w:val="009D08C4"/>
    <w:rsid w:val="009D0CEB"/>
    <w:rsid w:val="009D16C6"/>
    <w:rsid w:val="009D2234"/>
    <w:rsid w:val="009D32F6"/>
    <w:rsid w:val="009D3F7C"/>
    <w:rsid w:val="009D5DF1"/>
    <w:rsid w:val="009D5FAB"/>
    <w:rsid w:val="009E05EB"/>
    <w:rsid w:val="009E093F"/>
    <w:rsid w:val="009E141C"/>
    <w:rsid w:val="009E2C9D"/>
    <w:rsid w:val="009E4B57"/>
    <w:rsid w:val="009E502C"/>
    <w:rsid w:val="009E6850"/>
    <w:rsid w:val="009E741F"/>
    <w:rsid w:val="009E77BE"/>
    <w:rsid w:val="009F0947"/>
    <w:rsid w:val="009F0BB5"/>
    <w:rsid w:val="009F4AE2"/>
    <w:rsid w:val="009F7648"/>
    <w:rsid w:val="009F7D10"/>
    <w:rsid w:val="00A00594"/>
    <w:rsid w:val="00A01115"/>
    <w:rsid w:val="00A0176B"/>
    <w:rsid w:val="00A02014"/>
    <w:rsid w:val="00A032C4"/>
    <w:rsid w:val="00A061D1"/>
    <w:rsid w:val="00A073CC"/>
    <w:rsid w:val="00A10F2D"/>
    <w:rsid w:val="00A16626"/>
    <w:rsid w:val="00A213D5"/>
    <w:rsid w:val="00A21A32"/>
    <w:rsid w:val="00A21FEA"/>
    <w:rsid w:val="00A222E8"/>
    <w:rsid w:val="00A2343E"/>
    <w:rsid w:val="00A2362E"/>
    <w:rsid w:val="00A23F13"/>
    <w:rsid w:val="00A23FA1"/>
    <w:rsid w:val="00A27823"/>
    <w:rsid w:val="00A27A8B"/>
    <w:rsid w:val="00A32AF8"/>
    <w:rsid w:val="00A37F32"/>
    <w:rsid w:val="00A41653"/>
    <w:rsid w:val="00A42009"/>
    <w:rsid w:val="00A421E7"/>
    <w:rsid w:val="00A424FD"/>
    <w:rsid w:val="00A434AC"/>
    <w:rsid w:val="00A4484A"/>
    <w:rsid w:val="00A448AF"/>
    <w:rsid w:val="00A452C6"/>
    <w:rsid w:val="00A46F63"/>
    <w:rsid w:val="00A477A8"/>
    <w:rsid w:val="00A529E9"/>
    <w:rsid w:val="00A545EF"/>
    <w:rsid w:val="00A56FD5"/>
    <w:rsid w:val="00A57049"/>
    <w:rsid w:val="00A57128"/>
    <w:rsid w:val="00A5748B"/>
    <w:rsid w:val="00A60012"/>
    <w:rsid w:val="00A61BAF"/>
    <w:rsid w:val="00A62A45"/>
    <w:rsid w:val="00A6410D"/>
    <w:rsid w:val="00A648F7"/>
    <w:rsid w:val="00A65DD0"/>
    <w:rsid w:val="00A66251"/>
    <w:rsid w:val="00A666DE"/>
    <w:rsid w:val="00A71702"/>
    <w:rsid w:val="00A801F7"/>
    <w:rsid w:val="00A825B3"/>
    <w:rsid w:val="00A83C2E"/>
    <w:rsid w:val="00A84BDA"/>
    <w:rsid w:val="00A8512D"/>
    <w:rsid w:val="00A85965"/>
    <w:rsid w:val="00A85A1B"/>
    <w:rsid w:val="00A85AA4"/>
    <w:rsid w:val="00A92C70"/>
    <w:rsid w:val="00A9347D"/>
    <w:rsid w:val="00A9749A"/>
    <w:rsid w:val="00AA237B"/>
    <w:rsid w:val="00AA27AA"/>
    <w:rsid w:val="00AA3279"/>
    <w:rsid w:val="00AA6622"/>
    <w:rsid w:val="00AB11FF"/>
    <w:rsid w:val="00AB21C5"/>
    <w:rsid w:val="00AB29FE"/>
    <w:rsid w:val="00AB30EB"/>
    <w:rsid w:val="00AB45B7"/>
    <w:rsid w:val="00AB467A"/>
    <w:rsid w:val="00AB46CD"/>
    <w:rsid w:val="00AC0063"/>
    <w:rsid w:val="00AC03FA"/>
    <w:rsid w:val="00AC0926"/>
    <w:rsid w:val="00AC3057"/>
    <w:rsid w:val="00AC3816"/>
    <w:rsid w:val="00AC6726"/>
    <w:rsid w:val="00AD13BA"/>
    <w:rsid w:val="00AD21D8"/>
    <w:rsid w:val="00AD4528"/>
    <w:rsid w:val="00AD5B1E"/>
    <w:rsid w:val="00AD64D8"/>
    <w:rsid w:val="00AD664A"/>
    <w:rsid w:val="00AD68E9"/>
    <w:rsid w:val="00AD6D2F"/>
    <w:rsid w:val="00AD6ECB"/>
    <w:rsid w:val="00AD777D"/>
    <w:rsid w:val="00AE1020"/>
    <w:rsid w:val="00AE1314"/>
    <w:rsid w:val="00AE2036"/>
    <w:rsid w:val="00AE2A4A"/>
    <w:rsid w:val="00AE38F9"/>
    <w:rsid w:val="00AE43CB"/>
    <w:rsid w:val="00AE5BF4"/>
    <w:rsid w:val="00AE7679"/>
    <w:rsid w:val="00AF142D"/>
    <w:rsid w:val="00AF36B2"/>
    <w:rsid w:val="00B00EC2"/>
    <w:rsid w:val="00B02483"/>
    <w:rsid w:val="00B0253E"/>
    <w:rsid w:val="00B02717"/>
    <w:rsid w:val="00B02824"/>
    <w:rsid w:val="00B02ECB"/>
    <w:rsid w:val="00B04717"/>
    <w:rsid w:val="00B06B5A"/>
    <w:rsid w:val="00B1082D"/>
    <w:rsid w:val="00B11421"/>
    <w:rsid w:val="00B12FFA"/>
    <w:rsid w:val="00B13C28"/>
    <w:rsid w:val="00B13F8C"/>
    <w:rsid w:val="00B143EB"/>
    <w:rsid w:val="00B144FE"/>
    <w:rsid w:val="00B150D2"/>
    <w:rsid w:val="00B16141"/>
    <w:rsid w:val="00B171C8"/>
    <w:rsid w:val="00B20BCE"/>
    <w:rsid w:val="00B21354"/>
    <w:rsid w:val="00B228B4"/>
    <w:rsid w:val="00B22A9E"/>
    <w:rsid w:val="00B23B19"/>
    <w:rsid w:val="00B24A68"/>
    <w:rsid w:val="00B2541C"/>
    <w:rsid w:val="00B25ED8"/>
    <w:rsid w:val="00B26745"/>
    <w:rsid w:val="00B2705D"/>
    <w:rsid w:val="00B33151"/>
    <w:rsid w:val="00B3377D"/>
    <w:rsid w:val="00B33F3B"/>
    <w:rsid w:val="00B3430E"/>
    <w:rsid w:val="00B34981"/>
    <w:rsid w:val="00B3547B"/>
    <w:rsid w:val="00B356D5"/>
    <w:rsid w:val="00B360D6"/>
    <w:rsid w:val="00B36A81"/>
    <w:rsid w:val="00B37D40"/>
    <w:rsid w:val="00B41000"/>
    <w:rsid w:val="00B4189C"/>
    <w:rsid w:val="00B41D7D"/>
    <w:rsid w:val="00B435C2"/>
    <w:rsid w:val="00B452A3"/>
    <w:rsid w:val="00B45668"/>
    <w:rsid w:val="00B46F09"/>
    <w:rsid w:val="00B538B3"/>
    <w:rsid w:val="00B53FA0"/>
    <w:rsid w:val="00B55C9E"/>
    <w:rsid w:val="00B56BDF"/>
    <w:rsid w:val="00B56FFD"/>
    <w:rsid w:val="00B64639"/>
    <w:rsid w:val="00B66A20"/>
    <w:rsid w:val="00B66DFA"/>
    <w:rsid w:val="00B7000A"/>
    <w:rsid w:val="00B70B10"/>
    <w:rsid w:val="00B70D3D"/>
    <w:rsid w:val="00B70FA1"/>
    <w:rsid w:val="00B74BFC"/>
    <w:rsid w:val="00B75401"/>
    <w:rsid w:val="00B77092"/>
    <w:rsid w:val="00B772C7"/>
    <w:rsid w:val="00B776A4"/>
    <w:rsid w:val="00B80B9E"/>
    <w:rsid w:val="00B84383"/>
    <w:rsid w:val="00B84C5E"/>
    <w:rsid w:val="00B867AF"/>
    <w:rsid w:val="00B872F3"/>
    <w:rsid w:val="00B9048C"/>
    <w:rsid w:val="00B90BCD"/>
    <w:rsid w:val="00B94B0D"/>
    <w:rsid w:val="00B94D48"/>
    <w:rsid w:val="00B96775"/>
    <w:rsid w:val="00B96F4A"/>
    <w:rsid w:val="00B97A87"/>
    <w:rsid w:val="00B97AEA"/>
    <w:rsid w:val="00B97FDF"/>
    <w:rsid w:val="00BA06DD"/>
    <w:rsid w:val="00BA2565"/>
    <w:rsid w:val="00BA26D4"/>
    <w:rsid w:val="00BA2B73"/>
    <w:rsid w:val="00BA388C"/>
    <w:rsid w:val="00BA44C0"/>
    <w:rsid w:val="00BA507F"/>
    <w:rsid w:val="00BA5B2C"/>
    <w:rsid w:val="00BA607A"/>
    <w:rsid w:val="00BA78BA"/>
    <w:rsid w:val="00BB12DD"/>
    <w:rsid w:val="00BB3C7E"/>
    <w:rsid w:val="00BB3E64"/>
    <w:rsid w:val="00BB4200"/>
    <w:rsid w:val="00BB64FC"/>
    <w:rsid w:val="00BB74E8"/>
    <w:rsid w:val="00BB7500"/>
    <w:rsid w:val="00BB7D40"/>
    <w:rsid w:val="00BC0C02"/>
    <w:rsid w:val="00BC1094"/>
    <w:rsid w:val="00BC34C9"/>
    <w:rsid w:val="00BC601D"/>
    <w:rsid w:val="00BC7868"/>
    <w:rsid w:val="00BC7986"/>
    <w:rsid w:val="00BD0E70"/>
    <w:rsid w:val="00BD47E1"/>
    <w:rsid w:val="00BD66D3"/>
    <w:rsid w:val="00BD79A5"/>
    <w:rsid w:val="00BE43F0"/>
    <w:rsid w:val="00BE4E10"/>
    <w:rsid w:val="00BE53D4"/>
    <w:rsid w:val="00BE5647"/>
    <w:rsid w:val="00BE7B8D"/>
    <w:rsid w:val="00BF3FCA"/>
    <w:rsid w:val="00BF44B7"/>
    <w:rsid w:val="00BF47F2"/>
    <w:rsid w:val="00BF5B3E"/>
    <w:rsid w:val="00BF6014"/>
    <w:rsid w:val="00BF607B"/>
    <w:rsid w:val="00BF65F2"/>
    <w:rsid w:val="00BF7B52"/>
    <w:rsid w:val="00C008F7"/>
    <w:rsid w:val="00C01B87"/>
    <w:rsid w:val="00C044F1"/>
    <w:rsid w:val="00C045E7"/>
    <w:rsid w:val="00C05E36"/>
    <w:rsid w:val="00C075D7"/>
    <w:rsid w:val="00C07A96"/>
    <w:rsid w:val="00C10000"/>
    <w:rsid w:val="00C1044D"/>
    <w:rsid w:val="00C11439"/>
    <w:rsid w:val="00C13953"/>
    <w:rsid w:val="00C15451"/>
    <w:rsid w:val="00C15595"/>
    <w:rsid w:val="00C15C1A"/>
    <w:rsid w:val="00C166CD"/>
    <w:rsid w:val="00C16B2A"/>
    <w:rsid w:val="00C16B33"/>
    <w:rsid w:val="00C1790C"/>
    <w:rsid w:val="00C203CB"/>
    <w:rsid w:val="00C213DB"/>
    <w:rsid w:val="00C23082"/>
    <w:rsid w:val="00C231D1"/>
    <w:rsid w:val="00C23562"/>
    <w:rsid w:val="00C23A79"/>
    <w:rsid w:val="00C23CB8"/>
    <w:rsid w:val="00C255E4"/>
    <w:rsid w:val="00C26B4E"/>
    <w:rsid w:val="00C276D0"/>
    <w:rsid w:val="00C3339F"/>
    <w:rsid w:val="00C34EE9"/>
    <w:rsid w:val="00C352E7"/>
    <w:rsid w:val="00C36E64"/>
    <w:rsid w:val="00C40963"/>
    <w:rsid w:val="00C433E7"/>
    <w:rsid w:val="00C43528"/>
    <w:rsid w:val="00C4553B"/>
    <w:rsid w:val="00C46656"/>
    <w:rsid w:val="00C47EC6"/>
    <w:rsid w:val="00C5163F"/>
    <w:rsid w:val="00C52A95"/>
    <w:rsid w:val="00C52F21"/>
    <w:rsid w:val="00C54573"/>
    <w:rsid w:val="00C553BF"/>
    <w:rsid w:val="00C56782"/>
    <w:rsid w:val="00C57F8B"/>
    <w:rsid w:val="00C602DB"/>
    <w:rsid w:val="00C60AEC"/>
    <w:rsid w:val="00C619C2"/>
    <w:rsid w:val="00C62797"/>
    <w:rsid w:val="00C62E3B"/>
    <w:rsid w:val="00C63B64"/>
    <w:rsid w:val="00C63C48"/>
    <w:rsid w:val="00C65109"/>
    <w:rsid w:val="00C65293"/>
    <w:rsid w:val="00C6552D"/>
    <w:rsid w:val="00C65AE6"/>
    <w:rsid w:val="00C6626F"/>
    <w:rsid w:val="00C7150F"/>
    <w:rsid w:val="00C74859"/>
    <w:rsid w:val="00C75F73"/>
    <w:rsid w:val="00C777CC"/>
    <w:rsid w:val="00C8099A"/>
    <w:rsid w:val="00C80FAD"/>
    <w:rsid w:val="00C83042"/>
    <w:rsid w:val="00C83787"/>
    <w:rsid w:val="00C866A6"/>
    <w:rsid w:val="00C90FBE"/>
    <w:rsid w:val="00C92B1B"/>
    <w:rsid w:val="00CA1A2E"/>
    <w:rsid w:val="00CA1BE2"/>
    <w:rsid w:val="00CA2C19"/>
    <w:rsid w:val="00CA32A1"/>
    <w:rsid w:val="00CB4445"/>
    <w:rsid w:val="00CB5731"/>
    <w:rsid w:val="00CB5860"/>
    <w:rsid w:val="00CB607A"/>
    <w:rsid w:val="00CB6B22"/>
    <w:rsid w:val="00CB6EA8"/>
    <w:rsid w:val="00CB72CE"/>
    <w:rsid w:val="00CB7D4C"/>
    <w:rsid w:val="00CC4457"/>
    <w:rsid w:val="00CC55F4"/>
    <w:rsid w:val="00CC66EE"/>
    <w:rsid w:val="00CC79A3"/>
    <w:rsid w:val="00CD129B"/>
    <w:rsid w:val="00CD1458"/>
    <w:rsid w:val="00CD368E"/>
    <w:rsid w:val="00CD3C50"/>
    <w:rsid w:val="00CD4527"/>
    <w:rsid w:val="00CD4F74"/>
    <w:rsid w:val="00CD5553"/>
    <w:rsid w:val="00CD7D13"/>
    <w:rsid w:val="00CE44FA"/>
    <w:rsid w:val="00CE4669"/>
    <w:rsid w:val="00CE573F"/>
    <w:rsid w:val="00CF1BE4"/>
    <w:rsid w:val="00CF2CF6"/>
    <w:rsid w:val="00CF33CA"/>
    <w:rsid w:val="00CF33E1"/>
    <w:rsid w:val="00CF44F5"/>
    <w:rsid w:val="00CF6C5C"/>
    <w:rsid w:val="00CF78D1"/>
    <w:rsid w:val="00D00F00"/>
    <w:rsid w:val="00D01E09"/>
    <w:rsid w:val="00D0257F"/>
    <w:rsid w:val="00D02D5A"/>
    <w:rsid w:val="00D02F77"/>
    <w:rsid w:val="00D02FEA"/>
    <w:rsid w:val="00D03309"/>
    <w:rsid w:val="00D038FE"/>
    <w:rsid w:val="00D03AD7"/>
    <w:rsid w:val="00D0593A"/>
    <w:rsid w:val="00D0657D"/>
    <w:rsid w:val="00D104AE"/>
    <w:rsid w:val="00D11B1F"/>
    <w:rsid w:val="00D11F79"/>
    <w:rsid w:val="00D13688"/>
    <w:rsid w:val="00D1421B"/>
    <w:rsid w:val="00D14F02"/>
    <w:rsid w:val="00D15577"/>
    <w:rsid w:val="00D15C32"/>
    <w:rsid w:val="00D16251"/>
    <w:rsid w:val="00D16EAC"/>
    <w:rsid w:val="00D20FEE"/>
    <w:rsid w:val="00D210DE"/>
    <w:rsid w:val="00D21E9D"/>
    <w:rsid w:val="00D23115"/>
    <w:rsid w:val="00D23367"/>
    <w:rsid w:val="00D23C33"/>
    <w:rsid w:val="00D253CA"/>
    <w:rsid w:val="00D25A65"/>
    <w:rsid w:val="00D26E01"/>
    <w:rsid w:val="00D3510F"/>
    <w:rsid w:val="00D359E0"/>
    <w:rsid w:val="00D37A1E"/>
    <w:rsid w:val="00D41427"/>
    <w:rsid w:val="00D43AA4"/>
    <w:rsid w:val="00D43EDC"/>
    <w:rsid w:val="00D43F43"/>
    <w:rsid w:val="00D45E6C"/>
    <w:rsid w:val="00D46778"/>
    <w:rsid w:val="00D46C1C"/>
    <w:rsid w:val="00D47619"/>
    <w:rsid w:val="00D47CAC"/>
    <w:rsid w:val="00D52453"/>
    <w:rsid w:val="00D557A7"/>
    <w:rsid w:val="00D5633E"/>
    <w:rsid w:val="00D6023E"/>
    <w:rsid w:val="00D60E05"/>
    <w:rsid w:val="00D620E3"/>
    <w:rsid w:val="00D63170"/>
    <w:rsid w:val="00D63178"/>
    <w:rsid w:val="00D71C47"/>
    <w:rsid w:val="00D72A8D"/>
    <w:rsid w:val="00D72AAC"/>
    <w:rsid w:val="00D73B12"/>
    <w:rsid w:val="00D74517"/>
    <w:rsid w:val="00D74C8B"/>
    <w:rsid w:val="00D770EE"/>
    <w:rsid w:val="00D80172"/>
    <w:rsid w:val="00D806D2"/>
    <w:rsid w:val="00D81037"/>
    <w:rsid w:val="00D85774"/>
    <w:rsid w:val="00D85F66"/>
    <w:rsid w:val="00D87F28"/>
    <w:rsid w:val="00D90EE9"/>
    <w:rsid w:val="00D91667"/>
    <w:rsid w:val="00D92264"/>
    <w:rsid w:val="00D92B04"/>
    <w:rsid w:val="00D9374B"/>
    <w:rsid w:val="00D9507A"/>
    <w:rsid w:val="00D96174"/>
    <w:rsid w:val="00D97F8F"/>
    <w:rsid w:val="00DA20BE"/>
    <w:rsid w:val="00DA31A8"/>
    <w:rsid w:val="00DA367D"/>
    <w:rsid w:val="00DA39AB"/>
    <w:rsid w:val="00DA3FAD"/>
    <w:rsid w:val="00DA44F7"/>
    <w:rsid w:val="00DA45BE"/>
    <w:rsid w:val="00DA5ED6"/>
    <w:rsid w:val="00DA6E21"/>
    <w:rsid w:val="00DB3184"/>
    <w:rsid w:val="00DB3F50"/>
    <w:rsid w:val="00DC0319"/>
    <w:rsid w:val="00DC3754"/>
    <w:rsid w:val="00DC5844"/>
    <w:rsid w:val="00DC6455"/>
    <w:rsid w:val="00DC7624"/>
    <w:rsid w:val="00DD089B"/>
    <w:rsid w:val="00DD231D"/>
    <w:rsid w:val="00DD71E9"/>
    <w:rsid w:val="00DD79D0"/>
    <w:rsid w:val="00DD7D0E"/>
    <w:rsid w:val="00DE3B46"/>
    <w:rsid w:val="00DE40B3"/>
    <w:rsid w:val="00DE4DA6"/>
    <w:rsid w:val="00DE6091"/>
    <w:rsid w:val="00DE7517"/>
    <w:rsid w:val="00DF0933"/>
    <w:rsid w:val="00DF0DB9"/>
    <w:rsid w:val="00DF19C0"/>
    <w:rsid w:val="00DF3034"/>
    <w:rsid w:val="00DF3DDE"/>
    <w:rsid w:val="00DF538C"/>
    <w:rsid w:val="00DF7E35"/>
    <w:rsid w:val="00E00131"/>
    <w:rsid w:val="00E00576"/>
    <w:rsid w:val="00E00B93"/>
    <w:rsid w:val="00E01FD8"/>
    <w:rsid w:val="00E077DF"/>
    <w:rsid w:val="00E12DEF"/>
    <w:rsid w:val="00E15B51"/>
    <w:rsid w:val="00E20046"/>
    <w:rsid w:val="00E21686"/>
    <w:rsid w:val="00E2211B"/>
    <w:rsid w:val="00E22A5B"/>
    <w:rsid w:val="00E23A42"/>
    <w:rsid w:val="00E24019"/>
    <w:rsid w:val="00E273DF"/>
    <w:rsid w:val="00E27E4D"/>
    <w:rsid w:val="00E32724"/>
    <w:rsid w:val="00E359EB"/>
    <w:rsid w:val="00E361AB"/>
    <w:rsid w:val="00E36C28"/>
    <w:rsid w:val="00E3734B"/>
    <w:rsid w:val="00E41E7C"/>
    <w:rsid w:val="00E45D20"/>
    <w:rsid w:val="00E462A1"/>
    <w:rsid w:val="00E46782"/>
    <w:rsid w:val="00E51D7C"/>
    <w:rsid w:val="00E52320"/>
    <w:rsid w:val="00E53712"/>
    <w:rsid w:val="00E55005"/>
    <w:rsid w:val="00E55A5A"/>
    <w:rsid w:val="00E56826"/>
    <w:rsid w:val="00E62281"/>
    <w:rsid w:val="00E63622"/>
    <w:rsid w:val="00E652D7"/>
    <w:rsid w:val="00E663A5"/>
    <w:rsid w:val="00E6712C"/>
    <w:rsid w:val="00E6783C"/>
    <w:rsid w:val="00E721A9"/>
    <w:rsid w:val="00E75BFB"/>
    <w:rsid w:val="00E772C1"/>
    <w:rsid w:val="00E81195"/>
    <w:rsid w:val="00E815FE"/>
    <w:rsid w:val="00E82EE0"/>
    <w:rsid w:val="00E84692"/>
    <w:rsid w:val="00E84730"/>
    <w:rsid w:val="00E84D7B"/>
    <w:rsid w:val="00E84F67"/>
    <w:rsid w:val="00E8556A"/>
    <w:rsid w:val="00E85700"/>
    <w:rsid w:val="00E85E09"/>
    <w:rsid w:val="00E9042F"/>
    <w:rsid w:val="00E9382B"/>
    <w:rsid w:val="00E944C5"/>
    <w:rsid w:val="00E94EBF"/>
    <w:rsid w:val="00E96904"/>
    <w:rsid w:val="00E97CBD"/>
    <w:rsid w:val="00EA13B2"/>
    <w:rsid w:val="00EA2FAB"/>
    <w:rsid w:val="00EA679F"/>
    <w:rsid w:val="00EA6D7B"/>
    <w:rsid w:val="00EB2DA0"/>
    <w:rsid w:val="00EB3F54"/>
    <w:rsid w:val="00EB42CE"/>
    <w:rsid w:val="00EB5466"/>
    <w:rsid w:val="00EB577F"/>
    <w:rsid w:val="00EB62BD"/>
    <w:rsid w:val="00EB6FEC"/>
    <w:rsid w:val="00EB772E"/>
    <w:rsid w:val="00EB785C"/>
    <w:rsid w:val="00EC0C88"/>
    <w:rsid w:val="00EC1B82"/>
    <w:rsid w:val="00EC4E80"/>
    <w:rsid w:val="00EC7E4D"/>
    <w:rsid w:val="00EC7EFF"/>
    <w:rsid w:val="00ED1FF0"/>
    <w:rsid w:val="00EE0A6D"/>
    <w:rsid w:val="00EE24DF"/>
    <w:rsid w:val="00EE578C"/>
    <w:rsid w:val="00EE736F"/>
    <w:rsid w:val="00EF10B0"/>
    <w:rsid w:val="00EF22FE"/>
    <w:rsid w:val="00EF331A"/>
    <w:rsid w:val="00EF477C"/>
    <w:rsid w:val="00EF4C3E"/>
    <w:rsid w:val="00EF6209"/>
    <w:rsid w:val="00EF7EF7"/>
    <w:rsid w:val="00F0068D"/>
    <w:rsid w:val="00F00A6A"/>
    <w:rsid w:val="00F02260"/>
    <w:rsid w:val="00F04150"/>
    <w:rsid w:val="00F042D5"/>
    <w:rsid w:val="00F05263"/>
    <w:rsid w:val="00F066E6"/>
    <w:rsid w:val="00F06876"/>
    <w:rsid w:val="00F07048"/>
    <w:rsid w:val="00F147FA"/>
    <w:rsid w:val="00F2030A"/>
    <w:rsid w:val="00F2048A"/>
    <w:rsid w:val="00F20600"/>
    <w:rsid w:val="00F20682"/>
    <w:rsid w:val="00F2097C"/>
    <w:rsid w:val="00F20A86"/>
    <w:rsid w:val="00F218D0"/>
    <w:rsid w:val="00F263B1"/>
    <w:rsid w:val="00F26C18"/>
    <w:rsid w:val="00F26FCD"/>
    <w:rsid w:val="00F3250D"/>
    <w:rsid w:val="00F3306D"/>
    <w:rsid w:val="00F34F5C"/>
    <w:rsid w:val="00F3527A"/>
    <w:rsid w:val="00F36C1A"/>
    <w:rsid w:val="00F37642"/>
    <w:rsid w:val="00F37A3B"/>
    <w:rsid w:val="00F37D14"/>
    <w:rsid w:val="00F4044E"/>
    <w:rsid w:val="00F404CA"/>
    <w:rsid w:val="00F416EB"/>
    <w:rsid w:val="00F44EF8"/>
    <w:rsid w:val="00F46C03"/>
    <w:rsid w:val="00F51970"/>
    <w:rsid w:val="00F53643"/>
    <w:rsid w:val="00F547C3"/>
    <w:rsid w:val="00F55204"/>
    <w:rsid w:val="00F56D58"/>
    <w:rsid w:val="00F56F7C"/>
    <w:rsid w:val="00F574D0"/>
    <w:rsid w:val="00F612A8"/>
    <w:rsid w:val="00F61BB1"/>
    <w:rsid w:val="00F623A0"/>
    <w:rsid w:val="00F62AB0"/>
    <w:rsid w:val="00F63F7F"/>
    <w:rsid w:val="00F640F3"/>
    <w:rsid w:val="00F71BAC"/>
    <w:rsid w:val="00F73C56"/>
    <w:rsid w:val="00F740A8"/>
    <w:rsid w:val="00F77E17"/>
    <w:rsid w:val="00F77E30"/>
    <w:rsid w:val="00F77F9A"/>
    <w:rsid w:val="00F8103F"/>
    <w:rsid w:val="00F814AF"/>
    <w:rsid w:val="00F8153C"/>
    <w:rsid w:val="00F825C7"/>
    <w:rsid w:val="00F82C69"/>
    <w:rsid w:val="00F91D30"/>
    <w:rsid w:val="00F92942"/>
    <w:rsid w:val="00F93C93"/>
    <w:rsid w:val="00F9496C"/>
    <w:rsid w:val="00F95EA5"/>
    <w:rsid w:val="00F96111"/>
    <w:rsid w:val="00F9665A"/>
    <w:rsid w:val="00FA2442"/>
    <w:rsid w:val="00FA7BE7"/>
    <w:rsid w:val="00FB0081"/>
    <w:rsid w:val="00FB1CFD"/>
    <w:rsid w:val="00FB5F96"/>
    <w:rsid w:val="00FB6724"/>
    <w:rsid w:val="00FB6969"/>
    <w:rsid w:val="00FC030A"/>
    <w:rsid w:val="00FC0842"/>
    <w:rsid w:val="00FC29B5"/>
    <w:rsid w:val="00FD0526"/>
    <w:rsid w:val="00FD0A65"/>
    <w:rsid w:val="00FD1C7C"/>
    <w:rsid w:val="00FD1EDD"/>
    <w:rsid w:val="00FD6DA2"/>
    <w:rsid w:val="00FD7CD9"/>
    <w:rsid w:val="00FE0CB2"/>
    <w:rsid w:val="00FE51F8"/>
    <w:rsid w:val="00FE7B21"/>
    <w:rsid w:val="00FF2EB0"/>
    <w:rsid w:val="00FF413B"/>
    <w:rsid w:val="00FF540B"/>
    <w:rsid w:val="029F7BBA"/>
    <w:rsid w:val="03EF3EBE"/>
    <w:rsid w:val="06ED7B55"/>
    <w:rsid w:val="08BB41C4"/>
    <w:rsid w:val="09A71DD4"/>
    <w:rsid w:val="09DB5A42"/>
    <w:rsid w:val="0A4B729C"/>
    <w:rsid w:val="0A894D90"/>
    <w:rsid w:val="0ADD625D"/>
    <w:rsid w:val="0B683C73"/>
    <w:rsid w:val="0B801934"/>
    <w:rsid w:val="0BA83DBF"/>
    <w:rsid w:val="0C0000E3"/>
    <w:rsid w:val="0C002F86"/>
    <w:rsid w:val="0C1D28C8"/>
    <w:rsid w:val="0F281C8E"/>
    <w:rsid w:val="0F9A5C11"/>
    <w:rsid w:val="106E6475"/>
    <w:rsid w:val="113B74A0"/>
    <w:rsid w:val="11571580"/>
    <w:rsid w:val="11F76B21"/>
    <w:rsid w:val="12533C20"/>
    <w:rsid w:val="13020A36"/>
    <w:rsid w:val="137228B7"/>
    <w:rsid w:val="13DF2F4B"/>
    <w:rsid w:val="147A7CA1"/>
    <w:rsid w:val="162D1484"/>
    <w:rsid w:val="17203968"/>
    <w:rsid w:val="176E6749"/>
    <w:rsid w:val="190943FD"/>
    <w:rsid w:val="192E4872"/>
    <w:rsid w:val="194C41A2"/>
    <w:rsid w:val="19C911CE"/>
    <w:rsid w:val="19CC64C5"/>
    <w:rsid w:val="19E6543B"/>
    <w:rsid w:val="1A2F4FEF"/>
    <w:rsid w:val="1A8846F7"/>
    <w:rsid w:val="1BA2279D"/>
    <w:rsid w:val="1BDD7480"/>
    <w:rsid w:val="1C6D0EB1"/>
    <w:rsid w:val="1D0E671F"/>
    <w:rsid w:val="1D590126"/>
    <w:rsid w:val="1DC57DAF"/>
    <w:rsid w:val="1E4E4D40"/>
    <w:rsid w:val="1F0B3FB7"/>
    <w:rsid w:val="20BF0E4A"/>
    <w:rsid w:val="219813EA"/>
    <w:rsid w:val="22367D81"/>
    <w:rsid w:val="25186637"/>
    <w:rsid w:val="253533C5"/>
    <w:rsid w:val="256E139B"/>
    <w:rsid w:val="25986D72"/>
    <w:rsid w:val="25C07769"/>
    <w:rsid w:val="25C6791F"/>
    <w:rsid w:val="272740EA"/>
    <w:rsid w:val="295D392A"/>
    <w:rsid w:val="2A5D3C60"/>
    <w:rsid w:val="2A7206A3"/>
    <w:rsid w:val="2ACC0667"/>
    <w:rsid w:val="2AEE502C"/>
    <w:rsid w:val="2B360F7E"/>
    <w:rsid w:val="2B42677D"/>
    <w:rsid w:val="2B873022"/>
    <w:rsid w:val="2CF6456B"/>
    <w:rsid w:val="2DFD49A2"/>
    <w:rsid w:val="2E691D45"/>
    <w:rsid w:val="2F3113BA"/>
    <w:rsid w:val="2FC42EFD"/>
    <w:rsid w:val="2FFC4700"/>
    <w:rsid w:val="312471AE"/>
    <w:rsid w:val="31957FA5"/>
    <w:rsid w:val="3217196E"/>
    <w:rsid w:val="32457D3C"/>
    <w:rsid w:val="32920CB3"/>
    <w:rsid w:val="32A84462"/>
    <w:rsid w:val="32EB43D0"/>
    <w:rsid w:val="34660969"/>
    <w:rsid w:val="34B61A22"/>
    <w:rsid w:val="34CE3358"/>
    <w:rsid w:val="3581018C"/>
    <w:rsid w:val="36585409"/>
    <w:rsid w:val="36F60A58"/>
    <w:rsid w:val="37601390"/>
    <w:rsid w:val="392C4A6D"/>
    <w:rsid w:val="39A44463"/>
    <w:rsid w:val="3AE15444"/>
    <w:rsid w:val="3DB637BE"/>
    <w:rsid w:val="3F263985"/>
    <w:rsid w:val="4048469C"/>
    <w:rsid w:val="41D2224B"/>
    <w:rsid w:val="41D86A6A"/>
    <w:rsid w:val="42666AF0"/>
    <w:rsid w:val="43160811"/>
    <w:rsid w:val="459E2F7E"/>
    <w:rsid w:val="46C24E55"/>
    <w:rsid w:val="471A4266"/>
    <w:rsid w:val="482B4650"/>
    <w:rsid w:val="4B600FCC"/>
    <w:rsid w:val="4C71622C"/>
    <w:rsid w:val="4D735295"/>
    <w:rsid w:val="4D983E25"/>
    <w:rsid w:val="4E5237F7"/>
    <w:rsid w:val="4EAA5B83"/>
    <w:rsid w:val="4EAF01A5"/>
    <w:rsid w:val="50311597"/>
    <w:rsid w:val="504944AB"/>
    <w:rsid w:val="5123678D"/>
    <w:rsid w:val="530357AF"/>
    <w:rsid w:val="53CC1114"/>
    <w:rsid w:val="549254B8"/>
    <w:rsid w:val="564F5EE4"/>
    <w:rsid w:val="56E1439E"/>
    <w:rsid w:val="576B2CC6"/>
    <w:rsid w:val="581E0F10"/>
    <w:rsid w:val="585356D7"/>
    <w:rsid w:val="585356F2"/>
    <w:rsid w:val="59DF1227"/>
    <w:rsid w:val="5AF85669"/>
    <w:rsid w:val="5C93729E"/>
    <w:rsid w:val="5CA07D19"/>
    <w:rsid w:val="5CF96949"/>
    <w:rsid w:val="5DAE40E6"/>
    <w:rsid w:val="5DB51860"/>
    <w:rsid w:val="5E3C5805"/>
    <w:rsid w:val="625F02AF"/>
    <w:rsid w:val="62B20BD0"/>
    <w:rsid w:val="62F26BD0"/>
    <w:rsid w:val="62FD772E"/>
    <w:rsid w:val="63230D80"/>
    <w:rsid w:val="63371A62"/>
    <w:rsid w:val="63AC45C4"/>
    <w:rsid w:val="63C302AB"/>
    <w:rsid w:val="6505341F"/>
    <w:rsid w:val="6566705C"/>
    <w:rsid w:val="65A37CA2"/>
    <w:rsid w:val="65C74A5F"/>
    <w:rsid w:val="6BBC1E9A"/>
    <w:rsid w:val="6C0624B9"/>
    <w:rsid w:val="6D925B1D"/>
    <w:rsid w:val="6DFD3B4E"/>
    <w:rsid w:val="6E0C50BA"/>
    <w:rsid w:val="6F425301"/>
    <w:rsid w:val="70712977"/>
    <w:rsid w:val="70EA1818"/>
    <w:rsid w:val="72EB1277"/>
    <w:rsid w:val="73C4583A"/>
    <w:rsid w:val="75A335AF"/>
    <w:rsid w:val="764C5F9F"/>
    <w:rsid w:val="769A17C7"/>
    <w:rsid w:val="793965D3"/>
    <w:rsid w:val="7986604A"/>
    <w:rsid w:val="7A07406A"/>
    <w:rsid w:val="7A3B0BCF"/>
    <w:rsid w:val="7A45554D"/>
    <w:rsid w:val="7ACB0FD3"/>
    <w:rsid w:val="7B5F1FAC"/>
    <w:rsid w:val="7C16483B"/>
    <w:rsid w:val="7DD07EAD"/>
    <w:rsid w:val="7F0864C5"/>
    <w:rsid w:val="7FD12041"/>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uiPriority="99"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qFormat="1" w:unhideWhenUsed="0" w:uiPriority="99" w:name="footnote reference"/>
    <w:lsdException w:qFormat="1" w:unhideWhenUsed="0"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99"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99"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0" w:semiHidden="0" w:name="Strong" w:locked="1"/>
    <w:lsdException w:qFormat="1" w:unhideWhenUsed="0" w:uiPriority="99" w:semiHidden="0" w:name="Emphasis"/>
    <w:lsdException w:qFormat="1" w:unhideWhenUsed="0"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99"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0" w:semiHidden="0" w:name="Table Grid" w:locked="1"/>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宋体" w:hAnsi="宋体" w:eastAsia="宋体" w:cs="宋体"/>
      <w:sz w:val="24"/>
      <w:szCs w:val="24"/>
      <w:lang w:val="en-US" w:eastAsia="zh-CN" w:bidi="ar-SA"/>
    </w:rPr>
  </w:style>
  <w:style w:type="paragraph" w:styleId="2">
    <w:name w:val="heading 1"/>
    <w:basedOn w:val="1"/>
    <w:next w:val="1"/>
    <w:link w:val="43"/>
    <w:qFormat/>
    <w:uiPriority w:val="99"/>
    <w:pPr>
      <w:keepNext/>
      <w:keepLines/>
      <w:widowControl w:val="0"/>
      <w:spacing w:before="340" w:after="330" w:line="576" w:lineRule="auto"/>
      <w:jc w:val="both"/>
      <w:outlineLvl w:val="0"/>
    </w:pPr>
    <w:rPr>
      <w:rFonts w:ascii="仿宋_GB2312" w:eastAsia="仿宋_GB2312" w:cs="Times New Roman"/>
      <w:b/>
      <w:color w:val="000000"/>
      <w:kern w:val="44"/>
      <w:sz w:val="44"/>
      <w:szCs w:val="20"/>
    </w:rPr>
  </w:style>
  <w:style w:type="paragraph" w:styleId="3">
    <w:name w:val="heading 2"/>
    <w:basedOn w:val="1"/>
    <w:next w:val="1"/>
    <w:link w:val="44"/>
    <w:qFormat/>
    <w:uiPriority w:val="99"/>
    <w:pPr>
      <w:keepNext/>
      <w:keepLines/>
      <w:widowControl w:val="0"/>
      <w:spacing w:before="260" w:after="260"/>
      <w:jc w:val="center"/>
      <w:outlineLvl w:val="1"/>
    </w:pPr>
    <w:rPr>
      <w:rFonts w:eastAsia="华文中宋" w:cs="Times New Roman"/>
      <w:b/>
      <w:bCs/>
      <w:sz w:val="30"/>
      <w:szCs w:val="44"/>
    </w:rPr>
  </w:style>
  <w:style w:type="paragraph" w:styleId="4">
    <w:name w:val="heading 3"/>
    <w:basedOn w:val="1"/>
    <w:next w:val="1"/>
    <w:link w:val="45"/>
    <w:qFormat/>
    <w:uiPriority w:val="99"/>
    <w:pPr>
      <w:keepNext/>
      <w:keepLines/>
      <w:widowControl w:val="0"/>
      <w:spacing w:before="260" w:after="260"/>
      <w:ind w:firstLine="200" w:firstLineChars="200"/>
      <w:jc w:val="center"/>
      <w:outlineLvl w:val="2"/>
    </w:pPr>
    <w:rPr>
      <w:rFonts w:ascii="Calibri" w:hAnsi="Calibri" w:eastAsia="黑体" w:cs="Times New Roman"/>
      <w:bCs/>
      <w:kern w:val="2"/>
      <w:sz w:val="30"/>
      <w:szCs w:val="32"/>
    </w:rPr>
  </w:style>
  <w:style w:type="paragraph" w:styleId="5">
    <w:name w:val="heading 4"/>
    <w:basedOn w:val="4"/>
    <w:next w:val="1"/>
    <w:link w:val="46"/>
    <w:qFormat/>
    <w:uiPriority w:val="99"/>
    <w:pPr>
      <w:spacing w:before="280" w:after="290"/>
      <w:jc w:val="left"/>
      <w:outlineLvl w:val="3"/>
    </w:pPr>
    <w:rPr>
      <w:rFonts w:ascii="Cambria" w:hAnsi="Cambria" w:eastAsia="仿宋_GB2312"/>
      <w:b/>
      <w:szCs w:val="28"/>
    </w:rPr>
  </w:style>
  <w:style w:type="paragraph" w:styleId="6">
    <w:name w:val="heading 5"/>
    <w:basedOn w:val="1"/>
    <w:next w:val="1"/>
    <w:link w:val="47"/>
    <w:qFormat/>
    <w:uiPriority w:val="99"/>
    <w:pPr>
      <w:keepNext/>
      <w:keepLines/>
      <w:widowControl w:val="0"/>
      <w:spacing w:before="280" w:after="290" w:line="376" w:lineRule="auto"/>
      <w:jc w:val="both"/>
      <w:outlineLvl w:val="4"/>
    </w:pPr>
    <w:rPr>
      <w:rFonts w:ascii="Calibri" w:hAnsi="Calibri" w:cs="Times New Roman"/>
      <w:b/>
      <w:bCs/>
      <w:kern w:val="2"/>
      <w:sz w:val="28"/>
      <w:szCs w:val="28"/>
    </w:rPr>
  </w:style>
  <w:style w:type="paragraph" w:styleId="7">
    <w:name w:val="heading 6"/>
    <w:basedOn w:val="1"/>
    <w:next w:val="1"/>
    <w:link w:val="48"/>
    <w:qFormat/>
    <w:uiPriority w:val="99"/>
    <w:pPr>
      <w:keepNext/>
      <w:keepLines/>
      <w:widowControl w:val="0"/>
      <w:spacing w:before="240" w:after="64" w:line="319" w:lineRule="auto"/>
      <w:ind w:left="1276"/>
      <w:jc w:val="both"/>
      <w:outlineLvl w:val="5"/>
    </w:pPr>
    <w:rPr>
      <w:rFonts w:ascii="Arial" w:hAnsi="Arial" w:eastAsia="仿宋_GB2312" w:cs="Times New Roman"/>
      <w:b/>
      <w:bCs/>
      <w:color w:val="000000"/>
      <w:kern w:val="16"/>
      <w:sz w:val="30"/>
      <w:szCs w:val="30"/>
    </w:rPr>
  </w:style>
  <w:style w:type="paragraph" w:styleId="8">
    <w:name w:val="heading 7"/>
    <w:basedOn w:val="1"/>
    <w:next w:val="1"/>
    <w:link w:val="49"/>
    <w:qFormat/>
    <w:uiPriority w:val="99"/>
    <w:pPr>
      <w:keepNext/>
      <w:keepLines/>
      <w:widowControl w:val="0"/>
      <w:spacing w:before="240" w:after="64" w:line="319" w:lineRule="auto"/>
      <w:ind w:left="1276"/>
      <w:jc w:val="both"/>
      <w:outlineLvl w:val="6"/>
    </w:pPr>
    <w:rPr>
      <w:rFonts w:ascii="仿宋_GB2312" w:eastAsia="仿宋_GB2312" w:cs="Times New Roman"/>
      <w:b/>
      <w:bCs/>
      <w:color w:val="000000"/>
      <w:kern w:val="16"/>
      <w:sz w:val="30"/>
      <w:szCs w:val="30"/>
    </w:rPr>
  </w:style>
  <w:style w:type="paragraph" w:styleId="9">
    <w:name w:val="heading 8"/>
    <w:basedOn w:val="1"/>
    <w:next w:val="1"/>
    <w:link w:val="50"/>
    <w:qFormat/>
    <w:uiPriority w:val="99"/>
    <w:pPr>
      <w:keepNext/>
      <w:keepLines/>
      <w:widowControl w:val="0"/>
      <w:spacing w:before="240" w:after="64" w:line="320" w:lineRule="auto"/>
      <w:jc w:val="both"/>
      <w:outlineLvl w:val="7"/>
    </w:pPr>
    <w:rPr>
      <w:rFonts w:ascii="Cambria" w:hAnsi="Cambria" w:cs="Times New Roman"/>
      <w:kern w:val="2"/>
    </w:rPr>
  </w:style>
  <w:style w:type="paragraph" w:styleId="10">
    <w:name w:val="heading 9"/>
    <w:basedOn w:val="1"/>
    <w:next w:val="1"/>
    <w:link w:val="51"/>
    <w:qFormat/>
    <w:uiPriority w:val="99"/>
    <w:pPr>
      <w:overflowPunct w:val="0"/>
      <w:autoSpaceDE w:val="0"/>
      <w:autoSpaceDN w:val="0"/>
      <w:adjustRightInd w:val="0"/>
      <w:spacing w:before="240" w:after="60" w:line="360" w:lineRule="auto"/>
      <w:ind w:left="1276"/>
      <w:jc w:val="both"/>
      <w:textAlignment w:val="baseline"/>
      <w:outlineLvl w:val="8"/>
    </w:pPr>
    <w:rPr>
      <w:rFonts w:ascii="Arial" w:hAnsi="Arial" w:eastAsia="仿宋_GB2312" w:cs="Times New Roman"/>
      <w:i/>
      <w:iCs/>
      <w:color w:val="000000"/>
      <w:sz w:val="18"/>
      <w:szCs w:val="18"/>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11">
    <w:name w:val="toc 7"/>
    <w:basedOn w:val="1"/>
    <w:next w:val="1"/>
    <w:qFormat/>
    <w:uiPriority w:val="99"/>
    <w:pPr>
      <w:ind w:left="1440"/>
    </w:pPr>
    <w:rPr>
      <w:rFonts w:asciiTheme="minorHAnsi" w:hAnsiTheme="minorHAnsi" w:cstheme="minorHAnsi"/>
      <w:sz w:val="18"/>
      <w:szCs w:val="18"/>
    </w:rPr>
  </w:style>
  <w:style w:type="paragraph" w:styleId="12">
    <w:name w:val="Document Map"/>
    <w:basedOn w:val="1"/>
    <w:link w:val="107"/>
    <w:semiHidden/>
    <w:qFormat/>
    <w:uiPriority w:val="99"/>
    <w:pPr>
      <w:widowControl w:val="0"/>
      <w:jc w:val="both"/>
    </w:pPr>
    <w:rPr>
      <w:rFonts w:hAnsi="Calibri" w:cs="Times New Roman"/>
      <w:kern w:val="2"/>
      <w:sz w:val="18"/>
      <w:szCs w:val="20"/>
    </w:rPr>
  </w:style>
  <w:style w:type="paragraph" w:styleId="13">
    <w:name w:val="annotation text"/>
    <w:basedOn w:val="1"/>
    <w:link w:val="127"/>
    <w:semiHidden/>
    <w:qFormat/>
    <w:uiPriority w:val="99"/>
    <w:pPr>
      <w:widowControl w:val="0"/>
    </w:pPr>
    <w:rPr>
      <w:rFonts w:ascii="仿宋_GB2312" w:eastAsia="仿宋_GB2312" w:cs="Times New Roman"/>
      <w:color w:val="000000"/>
      <w:kern w:val="16"/>
      <w:sz w:val="30"/>
      <w:szCs w:val="30"/>
    </w:rPr>
  </w:style>
  <w:style w:type="paragraph" w:styleId="14">
    <w:name w:val="Body Text"/>
    <w:basedOn w:val="1"/>
    <w:qFormat/>
    <w:uiPriority w:val="1"/>
    <w:pPr>
      <w:spacing w:before="61"/>
      <w:ind w:left="117"/>
    </w:pPr>
    <w:rPr>
      <w:sz w:val="30"/>
      <w:szCs w:val="30"/>
    </w:rPr>
  </w:style>
  <w:style w:type="paragraph" w:styleId="15">
    <w:name w:val="Body Text Indent"/>
    <w:basedOn w:val="1"/>
    <w:link w:val="126"/>
    <w:qFormat/>
    <w:uiPriority w:val="99"/>
    <w:pPr>
      <w:widowControl w:val="0"/>
      <w:ind w:firstLine="600" w:firstLineChars="200"/>
      <w:jc w:val="both"/>
    </w:pPr>
    <w:rPr>
      <w:rFonts w:ascii="仿宋_GB2312" w:hAnsi="Calibri" w:eastAsia="仿宋_GB2312" w:cs="Times New Roman"/>
      <w:sz w:val="30"/>
      <w:szCs w:val="20"/>
    </w:rPr>
  </w:style>
  <w:style w:type="paragraph" w:styleId="16">
    <w:name w:val="toc 5"/>
    <w:basedOn w:val="1"/>
    <w:next w:val="1"/>
    <w:qFormat/>
    <w:uiPriority w:val="99"/>
    <w:pPr>
      <w:ind w:left="960"/>
    </w:pPr>
    <w:rPr>
      <w:rFonts w:asciiTheme="minorHAnsi" w:hAnsiTheme="minorHAnsi" w:cstheme="minorHAnsi"/>
      <w:sz w:val="18"/>
      <w:szCs w:val="18"/>
    </w:rPr>
  </w:style>
  <w:style w:type="paragraph" w:styleId="17">
    <w:name w:val="toc 3"/>
    <w:basedOn w:val="1"/>
    <w:next w:val="1"/>
    <w:link w:val="112"/>
    <w:qFormat/>
    <w:uiPriority w:val="39"/>
    <w:pPr>
      <w:ind w:left="480"/>
    </w:pPr>
    <w:rPr>
      <w:rFonts w:asciiTheme="minorHAnsi" w:hAnsiTheme="minorHAnsi" w:cstheme="minorHAnsi"/>
      <w:i/>
      <w:iCs/>
      <w:sz w:val="20"/>
      <w:szCs w:val="20"/>
    </w:rPr>
  </w:style>
  <w:style w:type="paragraph" w:styleId="18">
    <w:name w:val="toc 8"/>
    <w:basedOn w:val="1"/>
    <w:next w:val="1"/>
    <w:qFormat/>
    <w:uiPriority w:val="99"/>
    <w:pPr>
      <w:ind w:left="1680"/>
    </w:pPr>
    <w:rPr>
      <w:rFonts w:asciiTheme="minorHAnsi" w:hAnsiTheme="minorHAnsi" w:cstheme="minorHAnsi"/>
      <w:sz w:val="18"/>
      <w:szCs w:val="18"/>
    </w:rPr>
  </w:style>
  <w:style w:type="paragraph" w:styleId="19">
    <w:name w:val="Body Text Indent 2"/>
    <w:basedOn w:val="1"/>
    <w:qFormat/>
    <w:uiPriority w:val="0"/>
    <w:pPr>
      <w:spacing w:after="120" w:line="480" w:lineRule="auto"/>
      <w:ind w:left="420" w:leftChars="200"/>
    </w:pPr>
  </w:style>
  <w:style w:type="paragraph" w:styleId="20">
    <w:name w:val="Balloon Text"/>
    <w:basedOn w:val="1"/>
    <w:link w:val="103"/>
    <w:semiHidden/>
    <w:qFormat/>
    <w:uiPriority w:val="99"/>
    <w:pPr>
      <w:widowControl w:val="0"/>
      <w:jc w:val="both"/>
    </w:pPr>
    <w:rPr>
      <w:rFonts w:ascii="Calibri" w:hAnsi="Calibri" w:cs="Times New Roman"/>
      <w:kern w:val="2"/>
      <w:sz w:val="18"/>
      <w:szCs w:val="20"/>
    </w:rPr>
  </w:style>
  <w:style w:type="paragraph" w:styleId="21">
    <w:name w:val="footer"/>
    <w:basedOn w:val="1"/>
    <w:link w:val="76"/>
    <w:qFormat/>
    <w:uiPriority w:val="99"/>
    <w:pPr>
      <w:tabs>
        <w:tab w:val="center" w:pos="4153"/>
        <w:tab w:val="right" w:pos="8306"/>
      </w:tabs>
      <w:snapToGrid w:val="0"/>
    </w:pPr>
    <w:rPr>
      <w:rFonts w:cs="Times New Roman"/>
      <w:sz w:val="18"/>
      <w:szCs w:val="18"/>
    </w:rPr>
  </w:style>
  <w:style w:type="paragraph" w:styleId="22">
    <w:name w:val="header"/>
    <w:basedOn w:val="1"/>
    <w:link w:val="75"/>
    <w:qFormat/>
    <w:uiPriority w:val="99"/>
    <w:pPr>
      <w:pBdr>
        <w:bottom w:val="single" w:color="auto" w:sz="6" w:space="1"/>
      </w:pBdr>
      <w:tabs>
        <w:tab w:val="center" w:pos="4153"/>
        <w:tab w:val="right" w:pos="8306"/>
      </w:tabs>
      <w:snapToGrid w:val="0"/>
      <w:jc w:val="center"/>
    </w:pPr>
    <w:rPr>
      <w:rFonts w:cs="Times New Roman"/>
      <w:sz w:val="18"/>
      <w:szCs w:val="18"/>
    </w:rPr>
  </w:style>
  <w:style w:type="paragraph" w:styleId="23">
    <w:name w:val="toc 1"/>
    <w:basedOn w:val="17"/>
    <w:next w:val="1"/>
    <w:link w:val="113"/>
    <w:qFormat/>
    <w:uiPriority w:val="39"/>
    <w:pPr>
      <w:spacing w:before="120" w:after="120"/>
      <w:ind w:left="0"/>
    </w:pPr>
    <w:rPr>
      <w:b/>
      <w:bCs/>
      <w:i w:val="0"/>
      <w:iCs w:val="0"/>
      <w:caps/>
    </w:rPr>
  </w:style>
  <w:style w:type="paragraph" w:styleId="24">
    <w:name w:val="toc 4"/>
    <w:basedOn w:val="1"/>
    <w:next w:val="1"/>
    <w:qFormat/>
    <w:uiPriority w:val="39"/>
    <w:pPr>
      <w:ind w:left="720"/>
    </w:pPr>
    <w:rPr>
      <w:rFonts w:asciiTheme="minorHAnsi" w:hAnsiTheme="minorHAnsi" w:cstheme="minorHAnsi"/>
      <w:sz w:val="18"/>
      <w:szCs w:val="18"/>
    </w:rPr>
  </w:style>
  <w:style w:type="paragraph" w:styleId="25">
    <w:name w:val="Subtitle"/>
    <w:basedOn w:val="1"/>
    <w:next w:val="1"/>
    <w:link w:val="109"/>
    <w:qFormat/>
    <w:uiPriority w:val="99"/>
    <w:pPr>
      <w:widowControl w:val="0"/>
      <w:spacing w:before="240" w:after="60" w:line="312" w:lineRule="auto"/>
      <w:jc w:val="center"/>
      <w:outlineLvl w:val="1"/>
    </w:pPr>
    <w:rPr>
      <w:rFonts w:ascii="Cambria" w:hAnsi="Cambria" w:cs="Times New Roman"/>
      <w:b/>
      <w:bCs/>
      <w:kern w:val="28"/>
      <w:sz w:val="30"/>
      <w:szCs w:val="32"/>
    </w:rPr>
  </w:style>
  <w:style w:type="paragraph" w:styleId="26">
    <w:name w:val="footnote text"/>
    <w:basedOn w:val="1"/>
    <w:link w:val="105"/>
    <w:semiHidden/>
    <w:qFormat/>
    <w:uiPriority w:val="99"/>
    <w:pPr>
      <w:widowControl w:val="0"/>
      <w:snapToGrid w:val="0"/>
    </w:pPr>
    <w:rPr>
      <w:rFonts w:ascii="Calibri" w:hAnsi="Calibri" w:cs="Times New Roman"/>
      <w:kern w:val="2"/>
      <w:sz w:val="18"/>
      <w:szCs w:val="20"/>
    </w:rPr>
  </w:style>
  <w:style w:type="paragraph" w:styleId="27">
    <w:name w:val="toc 6"/>
    <w:basedOn w:val="1"/>
    <w:next w:val="1"/>
    <w:qFormat/>
    <w:uiPriority w:val="99"/>
    <w:pPr>
      <w:ind w:left="1200"/>
    </w:pPr>
    <w:rPr>
      <w:rFonts w:asciiTheme="minorHAnsi" w:hAnsiTheme="minorHAnsi" w:cstheme="minorHAnsi"/>
      <w:sz w:val="18"/>
      <w:szCs w:val="18"/>
    </w:rPr>
  </w:style>
  <w:style w:type="paragraph" w:styleId="28">
    <w:name w:val="toc 2"/>
    <w:basedOn w:val="23"/>
    <w:next w:val="1"/>
    <w:link w:val="114"/>
    <w:qFormat/>
    <w:uiPriority w:val="39"/>
    <w:pPr>
      <w:spacing w:before="0" w:after="0"/>
      <w:ind w:left="240"/>
    </w:pPr>
    <w:rPr>
      <w:b w:val="0"/>
      <w:bCs w:val="0"/>
      <w:caps w:val="0"/>
      <w:smallCaps/>
    </w:rPr>
  </w:style>
  <w:style w:type="paragraph" w:styleId="29">
    <w:name w:val="toc 9"/>
    <w:basedOn w:val="1"/>
    <w:next w:val="1"/>
    <w:qFormat/>
    <w:uiPriority w:val="99"/>
    <w:pPr>
      <w:ind w:left="1920"/>
    </w:pPr>
    <w:rPr>
      <w:rFonts w:asciiTheme="minorHAnsi" w:hAnsiTheme="minorHAnsi" w:cstheme="minorHAnsi"/>
      <w:sz w:val="18"/>
      <w:szCs w:val="18"/>
    </w:rPr>
  </w:style>
  <w:style w:type="paragraph" w:styleId="30">
    <w:name w:val="HTML Preformatted"/>
    <w:basedOn w:val="1"/>
    <w:link w:val="140"/>
    <w:semiHidden/>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cs="Times New Roman"/>
    </w:rPr>
  </w:style>
  <w:style w:type="paragraph" w:styleId="31">
    <w:name w:val="Normal (Web)"/>
    <w:basedOn w:val="1"/>
    <w:qFormat/>
    <w:uiPriority w:val="99"/>
    <w:pPr>
      <w:spacing w:before="100" w:beforeAutospacing="1" w:after="100" w:afterAutospacing="1"/>
    </w:pPr>
  </w:style>
  <w:style w:type="paragraph" w:styleId="32">
    <w:name w:val="Title"/>
    <w:basedOn w:val="1"/>
    <w:next w:val="1"/>
    <w:link w:val="108"/>
    <w:qFormat/>
    <w:uiPriority w:val="99"/>
    <w:pPr>
      <w:widowControl w:val="0"/>
      <w:spacing w:before="240" w:after="60"/>
      <w:jc w:val="center"/>
      <w:outlineLvl w:val="0"/>
    </w:pPr>
    <w:rPr>
      <w:rFonts w:ascii="Cambria" w:hAnsi="Cambria" w:cs="Times New Roman"/>
      <w:b/>
      <w:bCs/>
      <w:kern w:val="2"/>
      <w:sz w:val="32"/>
      <w:szCs w:val="32"/>
    </w:rPr>
  </w:style>
  <w:style w:type="paragraph" w:styleId="33">
    <w:name w:val="annotation subject"/>
    <w:basedOn w:val="13"/>
    <w:next w:val="13"/>
    <w:link w:val="128"/>
    <w:semiHidden/>
    <w:qFormat/>
    <w:uiPriority w:val="99"/>
    <w:rPr>
      <w:b/>
      <w:bCs/>
    </w:rPr>
  </w:style>
  <w:style w:type="table" w:styleId="35">
    <w:name w:val="Table Grid"/>
    <w:basedOn w:val="34"/>
    <w:qFormat/>
    <w:locked/>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Strong"/>
    <w:basedOn w:val="36"/>
    <w:qFormat/>
    <w:locked/>
    <w:uiPriority w:val="0"/>
    <w:rPr>
      <w:b/>
      <w:bCs/>
    </w:rPr>
  </w:style>
  <w:style w:type="character" w:styleId="38">
    <w:name w:val="page number"/>
    <w:basedOn w:val="36"/>
    <w:qFormat/>
    <w:uiPriority w:val="99"/>
    <w:rPr>
      <w:rFonts w:eastAsia="宋体" w:cs="Times New Roman"/>
      <w:kern w:val="2"/>
      <w:sz w:val="24"/>
      <w:lang w:val="en-US" w:eastAsia="zh-CN"/>
    </w:rPr>
  </w:style>
  <w:style w:type="character" w:styleId="39">
    <w:name w:val="Emphasis"/>
    <w:basedOn w:val="36"/>
    <w:qFormat/>
    <w:uiPriority w:val="99"/>
    <w:rPr>
      <w:rFonts w:cs="Times New Roman"/>
      <w:i/>
    </w:rPr>
  </w:style>
  <w:style w:type="character" w:styleId="40">
    <w:name w:val="Hyperlink"/>
    <w:basedOn w:val="36"/>
    <w:qFormat/>
    <w:uiPriority w:val="99"/>
    <w:rPr>
      <w:rFonts w:cs="Times New Roman"/>
      <w:color w:val="0000FF"/>
      <w:u w:val="single"/>
    </w:rPr>
  </w:style>
  <w:style w:type="character" w:styleId="41">
    <w:name w:val="annotation reference"/>
    <w:basedOn w:val="36"/>
    <w:semiHidden/>
    <w:qFormat/>
    <w:uiPriority w:val="99"/>
    <w:rPr>
      <w:rFonts w:eastAsia="宋体" w:cs="Times New Roman"/>
      <w:kern w:val="2"/>
      <w:sz w:val="21"/>
      <w:lang w:val="en-US" w:eastAsia="zh-CN"/>
    </w:rPr>
  </w:style>
  <w:style w:type="character" w:styleId="42">
    <w:name w:val="footnote reference"/>
    <w:basedOn w:val="36"/>
    <w:semiHidden/>
    <w:qFormat/>
    <w:uiPriority w:val="99"/>
    <w:rPr>
      <w:rFonts w:eastAsia="宋体" w:cs="Times New Roman"/>
      <w:kern w:val="2"/>
      <w:sz w:val="24"/>
      <w:vertAlign w:val="superscript"/>
      <w:lang w:val="en-US" w:eastAsia="zh-CN"/>
    </w:rPr>
  </w:style>
  <w:style w:type="character" w:customStyle="1" w:styleId="43">
    <w:name w:val="标题 1 字符"/>
    <w:basedOn w:val="36"/>
    <w:link w:val="2"/>
    <w:qFormat/>
    <w:locked/>
    <w:uiPriority w:val="99"/>
    <w:rPr>
      <w:rFonts w:ascii="仿宋_GB2312" w:hAnsi="宋体" w:eastAsia="仿宋_GB2312"/>
      <w:b/>
      <w:color w:val="000000"/>
      <w:kern w:val="44"/>
      <w:sz w:val="44"/>
    </w:rPr>
  </w:style>
  <w:style w:type="character" w:customStyle="1" w:styleId="44">
    <w:name w:val="标题 2 字符"/>
    <w:basedOn w:val="36"/>
    <w:link w:val="3"/>
    <w:qFormat/>
    <w:locked/>
    <w:uiPriority w:val="99"/>
    <w:rPr>
      <w:rFonts w:ascii="宋体" w:hAnsi="宋体" w:eastAsia="华文中宋"/>
      <w:b/>
      <w:bCs/>
      <w:sz w:val="30"/>
      <w:szCs w:val="44"/>
    </w:rPr>
  </w:style>
  <w:style w:type="character" w:customStyle="1" w:styleId="45">
    <w:name w:val="标题 3 字符"/>
    <w:basedOn w:val="36"/>
    <w:link w:val="4"/>
    <w:qFormat/>
    <w:locked/>
    <w:uiPriority w:val="99"/>
    <w:rPr>
      <w:rFonts w:ascii="Calibri" w:hAnsi="Calibri" w:eastAsia="黑体"/>
      <w:kern w:val="2"/>
      <w:sz w:val="32"/>
    </w:rPr>
  </w:style>
  <w:style w:type="character" w:customStyle="1" w:styleId="46">
    <w:name w:val="标题 4 字符"/>
    <w:basedOn w:val="36"/>
    <w:link w:val="5"/>
    <w:qFormat/>
    <w:locked/>
    <w:uiPriority w:val="99"/>
    <w:rPr>
      <w:rFonts w:ascii="Cambria" w:hAnsi="Cambria" w:eastAsia="仿宋_GB2312"/>
      <w:b/>
      <w:kern w:val="2"/>
      <w:sz w:val="28"/>
    </w:rPr>
  </w:style>
  <w:style w:type="character" w:customStyle="1" w:styleId="47">
    <w:name w:val="标题 5 字符"/>
    <w:basedOn w:val="36"/>
    <w:link w:val="6"/>
    <w:qFormat/>
    <w:locked/>
    <w:uiPriority w:val="99"/>
    <w:rPr>
      <w:rFonts w:ascii="Calibri" w:hAnsi="Calibri"/>
      <w:b/>
      <w:kern w:val="2"/>
      <w:sz w:val="28"/>
    </w:rPr>
  </w:style>
  <w:style w:type="character" w:customStyle="1" w:styleId="48">
    <w:name w:val="标题 6 字符"/>
    <w:basedOn w:val="36"/>
    <w:link w:val="7"/>
    <w:qFormat/>
    <w:locked/>
    <w:uiPriority w:val="99"/>
    <w:rPr>
      <w:rFonts w:ascii="Arial" w:hAnsi="Arial" w:eastAsia="仿宋_GB2312"/>
      <w:b/>
      <w:color w:val="000000"/>
      <w:kern w:val="16"/>
      <w:sz w:val="30"/>
    </w:rPr>
  </w:style>
  <w:style w:type="character" w:customStyle="1" w:styleId="49">
    <w:name w:val="标题 7 字符"/>
    <w:basedOn w:val="36"/>
    <w:link w:val="8"/>
    <w:qFormat/>
    <w:locked/>
    <w:uiPriority w:val="99"/>
    <w:rPr>
      <w:rFonts w:ascii="仿宋_GB2312" w:hAnsi="宋体" w:eastAsia="仿宋_GB2312"/>
      <w:b/>
      <w:color w:val="000000"/>
      <w:kern w:val="16"/>
      <w:sz w:val="30"/>
    </w:rPr>
  </w:style>
  <w:style w:type="character" w:customStyle="1" w:styleId="50">
    <w:name w:val="标题 8 字符"/>
    <w:basedOn w:val="36"/>
    <w:link w:val="9"/>
    <w:qFormat/>
    <w:locked/>
    <w:uiPriority w:val="99"/>
    <w:rPr>
      <w:rFonts w:ascii="Cambria" w:hAnsi="Cambria" w:eastAsia="宋体"/>
      <w:kern w:val="2"/>
      <w:sz w:val="24"/>
    </w:rPr>
  </w:style>
  <w:style w:type="character" w:customStyle="1" w:styleId="51">
    <w:name w:val="标题 9 字符"/>
    <w:basedOn w:val="36"/>
    <w:link w:val="10"/>
    <w:qFormat/>
    <w:locked/>
    <w:uiPriority w:val="99"/>
    <w:rPr>
      <w:rFonts w:ascii="Arial" w:hAnsi="Arial" w:eastAsia="仿宋_GB2312"/>
      <w:i/>
      <w:color w:val="000000"/>
      <w:sz w:val="18"/>
    </w:rPr>
  </w:style>
  <w:style w:type="paragraph" w:customStyle="1" w:styleId="52">
    <w:name w:val="font52478"/>
    <w:basedOn w:val="1"/>
    <w:qFormat/>
    <w:uiPriority w:val="99"/>
    <w:pPr>
      <w:spacing w:before="100" w:beforeAutospacing="1" w:after="100" w:afterAutospacing="1"/>
    </w:pPr>
    <w:rPr>
      <w:sz w:val="18"/>
      <w:szCs w:val="18"/>
    </w:rPr>
  </w:style>
  <w:style w:type="paragraph" w:customStyle="1" w:styleId="53">
    <w:name w:val="xl8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0"/>
      <w:szCs w:val="20"/>
    </w:rPr>
  </w:style>
  <w:style w:type="paragraph" w:customStyle="1" w:styleId="54">
    <w:name w:val="xl8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55">
    <w:name w:val="xl872478"/>
    <w:basedOn w:val="1"/>
    <w:qFormat/>
    <w:uiPriority w:val="99"/>
    <w:pPr>
      <w:spacing w:before="100" w:beforeAutospacing="1" w:after="100" w:afterAutospacing="1"/>
      <w:textAlignment w:val="center"/>
    </w:pPr>
    <w:rPr>
      <w:color w:val="000000"/>
      <w:sz w:val="22"/>
      <w:szCs w:val="22"/>
    </w:rPr>
  </w:style>
  <w:style w:type="paragraph" w:customStyle="1" w:styleId="56">
    <w:name w:val="xl8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57">
    <w:name w:val="xl892478"/>
    <w:basedOn w:val="1"/>
    <w:qFormat/>
    <w:uiPriority w:val="99"/>
    <w:pPr>
      <w:spacing w:before="100" w:beforeAutospacing="1" w:after="100" w:afterAutospacing="1"/>
      <w:textAlignment w:val="center"/>
    </w:pPr>
    <w:rPr>
      <w:color w:val="000000"/>
      <w:sz w:val="20"/>
      <w:szCs w:val="20"/>
    </w:rPr>
  </w:style>
  <w:style w:type="paragraph" w:customStyle="1" w:styleId="58">
    <w:name w:val="xl902478"/>
    <w:basedOn w:val="1"/>
    <w:qFormat/>
    <w:uiPriority w:val="99"/>
    <w:pPr>
      <w:spacing w:before="100" w:beforeAutospacing="1" w:after="100" w:afterAutospacing="1"/>
      <w:textAlignment w:val="center"/>
    </w:pPr>
    <w:rPr>
      <w:b/>
      <w:bCs/>
      <w:color w:val="000000"/>
      <w:sz w:val="20"/>
      <w:szCs w:val="20"/>
    </w:rPr>
  </w:style>
  <w:style w:type="paragraph" w:customStyle="1" w:styleId="59">
    <w:name w:val="xl912478"/>
    <w:basedOn w:val="1"/>
    <w:qFormat/>
    <w:uiPriority w:val="99"/>
    <w:pPr>
      <w:pBdr>
        <w:bottom w:val="single" w:color="auto" w:sz="4" w:space="0"/>
      </w:pBdr>
      <w:spacing w:before="100" w:beforeAutospacing="1" w:after="100" w:afterAutospacing="1"/>
      <w:jc w:val="center"/>
      <w:textAlignment w:val="center"/>
    </w:pPr>
    <w:rPr>
      <w:b/>
      <w:bCs/>
      <w:sz w:val="32"/>
      <w:szCs w:val="32"/>
    </w:rPr>
  </w:style>
  <w:style w:type="paragraph" w:customStyle="1" w:styleId="60">
    <w:name w:val="xl922478"/>
    <w:basedOn w:val="1"/>
    <w:qFormat/>
    <w:uiPriority w:val="99"/>
    <w:pPr>
      <w:spacing w:before="100" w:beforeAutospacing="1" w:after="100" w:afterAutospacing="1"/>
      <w:textAlignment w:val="center"/>
    </w:pPr>
    <w:rPr>
      <w:rFonts w:ascii="黑体" w:hAnsi="黑体" w:eastAsia="黑体"/>
      <w:color w:val="000000"/>
      <w:sz w:val="22"/>
      <w:szCs w:val="22"/>
    </w:rPr>
  </w:style>
  <w:style w:type="paragraph" w:customStyle="1" w:styleId="61">
    <w:name w:val="xl93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sz w:val="22"/>
      <w:szCs w:val="22"/>
    </w:rPr>
  </w:style>
  <w:style w:type="paragraph" w:customStyle="1" w:styleId="62">
    <w:name w:val="xl94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jc w:val="center"/>
      <w:textAlignment w:val="center"/>
    </w:pPr>
    <w:rPr>
      <w:color w:val="000000"/>
      <w:sz w:val="22"/>
      <w:szCs w:val="22"/>
    </w:rPr>
  </w:style>
  <w:style w:type="paragraph" w:customStyle="1" w:styleId="63">
    <w:name w:val="xl952478"/>
    <w:basedOn w:val="1"/>
    <w:qFormat/>
    <w:uiPriority w:val="99"/>
    <w:pPr>
      <w:pBdr>
        <w:top w:val="single" w:color="auto" w:sz="4" w:space="1"/>
        <w:left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4">
    <w:name w:val="xl962478"/>
    <w:basedOn w:val="1"/>
    <w:qFormat/>
    <w:uiPriority w:val="99"/>
    <w:pPr>
      <w:pBdr>
        <w:top w:val="single" w:color="auto" w:sz="4" w:space="1"/>
        <w:bottom w:val="single" w:color="auto" w:sz="4" w:space="0"/>
      </w:pBdr>
      <w:spacing w:before="100" w:beforeAutospacing="1" w:after="100" w:afterAutospacing="1"/>
      <w:jc w:val="center"/>
      <w:textAlignment w:val="center"/>
    </w:pPr>
    <w:rPr>
      <w:b/>
      <w:bCs/>
      <w:sz w:val="20"/>
      <w:szCs w:val="20"/>
    </w:rPr>
  </w:style>
  <w:style w:type="paragraph" w:customStyle="1" w:styleId="65">
    <w:name w:val="xl972478"/>
    <w:basedOn w:val="1"/>
    <w:qFormat/>
    <w:uiPriority w:val="99"/>
    <w:pPr>
      <w:pBdr>
        <w:top w:val="single" w:color="auto" w:sz="4" w:space="1"/>
        <w:bottom w:val="single" w:color="auto" w:sz="4" w:space="0"/>
        <w:right w:val="single" w:color="auto" w:sz="4" w:space="1"/>
      </w:pBdr>
      <w:spacing w:before="100" w:beforeAutospacing="1" w:after="100" w:afterAutospacing="1"/>
      <w:jc w:val="center"/>
      <w:textAlignment w:val="center"/>
    </w:pPr>
    <w:rPr>
      <w:b/>
      <w:bCs/>
      <w:sz w:val="20"/>
      <w:szCs w:val="20"/>
    </w:rPr>
  </w:style>
  <w:style w:type="paragraph" w:customStyle="1" w:styleId="66">
    <w:name w:val="xl98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7">
    <w:name w:val="xl99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68">
    <w:name w:val="xl100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69">
    <w:name w:val="xl101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paragraph" w:customStyle="1" w:styleId="70">
    <w:name w:val="xl102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sz w:val="20"/>
      <w:szCs w:val="20"/>
    </w:rPr>
  </w:style>
  <w:style w:type="paragraph" w:customStyle="1" w:styleId="71">
    <w:name w:val="xl1032478"/>
    <w:basedOn w:val="1"/>
    <w:qFormat/>
    <w:uiPriority w:val="99"/>
    <w:pPr>
      <w:pBdr>
        <w:top w:val="single" w:color="auto" w:sz="4" w:space="1"/>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2">
    <w:name w:val="xl1042478"/>
    <w:basedOn w:val="1"/>
    <w:qFormat/>
    <w:uiPriority w:val="99"/>
    <w:pPr>
      <w:pBdr>
        <w:left w:val="single" w:color="auto" w:sz="4" w:space="1"/>
        <w:right w:val="single" w:color="auto" w:sz="4" w:space="1"/>
      </w:pBdr>
      <w:spacing w:before="100" w:beforeAutospacing="1" w:after="100" w:afterAutospacing="1"/>
      <w:jc w:val="center"/>
      <w:textAlignment w:val="center"/>
    </w:pPr>
    <w:rPr>
      <w:sz w:val="20"/>
      <w:szCs w:val="20"/>
    </w:rPr>
  </w:style>
  <w:style w:type="paragraph" w:customStyle="1" w:styleId="73">
    <w:name w:val="xl105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rFonts w:ascii="Arial" w:hAnsi="Arial" w:cs="Arial"/>
      <w:color w:val="000000"/>
      <w:sz w:val="20"/>
      <w:szCs w:val="20"/>
    </w:rPr>
  </w:style>
  <w:style w:type="paragraph" w:customStyle="1" w:styleId="74">
    <w:name w:val="xl1062478"/>
    <w:basedOn w:val="1"/>
    <w:qFormat/>
    <w:uiPriority w:val="99"/>
    <w:pPr>
      <w:pBdr>
        <w:top w:val="single" w:color="auto" w:sz="4" w:space="1"/>
        <w:left w:val="single" w:color="auto" w:sz="4" w:space="1"/>
        <w:bottom w:val="single" w:color="auto" w:sz="4" w:space="0"/>
        <w:right w:val="single" w:color="auto" w:sz="4" w:space="1"/>
      </w:pBdr>
      <w:spacing w:before="100" w:beforeAutospacing="1" w:after="100" w:afterAutospacing="1"/>
      <w:textAlignment w:val="center"/>
    </w:pPr>
    <w:rPr>
      <w:color w:val="000000"/>
      <w:sz w:val="20"/>
      <w:szCs w:val="20"/>
    </w:rPr>
  </w:style>
  <w:style w:type="character" w:customStyle="1" w:styleId="75">
    <w:name w:val="页眉 字符"/>
    <w:basedOn w:val="36"/>
    <w:link w:val="22"/>
    <w:semiHidden/>
    <w:qFormat/>
    <w:locked/>
    <w:uiPriority w:val="99"/>
    <w:rPr>
      <w:rFonts w:ascii="宋体" w:hAnsi="宋体" w:eastAsia="宋体"/>
      <w:sz w:val="18"/>
    </w:rPr>
  </w:style>
  <w:style w:type="character" w:customStyle="1" w:styleId="76">
    <w:name w:val="页脚 字符"/>
    <w:basedOn w:val="36"/>
    <w:link w:val="21"/>
    <w:qFormat/>
    <w:locked/>
    <w:uiPriority w:val="99"/>
    <w:rPr>
      <w:rFonts w:ascii="宋体" w:hAnsi="宋体" w:eastAsia="宋体"/>
      <w:sz w:val="18"/>
    </w:rPr>
  </w:style>
  <w:style w:type="paragraph" w:customStyle="1" w:styleId="77">
    <w:name w:val="List Paragraph"/>
    <w:basedOn w:val="1"/>
    <w:qFormat/>
    <w:uiPriority w:val="99"/>
    <w:pPr>
      <w:ind w:firstLine="420" w:firstLineChars="200"/>
    </w:pPr>
  </w:style>
  <w:style w:type="paragraph" w:customStyle="1" w:styleId="78">
    <w:name w:val="font56441"/>
    <w:basedOn w:val="1"/>
    <w:qFormat/>
    <w:uiPriority w:val="99"/>
    <w:pPr>
      <w:spacing w:before="100" w:beforeAutospacing="1" w:after="100" w:afterAutospacing="1"/>
    </w:pPr>
    <w:rPr>
      <w:sz w:val="18"/>
      <w:szCs w:val="18"/>
    </w:rPr>
  </w:style>
  <w:style w:type="paragraph" w:customStyle="1" w:styleId="79">
    <w:name w:val="font66441"/>
    <w:basedOn w:val="1"/>
    <w:qFormat/>
    <w:uiPriority w:val="99"/>
    <w:pPr>
      <w:spacing w:before="100" w:beforeAutospacing="1" w:after="100" w:afterAutospacing="1"/>
    </w:pPr>
    <w:rPr>
      <w:sz w:val="18"/>
      <w:szCs w:val="18"/>
    </w:rPr>
  </w:style>
  <w:style w:type="paragraph" w:customStyle="1" w:styleId="80">
    <w:name w:val="xl756441"/>
    <w:basedOn w:val="1"/>
    <w:qFormat/>
    <w:uiPriority w:val="99"/>
    <w:pPr>
      <w:shd w:val="clear" w:color="000000" w:fill="FFFFFF"/>
      <w:spacing w:before="100" w:beforeAutospacing="1" w:after="100" w:afterAutospacing="1"/>
      <w:textAlignment w:val="center"/>
    </w:pPr>
    <w:rPr>
      <w:color w:val="000000"/>
      <w:sz w:val="20"/>
      <w:szCs w:val="20"/>
    </w:rPr>
  </w:style>
  <w:style w:type="paragraph" w:customStyle="1" w:styleId="81">
    <w:name w:val="xl766441"/>
    <w:basedOn w:val="1"/>
    <w:qFormat/>
    <w:uiPriority w:val="99"/>
    <w:pPr>
      <w:shd w:val="clear" w:color="000000" w:fill="FFFFFF"/>
      <w:spacing w:before="100" w:beforeAutospacing="1" w:after="100" w:afterAutospacing="1"/>
      <w:textAlignment w:val="center"/>
    </w:pPr>
    <w:rPr>
      <w:b/>
      <w:bCs/>
      <w:color w:val="000000"/>
      <w:sz w:val="20"/>
      <w:szCs w:val="20"/>
    </w:rPr>
  </w:style>
  <w:style w:type="paragraph" w:customStyle="1" w:styleId="82">
    <w:name w:val="xl77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83">
    <w:name w:val="xl786441"/>
    <w:basedOn w:val="1"/>
    <w:qFormat/>
    <w:uiPriority w:val="99"/>
    <w:pPr>
      <w:shd w:val="clear" w:color="000000" w:fill="FFFFFF"/>
      <w:spacing w:before="100" w:beforeAutospacing="1" w:after="100" w:afterAutospacing="1"/>
      <w:textAlignment w:val="center"/>
    </w:pPr>
    <w:rPr>
      <w:rFonts w:ascii="黑体" w:hAnsi="黑体" w:eastAsia="黑体"/>
      <w:color w:val="000000"/>
      <w:sz w:val="22"/>
      <w:szCs w:val="22"/>
    </w:rPr>
  </w:style>
  <w:style w:type="paragraph" w:customStyle="1" w:styleId="84">
    <w:name w:val="xl796441"/>
    <w:basedOn w:val="1"/>
    <w:qFormat/>
    <w:uiPriority w:val="99"/>
    <w:pPr>
      <w:pBdr>
        <w:bottom w:val="single" w:color="auto" w:sz="4" w:space="0"/>
      </w:pBdr>
      <w:shd w:val="clear" w:color="000000" w:fill="FFFFFF"/>
      <w:spacing w:before="100" w:beforeAutospacing="1" w:after="100" w:afterAutospacing="1"/>
      <w:jc w:val="center"/>
      <w:textAlignment w:val="center"/>
    </w:pPr>
    <w:rPr>
      <w:rFonts w:ascii="黑体" w:hAnsi="黑体" w:eastAsia="黑体"/>
      <w:sz w:val="36"/>
      <w:szCs w:val="36"/>
    </w:rPr>
  </w:style>
  <w:style w:type="paragraph" w:customStyle="1" w:styleId="85">
    <w:name w:val="xl806441"/>
    <w:basedOn w:val="1"/>
    <w:qFormat/>
    <w:uiPriority w:val="99"/>
    <w:pPr>
      <w:spacing w:before="100" w:beforeAutospacing="1" w:after="100" w:afterAutospacing="1"/>
      <w:jc w:val="center"/>
      <w:textAlignment w:val="center"/>
    </w:pPr>
    <w:rPr>
      <w:sz w:val="28"/>
      <w:szCs w:val="28"/>
    </w:rPr>
  </w:style>
  <w:style w:type="paragraph" w:customStyle="1" w:styleId="86">
    <w:name w:val="xl816441"/>
    <w:basedOn w:val="1"/>
    <w:qFormat/>
    <w:uiPriority w:val="99"/>
    <w:pPr>
      <w:shd w:val="clear" w:color="000000" w:fill="FFFFFF"/>
      <w:spacing w:before="100" w:beforeAutospacing="1" w:after="100" w:afterAutospacing="1"/>
      <w:textAlignment w:val="center"/>
    </w:pPr>
    <w:rPr>
      <w:rFonts w:ascii="仿宋_GB2312" w:eastAsia="仿宋_GB2312"/>
      <w:color w:val="000000"/>
      <w:sz w:val="22"/>
      <w:szCs w:val="22"/>
    </w:rPr>
  </w:style>
  <w:style w:type="paragraph" w:customStyle="1" w:styleId="87">
    <w:name w:val="xl826441"/>
    <w:basedOn w:val="1"/>
    <w:qFormat/>
    <w:uiPriority w:val="99"/>
    <w:pPr>
      <w:pBdr>
        <w:top w:val="single" w:color="auto" w:sz="4" w:space="1"/>
        <w:left w:val="single" w:color="auto" w:sz="4" w:space="1"/>
        <w:bottom w:val="single" w:color="auto" w:sz="4" w:space="0"/>
      </w:pBdr>
      <w:shd w:val="clear" w:color="000000" w:fill="FFFFFF"/>
      <w:spacing w:before="100" w:beforeAutospacing="1" w:after="100" w:afterAutospacing="1"/>
      <w:jc w:val="center"/>
      <w:textAlignment w:val="center"/>
    </w:pPr>
    <w:rPr>
      <w:b/>
      <w:bCs/>
      <w:sz w:val="20"/>
      <w:szCs w:val="20"/>
    </w:rPr>
  </w:style>
  <w:style w:type="paragraph" w:customStyle="1" w:styleId="88">
    <w:name w:val="xl8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b/>
      <w:bCs/>
      <w:sz w:val="20"/>
      <w:szCs w:val="20"/>
    </w:rPr>
  </w:style>
  <w:style w:type="paragraph" w:customStyle="1" w:styleId="89">
    <w:name w:val="xl84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90">
    <w:name w:val="xl85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1">
    <w:name w:val="xl86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2">
    <w:name w:val="xl87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sz w:val="20"/>
      <w:szCs w:val="20"/>
    </w:rPr>
  </w:style>
  <w:style w:type="paragraph" w:customStyle="1" w:styleId="93">
    <w:name w:val="xl88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color w:val="000000"/>
      <w:sz w:val="20"/>
      <w:szCs w:val="20"/>
    </w:rPr>
  </w:style>
  <w:style w:type="paragraph" w:customStyle="1" w:styleId="94">
    <w:name w:val="xl89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textAlignment w:val="center"/>
    </w:pPr>
    <w:rPr>
      <w:sz w:val="20"/>
      <w:szCs w:val="20"/>
    </w:rPr>
  </w:style>
  <w:style w:type="paragraph" w:customStyle="1" w:styleId="95">
    <w:name w:val="xl906441"/>
    <w:basedOn w:val="1"/>
    <w:qFormat/>
    <w:uiPriority w:val="99"/>
    <w:pPr>
      <w:shd w:val="clear" w:color="000000" w:fill="FFFFFF"/>
      <w:spacing w:before="100" w:beforeAutospacing="1" w:after="100" w:afterAutospacing="1"/>
      <w:textAlignment w:val="center"/>
    </w:pPr>
    <w:rPr>
      <w:color w:val="000000"/>
      <w:sz w:val="22"/>
      <w:szCs w:val="22"/>
    </w:rPr>
  </w:style>
  <w:style w:type="paragraph" w:customStyle="1" w:styleId="96">
    <w:name w:val="xl916441"/>
    <w:basedOn w:val="1"/>
    <w:qFormat/>
    <w:uiPriority w:val="99"/>
    <w:pPr>
      <w:shd w:val="clear" w:color="000000" w:fill="FFFFFF"/>
      <w:spacing w:before="100" w:beforeAutospacing="1" w:after="100" w:afterAutospacing="1"/>
      <w:textAlignment w:val="center"/>
    </w:pPr>
    <w:rPr>
      <w:sz w:val="20"/>
      <w:szCs w:val="20"/>
    </w:rPr>
  </w:style>
  <w:style w:type="paragraph" w:customStyle="1" w:styleId="97">
    <w:name w:val="xl926441"/>
    <w:basedOn w:val="1"/>
    <w:qFormat/>
    <w:uiPriority w:val="99"/>
    <w:pPr>
      <w:shd w:val="clear" w:color="000000" w:fill="FFFFFF"/>
      <w:spacing w:before="100" w:beforeAutospacing="1" w:after="100" w:afterAutospacing="1"/>
      <w:jc w:val="center"/>
      <w:textAlignment w:val="center"/>
    </w:pPr>
    <w:rPr>
      <w:rFonts w:ascii="黑体" w:hAnsi="黑体" w:eastAsia="黑体"/>
      <w:sz w:val="32"/>
      <w:szCs w:val="32"/>
    </w:rPr>
  </w:style>
  <w:style w:type="paragraph" w:customStyle="1" w:styleId="98">
    <w:name w:val="xl936441"/>
    <w:basedOn w:val="1"/>
    <w:qFormat/>
    <w:uiPriority w:val="99"/>
    <w:pPr>
      <w:pBdr>
        <w:top w:val="single" w:color="auto" w:sz="4" w:space="1"/>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b/>
      <w:bCs/>
      <w:color w:val="000000"/>
      <w:sz w:val="20"/>
      <w:szCs w:val="20"/>
    </w:rPr>
  </w:style>
  <w:style w:type="paragraph" w:customStyle="1" w:styleId="99">
    <w:name w:val="xl946441"/>
    <w:basedOn w:val="1"/>
    <w:qFormat/>
    <w:uiPriority w:val="99"/>
    <w:pPr>
      <w:pBdr>
        <w:top w:val="single" w:color="auto" w:sz="4" w:space="1"/>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0">
    <w:name w:val="xl956441"/>
    <w:basedOn w:val="1"/>
    <w:qFormat/>
    <w:uiPriority w:val="99"/>
    <w:pPr>
      <w:pBdr>
        <w:left w:val="single" w:color="auto" w:sz="4" w:space="1"/>
        <w:right w:val="single" w:color="auto" w:sz="4" w:space="1"/>
      </w:pBdr>
      <w:shd w:val="clear" w:color="000000" w:fill="FFFFFF"/>
      <w:spacing w:before="100" w:beforeAutospacing="1" w:after="100" w:afterAutospacing="1"/>
      <w:jc w:val="center"/>
      <w:textAlignment w:val="center"/>
    </w:pPr>
    <w:rPr>
      <w:sz w:val="20"/>
      <w:szCs w:val="20"/>
    </w:rPr>
  </w:style>
  <w:style w:type="paragraph" w:customStyle="1" w:styleId="101">
    <w:name w:val="xl966441"/>
    <w:basedOn w:val="1"/>
    <w:qFormat/>
    <w:uiPriority w:val="99"/>
    <w:pPr>
      <w:pBdr>
        <w:left w:val="single" w:color="auto" w:sz="4" w:space="1"/>
        <w:bottom w:val="single" w:color="auto" w:sz="4" w:space="0"/>
        <w:right w:val="single" w:color="auto" w:sz="4" w:space="1"/>
      </w:pBdr>
      <w:shd w:val="clear" w:color="000000" w:fill="FFFFFF"/>
      <w:spacing w:before="100" w:beforeAutospacing="1" w:after="100" w:afterAutospacing="1"/>
      <w:jc w:val="center"/>
      <w:textAlignment w:val="center"/>
    </w:pPr>
    <w:rPr>
      <w:sz w:val="20"/>
      <w:szCs w:val="20"/>
    </w:rPr>
  </w:style>
  <w:style w:type="character" w:customStyle="1" w:styleId="102">
    <w:name w:val="批注框文本 Char"/>
    <w:qFormat/>
    <w:locked/>
    <w:uiPriority w:val="99"/>
    <w:rPr>
      <w:rFonts w:ascii="Calibri" w:hAnsi="Calibri"/>
      <w:kern w:val="2"/>
      <w:sz w:val="18"/>
    </w:rPr>
  </w:style>
  <w:style w:type="character" w:customStyle="1" w:styleId="103">
    <w:name w:val="批注框文本 字符"/>
    <w:basedOn w:val="36"/>
    <w:link w:val="20"/>
    <w:semiHidden/>
    <w:qFormat/>
    <w:uiPriority w:val="99"/>
    <w:rPr>
      <w:rFonts w:ascii="宋体" w:hAnsi="宋体" w:cs="宋体"/>
      <w:kern w:val="0"/>
      <w:sz w:val="0"/>
      <w:szCs w:val="0"/>
    </w:rPr>
  </w:style>
  <w:style w:type="character" w:customStyle="1" w:styleId="104">
    <w:name w:val="脚注文本 Char"/>
    <w:qFormat/>
    <w:locked/>
    <w:uiPriority w:val="99"/>
    <w:rPr>
      <w:rFonts w:ascii="Calibri" w:hAnsi="Calibri"/>
      <w:kern w:val="2"/>
      <w:sz w:val="18"/>
    </w:rPr>
  </w:style>
  <w:style w:type="character" w:customStyle="1" w:styleId="105">
    <w:name w:val="脚注文本 字符"/>
    <w:basedOn w:val="36"/>
    <w:link w:val="26"/>
    <w:semiHidden/>
    <w:qFormat/>
    <w:uiPriority w:val="99"/>
    <w:rPr>
      <w:rFonts w:ascii="宋体" w:hAnsi="宋体" w:cs="宋体"/>
      <w:kern w:val="0"/>
      <w:sz w:val="18"/>
      <w:szCs w:val="18"/>
    </w:rPr>
  </w:style>
  <w:style w:type="character" w:customStyle="1" w:styleId="106">
    <w:name w:val="文档结构图 Char"/>
    <w:qFormat/>
    <w:locked/>
    <w:uiPriority w:val="99"/>
    <w:rPr>
      <w:rFonts w:ascii="宋体" w:hAnsi="Calibri" w:eastAsia="宋体"/>
      <w:kern w:val="2"/>
      <w:sz w:val="18"/>
    </w:rPr>
  </w:style>
  <w:style w:type="character" w:customStyle="1" w:styleId="107">
    <w:name w:val="文档结构图 字符"/>
    <w:basedOn w:val="36"/>
    <w:link w:val="12"/>
    <w:semiHidden/>
    <w:qFormat/>
    <w:uiPriority w:val="99"/>
    <w:rPr>
      <w:rFonts w:cs="宋体"/>
      <w:kern w:val="0"/>
      <w:sz w:val="0"/>
      <w:szCs w:val="0"/>
    </w:rPr>
  </w:style>
  <w:style w:type="character" w:customStyle="1" w:styleId="108">
    <w:name w:val="标题 字符"/>
    <w:basedOn w:val="36"/>
    <w:link w:val="32"/>
    <w:qFormat/>
    <w:locked/>
    <w:uiPriority w:val="99"/>
    <w:rPr>
      <w:rFonts w:ascii="Cambria" w:hAnsi="Cambria" w:eastAsia="宋体"/>
      <w:b/>
      <w:kern w:val="2"/>
      <w:sz w:val="32"/>
    </w:rPr>
  </w:style>
  <w:style w:type="character" w:customStyle="1" w:styleId="109">
    <w:name w:val="副标题 字符"/>
    <w:basedOn w:val="36"/>
    <w:link w:val="25"/>
    <w:qFormat/>
    <w:locked/>
    <w:uiPriority w:val="99"/>
    <w:rPr>
      <w:rFonts w:ascii="Cambria" w:hAnsi="Cambria" w:eastAsia="宋体"/>
      <w:b/>
      <w:kern w:val="28"/>
      <w:sz w:val="32"/>
    </w:rPr>
  </w:style>
  <w:style w:type="paragraph" w:customStyle="1" w:styleId="110">
    <w:name w:val="No Spacing"/>
    <w:link w:val="111"/>
    <w:qFormat/>
    <w:uiPriority w:val="99"/>
    <w:pPr>
      <w:ind w:firstLine="200" w:firstLineChars="200"/>
    </w:pPr>
    <w:rPr>
      <w:rFonts w:ascii="Times New Roman" w:hAnsi="Times New Roman" w:eastAsia="仿宋_GB2312" w:cs="Times New Roman"/>
      <w:sz w:val="30"/>
      <w:szCs w:val="22"/>
      <w:lang w:val="en-US" w:eastAsia="zh-CN" w:bidi="ar-SA"/>
    </w:rPr>
  </w:style>
  <w:style w:type="character" w:customStyle="1" w:styleId="111">
    <w:name w:val="无间隔 字符"/>
    <w:link w:val="110"/>
    <w:qFormat/>
    <w:locked/>
    <w:uiPriority w:val="99"/>
    <w:rPr>
      <w:rFonts w:eastAsia="仿宋_GB2312"/>
      <w:sz w:val="30"/>
      <w:szCs w:val="22"/>
      <w:lang w:bidi="ar-SA"/>
    </w:rPr>
  </w:style>
  <w:style w:type="character" w:customStyle="1" w:styleId="112">
    <w:name w:val="目录 3 字符"/>
    <w:link w:val="17"/>
    <w:qFormat/>
    <w:locked/>
    <w:uiPriority w:val="39"/>
    <w:rPr>
      <w:rFonts w:eastAsia="宋体" w:cstheme="minorHAnsi"/>
      <w:i/>
      <w:iCs/>
    </w:rPr>
  </w:style>
  <w:style w:type="character" w:customStyle="1" w:styleId="113">
    <w:name w:val="目录 1 字符"/>
    <w:link w:val="23"/>
    <w:qFormat/>
    <w:locked/>
    <w:uiPriority w:val="39"/>
    <w:rPr>
      <w:rFonts w:eastAsia="宋体" w:cstheme="minorHAnsi"/>
      <w:b/>
      <w:bCs/>
      <w:i/>
      <w:iCs/>
      <w:caps/>
    </w:rPr>
  </w:style>
  <w:style w:type="character" w:customStyle="1" w:styleId="114">
    <w:name w:val="目录 2 字符"/>
    <w:link w:val="28"/>
    <w:qFormat/>
    <w:locked/>
    <w:uiPriority w:val="39"/>
    <w:rPr>
      <w:rFonts w:eastAsia="宋体" w:cstheme="minorHAnsi"/>
      <w:i/>
      <w:iCs/>
      <w:smallCaps/>
    </w:rPr>
  </w:style>
  <w:style w:type="paragraph" w:customStyle="1" w:styleId="115">
    <w:name w:val="目录一"/>
    <w:basedOn w:val="28"/>
    <w:link w:val="116"/>
    <w:qFormat/>
    <w:uiPriority w:val="99"/>
    <w:rPr>
      <w:rFonts w:eastAsia="黑体"/>
      <w:b/>
      <w:iCs/>
      <w:caps/>
      <w:sz w:val="28"/>
    </w:rPr>
  </w:style>
  <w:style w:type="character" w:customStyle="1" w:styleId="116">
    <w:name w:val="目录一 Char"/>
    <w:link w:val="115"/>
    <w:qFormat/>
    <w:locked/>
    <w:uiPriority w:val="99"/>
    <w:rPr>
      <w:rFonts w:ascii="华文中宋" w:hAnsi="华文中宋" w:eastAsia="黑体"/>
      <w:b/>
      <w:caps/>
      <w:smallCaps/>
      <w:kern w:val="2"/>
      <w:sz w:val="28"/>
    </w:rPr>
  </w:style>
  <w:style w:type="paragraph" w:customStyle="1" w:styleId="117">
    <w:name w:val="目录1"/>
    <w:basedOn w:val="17"/>
    <w:link w:val="118"/>
    <w:qFormat/>
    <w:uiPriority w:val="99"/>
    <w:pPr>
      <w:spacing w:line="400" w:lineRule="exact"/>
    </w:pPr>
    <w:rPr>
      <w:sz w:val="28"/>
    </w:rPr>
  </w:style>
  <w:style w:type="character" w:customStyle="1" w:styleId="118">
    <w:name w:val="目录1 Char"/>
    <w:link w:val="117"/>
    <w:qFormat/>
    <w:locked/>
    <w:uiPriority w:val="99"/>
    <w:rPr>
      <w:rFonts w:ascii="黑体" w:hAnsi="黑体" w:eastAsia="黑体"/>
      <w:kern w:val="2"/>
      <w:sz w:val="28"/>
    </w:rPr>
  </w:style>
  <w:style w:type="paragraph" w:customStyle="1" w:styleId="119">
    <w:name w:val="目录标题"/>
    <w:basedOn w:val="3"/>
    <w:link w:val="120"/>
    <w:qFormat/>
    <w:uiPriority w:val="99"/>
    <w:pPr>
      <w:ind w:firstLine="200"/>
    </w:pPr>
    <w:rPr>
      <w:bCs w:val="0"/>
      <w:sz w:val="44"/>
      <w:szCs w:val="20"/>
    </w:rPr>
  </w:style>
  <w:style w:type="character" w:customStyle="1" w:styleId="120">
    <w:name w:val="目录标题 Char"/>
    <w:link w:val="119"/>
    <w:qFormat/>
    <w:locked/>
    <w:uiPriority w:val="99"/>
    <w:rPr>
      <w:rFonts w:ascii="宋体" w:hAnsi="宋体" w:eastAsia="华文中宋"/>
      <w:sz w:val="44"/>
    </w:rPr>
  </w:style>
  <w:style w:type="paragraph" w:customStyle="1" w:styleId="121">
    <w:name w:val="目录（一）"/>
    <w:basedOn w:val="117"/>
    <w:link w:val="122"/>
    <w:qFormat/>
    <w:uiPriority w:val="99"/>
    <w:rPr>
      <w:sz w:val="24"/>
    </w:rPr>
  </w:style>
  <w:style w:type="character" w:customStyle="1" w:styleId="122">
    <w:name w:val="目录（一） Char"/>
    <w:link w:val="121"/>
    <w:qFormat/>
    <w:locked/>
    <w:uiPriority w:val="99"/>
    <w:rPr>
      <w:rFonts w:ascii="黑体" w:hAnsi="黑体" w:eastAsia="黑体"/>
      <w:kern w:val="2"/>
      <w:sz w:val="24"/>
    </w:rPr>
  </w:style>
  <w:style w:type="character" w:customStyle="1" w:styleId="123">
    <w:name w:val="访问过的超链接1"/>
    <w:qFormat/>
    <w:uiPriority w:val="99"/>
    <w:rPr>
      <w:rFonts w:eastAsia="宋体"/>
      <w:color w:val="800080"/>
      <w:kern w:val="2"/>
      <w:sz w:val="24"/>
      <w:u w:val="single"/>
      <w:lang w:val="en-US" w:eastAsia="zh-CN"/>
    </w:rPr>
  </w:style>
  <w:style w:type="character" w:customStyle="1" w:styleId="124">
    <w:name w:val="Body Text Indent Char"/>
    <w:qFormat/>
    <w:locked/>
    <w:uiPriority w:val="99"/>
    <w:rPr>
      <w:rFonts w:ascii="仿宋_GB2312" w:eastAsia="仿宋_GB2312"/>
      <w:sz w:val="30"/>
    </w:rPr>
  </w:style>
  <w:style w:type="character" w:customStyle="1" w:styleId="125">
    <w:name w:val="Body Text Indent Char1"/>
    <w:basedOn w:val="36"/>
    <w:semiHidden/>
    <w:qFormat/>
    <w:uiPriority w:val="99"/>
    <w:rPr>
      <w:rFonts w:ascii="仿宋_GB2312" w:hAnsi="宋体" w:eastAsia="仿宋_GB2312"/>
      <w:color w:val="000000"/>
      <w:kern w:val="16"/>
      <w:sz w:val="30"/>
    </w:rPr>
  </w:style>
  <w:style w:type="character" w:customStyle="1" w:styleId="126">
    <w:name w:val="正文文本缩进 字符"/>
    <w:link w:val="15"/>
    <w:qFormat/>
    <w:locked/>
    <w:uiPriority w:val="99"/>
    <w:rPr>
      <w:rFonts w:ascii="仿宋_GB2312" w:hAnsi="Calibri" w:eastAsia="仿宋_GB2312"/>
      <w:sz w:val="30"/>
    </w:rPr>
  </w:style>
  <w:style w:type="character" w:customStyle="1" w:styleId="127">
    <w:name w:val="批注文字 字符"/>
    <w:basedOn w:val="36"/>
    <w:link w:val="13"/>
    <w:semiHidden/>
    <w:qFormat/>
    <w:locked/>
    <w:uiPriority w:val="99"/>
    <w:rPr>
      <w:rFonts w:ascii="仿宋_GB2312" w:hAnsi="宋体" w:eastAsia="仿宋_GB2312"/>
      <w:color w:val="000000"/>
      <w:kern w:val="16"/>
      <w:sz w:val="30"/>
    </w:rPr>
  </w:style>
  <w:style w:type="character" w:customStyle="1" w:styleId="128">
    <w:name w:val="批注主题 字符"/>
    <w:basedOn w:val="127"/>
    <w:link w:val="33"/>
    <w:semiHidden/>
    <w:qFormat/>
    <w:locked/>
    <w:uiPriority w:val="99"/>
    <w:rPr>
      <w:rFonts w:ascii="仿宋_GB2312" w:hAnsi="宋体" w:eastAsia="仿宋_GB2312"/>
      <w:b/>
      <w:color w:val="000000"/>
      <w:kern w:val="16"/>
      <w:sz w:val="30"/>
    </w:rPr>
  </w:style>
  <w:style w:type="paragraph" w:customStyle="1" w:styleId="129">
    <w:name w:val="默认段落字体 Para Char Char Char Char Char Char Char"/>
    <w:basedOn w:val="1"/>
    <w:qFormat/>
    <w:uiPriority w:val="99"/>
    <w:pPr>
      <w:widowControl w:val="0"/>
      <w:jc w:val="both"/>
    </w:pPr>
    <w:rPr>
      <w:rFonts w:ascii="Arial" w:hAnsi="Arial" w:cs="Arial"/>
      <w:kern w:val="2"/>
      <w:sz w:val="20"/>
      <w:szCs w:val="20"/>
    </w:rPr>
  </w:style>
  <w:style w:type="paragraph" w:customStyle="1" w:styleId="130">
    <w:name w:val="Char"/>
    <w:basedOn w:val="1"/>
    <w:qFormat/>
    <w:uiPriority w:val="99"/>
    <w:pPr>
      <w:widowControl w:val="0"/>
      <w:jc w:val="both"/>
    </w:pPr>
    <w:rPr>
      <w:rFonts w:ascii="仿宋_GB2312" w:eastAsia="仿宋_GB2312" w:cs="仿宋_GB2312"/>
      <w:color w:val="000000"/>
      <w:kern w:val="16"/>
      <w:sz w:val="30"/>
      <w:szCs w:val="30"/>
    </w:rPr>
  </w:style>
  <w:style w:type="paragraph" w:customStyle="1" w:styleId="131">
    <w:name w:val="样式5"/>
    <w:basedOn w:val="2"/>
    <w:qFormat/>
    <w:uiPriority w:val="99"/>
    <w:pPr>
      <w:widowControl/>
      <w:tabs>
        <w:tab w:val="left" w:pos="794"/>
        <w:tab w:val="left" w:pos="2127"/>
        <w:tab w:val="left" w:pos="2410"/>
        <w:tab w:val="left" w:pos="2921"/>
        <w:tab w:val="left" w:pos="3261"/>
      </w:tabs>
      <w:overflowPunct w:val="0"/>
      <w:autoSpaceDE w:val="0"/>
      <w:autoSpaceDN w:val="0"/>
      <w:adjustRightInd w:val="0"/>
      <w:spacing w:beforeLines="50" w:afterLines="50" w:line="240" w:lineRule="auto"/>
      <w:ind w:left="1276"/>
      <w:jc w:val="center"/>
      <w:textAlignment w:val="baseline"/>
    </w:pPr>
    <w:rPr>
      <w:rFonts w:ascii="黑体" w:eastAsia="黑体" w:cs="黑体"/>
      <w:b w:val="0"/>
      <w:kern w:val="0"/>
      <w:sz w:val="36"/>
      <w:szCs w:val="36"/>
      <w:lang w:val="en-GB"/>
    </w:rPr>
  </w:style>
  <w:style w:type="paragraph" w:customStyle="1" w:styleId="132">
    <w:name w:val="Char Char Char Char Char Char Char"/>
    <w:basedOn w:val="12"/>
    <w:qFormat/>
    <w:uiPriority w:val="99"/>
    <w:pPr>
      <w:shd w:val="clear" w:color="auto" w:fill="000080"/>
      <w:adjustRightInd w:val="0"/>
      <w:spacing w:line="360" w:lineRule="auto"/>
      <w:ind w:left="1276"/>
      <w:jc w:val="center"/>
      <w:outlineLvl w:val="3"/>
    </w:pPr>
    <w:rPr>
      <w:rFonts w:ascii="Tahoma" w:hAnsi="Tahoma" w:eastAsia="仿宋_GB2312" w:cs="Tahoma"/>
      <w:color w:val="000000"/>
      <w:kern w:val="16"/>
      <w:sz w:val="24"/>
      <w:szCs w:val="24"/>
    </w:rPr>
  </w:style>
  <w:style w:type="paragraph" w:customStyle="1" w:styleId="133">
    <w:name w:val="样式 标题 2一级条标题l22Heading 2 CharH2H3二级h22nd levelheading ...1"/>
    <w:basedOn w:val="3"/>
    <w:qFormat/>
    <w:uiPriority w:val="99"/>
    <w:pPr>
      <w:spacing w:beforeLines="50" w:afterLines="50"/>
      <w:ind w:left="1276"/>
    </w:pPr>
    <w:rPr>
      <w:rFonts w:ascii="黑体" w:hAnsi="Times New Roman" w:eastAsia="黑体" w:cs="黑体"/>
      <w:bCs w:val="0"/>
      <w:color w:val="000000"/>
      <w:kern w:val="16"/>
      <w:szCs w:val="30"/>
    </w:rPr>
  </w:style>
  <w:style w:type="paragraph" w:customStyle="1" w:styleId="134">
    <w:name w:val="tgt1"/>
    <w:basedOn w:val="1"/>
    <w:qFormat/>
    <w:uiPriority w:val="99"/>
    <w:pPr>
      <w:spacing w:after="150"/>
    </w:pPr>
  </w:style>
  <w:style w:type="paragraph" w:customStyle="1" w:styleId="135">
    <w:name w:val="样式 标题 3二级条标题h3第二层条第三层1.1.1 标题 3l3CT3h4Heading 3 - old...2"/>
    <w:basedOn w:val="1"/>
    <w:qFormat/>
    <w:uiPriority w:val="99"/>
    <w:pPr>
      <w:widowControl w:val="0"/>
      <w:ind w:left="1276"/>
      <w:jc w:val="both"/>
    </w:pPr>
    <w:rPr>
      <w:rFonts w:ascii="仿宋_GB2312" w:eastAsia="仿宋_GB2312" w:cs="仿宋_GB2312"/>
      <w:color w:val="000000"/>
      <w:kern w:val="16"/>
      <w:sz w:val="30"/>
      <w:szCs w:val="30"/>
    </w:rPr>
  </w:style>
  <w:style w:type="paragraph" w:customStyle="1" w:styleId="136">
    <w:name w:val="Char Char Char Char"/>
    <w:basedOn w:val="1"/>
    <w:qFormat/>
    <w:uiPriority w:val="99"/>
    <w:pPr>
      <w:widowControl w:val="0"/>
      <w:tabs>
        <w:tab w:val="left" w:pos="1415"/>
      </w:tabs>
      <w:ind w:left="1415" w:hanging="855"/>
      <w:jc w:val="both"/>
    </w:pPr>
    <w:rPr>
      <w:rFonts w:ascii="Times New Roman" w:hAnsi="Times New Roman" w:cs="Times New Roman"/>
      <w:kern w:val="2"/>
    </w:rPr>
  </w:style>
  <w:style w:type="paragraph" w:customStyle="1" w:styleId="137">
    <w:name w:val="修订1"/>
    <w:hidden/>
    <w:semiHidden/>
    <w:qFormat/>
    <w:uiPriority w:val="99"/>
    <w:rPr>
      <w:rFonts w:ascii="仿宋_GB2312" w:hAnsi="宋体" w:eastAsia="仿宋_GB2312" w:cs="仿宋_GB2312"/>
      <w:color w:val="000000"/>
      <w:kern w:val="16"/>
      <w:sz w:val="30"/>
      <w:szCs w:val="30"/>
      <w:lang w:val="en-US" w:eastAsia="zh-CN" w:bidi="ar-SA"/>
    </w:rPr>
  </w:style>
  <w:style w:type="paragraph" w:customStyle="1" w:styleId="138">
    <w:name w:val="样式1"/>
    <w:basedOn w:val="1"/>
    <w:link w:val="139"/>
    <w:qFormat/>
    <w:uiPriority w:val="99"/>
    <w:pPr>
      <w:jc w:val="both"/>
    </w:pPr>
    <w:rPr>
      <w:rFonts w:ascii="仿宋_GB2312" w:eastAsia="仿宋_GB2312" w:cs="Times New Roman"/>
      <w:kern w:val="16"/>
      <w:sz w:val="30"/>
      <w:szCs w:val="20"/>
    </w:rPr>
  </w:style>
  <w:style w:type="character" w:customStyle="1" w:styleId="139">
    <w:name w:val="样式1 Char"/>
    <w:link w:val="138"/>
    <w:qFormat/>
    <w:locked/>
    <w:uiPriority w:val="99"/>
    <w:rPr>
      <w:rFonts w:ascii="仿宋_GB2312" w:hAnsi="宋体" w:eastAsia="仿宋_GB2312"/>
      <w:kern w:val="16"/>
      <w:sz w:val="30"/>
    </w:rPr>
  </w:style>
  <w:style w:type="character" w:customStyle="1" w:styleId="140">
    <w:name w:val="HTML 预设格式 字符"/>
    <w:basedOn w:val="36"/>
    <w:link w:val="30"/>
    <w:semiHidden/>
    <w:qFormat/>
    <w:locked/>
    <w:uiPriority w:val="99"/>
    <w:rPr>
      <w:rFonts w:ascii="宋体" w:hAnsi="宋体" w:eastAsia="宋体"/>
      <w:sz w:val="24"/>
    </w:rPr>
  </w:style>
  <w:style w:type="paragraph" w:customStyle="1" w:styleId="141">
    <w:name w:val="TOC 标题1"/>
    <w:basedOn w:val="2"/>
    <w:next w:val="1"/>
    <w:qFormat/>
    <w:uiPriority w:val="99"/>
    <w:pPr>
      <w:widowControl/>
      <w:spacing w:before="480" w:after="0" w:line="276" w:lineRule="auto"/>
      <w:jc w:val="left"/>
      <w:outlineLvl w:val="9"/>
    </w:pPr>
    <w:rPr>
      <w:rFonts w:ascii="Cambria" w:hAnsi="Cambria" w:eastAsia="宋体" w:cs="Cambria"/>
      <w:bCs/>
      <w:color w:val="365F91"/>
      <w:kern w:val="0"/>
      <w:sz w:val="28"/>
      <w:szCs w:val="28"/>
    </w:rPr>
  </w:style>
  <w:style w:type="paragraph" w:customStyle="1" w:styleId="142">
    <w:name w:val="TOC 标题2"/>
    <w:basedOn w:val="2"/>
    <w:next w:val="1"/>
    <w:unhideWhenUsed/>
    <w:qFormat/>
    <w:uiPriority w:val="39"/>
    <w:pPr>
      <w:widowControl/>
      <w:spacing w:before="480" w:after="0" w:line="276" w:lineRule="auto"/>
      <w:jc w:val="left"/>
      <w:outlineLvl w:val="9"/>
    </w:pPr>
    <w:rPr>
      <w:rFonts w:asciiTheme="majorHAnsi" w:hAnsiTheme="majorHAnsi" w:eastAsiaTheme="majorEastAsia" w:cstheme="majorBidi"/>
      <w:bCs/>
      <w:color w:val="376092" w:themeColor="accent1" w:themeShade="BF"/>
      <w:kern w:val="0"/>
      <w:sz w:val="28"/>
      <w:szCs w:val="28"/>
    </w:rPr>
  </w:style>
  <w:style w:type="table" w:customStyle="1" w:styleId="143">
    <w:name w:val="Table Normal"/>
    <w:unhideWhenUsed/>
    <w:qFormat/>
    <w:uiPriority w:val="2"/>
    <w:pPr>
      <w:widowControl w:val="0"/>
    </w:pPr>
    <w:rPr>
      <w:sz w:val="22"/>
      <w:szCs w:val="22"/>
      <w:lang w:eastAsia="en-US"/>
    </w:rPr>
    <w:tblPr>
      <w:tblCellMar>
        <w:top w:w="0" w:type="dxa"/>
        <w:left w:w="0" w:type="dxa"/>
        <w:bottom w:w="0" w:type="dxa"/>
        <w:right w:w="0" w:type="dxa"/>
      </w:tblCellMar>
    </w:tblPr>
  </w:style>
  <w:style w:type="paragraph" w:customStyle="1" w:styleId="144">
    <w:name w:val="Table Paragraph"/>
    <w:basedOn w:val="1"/>
    <w:qFormat/>
    <w:uiPriority w:val="1"/>
    <w:pPr>
      <w:widowControl w:val="0"/>
    </w:pPr>
    <w:rPr>
      <w:rFonts w:asciiTheme="minorHAnsi" w:hAnsiTheme="minorHAnsi" w:eastAsiaTheme="minorEastAsia" w:cstheme="minorBidi"/>
      <w:sz w:val="22"/>
      <w:szCs w:val="22"/>
      <w:lang w:eastAsia="en-US"/>
    </w:rPr>
  </w:style>
  <w:style w:type="table" w:customStyle="1" w:styleId="145">
    <w:name w:val="Table Normal1"/>
    <w:unhideWhenUsed/>
    <w:qFormat/>
    <w:uiPriority w:val="2"/>
    <w:pPr>
      <w:widowControl w:val="0"/>
    </w:pPr>
    <w:rPr>
      <w:sz w:val="22"/>
      <w:szCs w:val="22"/>
      <w:lang w:eastAsia="en-US"/>
    </w:rPr>
    <w:tblPr>
      <w:tblCellMar>
        <w:top w:w="0" w:type="dxa"/>
        <w:left w:w="0" w:type="dxa"/>
        <w:bottom w:w="0" w:type="dxa"/>
        <w:right w:w="0" w:type="dxa"/>
      </w:tblCellMar>
    </w:tblPr>
  </w:style>
  <w:style w:type="table" w:customStyle="1" w:styleId="146">
    <w:name w:val="Table Normal2"/>
    <w:unhideWhenUsed/>
    <w:qFormat/>
    <w:uiPriority w:val="2"/>
    <w:pPr>
      <w:widowControl w:val="0"/>
    </w:pPr>
    <w:rPr>
      <w:sz w:val="22"/>
      <w:szCs w:val="22"/>
      <w:lang w:eastAsia="en-US"/>
    </w:rPr>
    <w:tblPr>
      <w:tblCellMar>
        <w:top w:w="0" w:type="dxa"/>
        <w:left w:w="0" w:type="dxa"/>
        <w:bottom w:w="0" w:type="dxa"/>
        <w:right w:w="0" w:type="dxa"/>
      </w:tblCellMar>
    </w:tblPr>
  </w:style>
  <w:style w:type="character" w:customStyle="1" w:styleId="147">
    <w:name w:val="Unresolved Mention"/>
    <w:basedOn w:val="36"/>
    <w:unhideWhenUsed/>
    <w:qFormat/>
    <w:uiPriority w:val="99"/>
    <w:rPr>
      <w:color w:val="605E5C"/>
      <w:shd w:val="clear" w:color="auto" w:fill="E1DFDD"/>
    </w:rPr>
  </w:style>
  <w:style w:type="paragraph" w:customStyle="1" w:styleId="148">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376092" w:themeColor="accent1" w:themeShade="BF"/>
      <w:kern w:val="0"/>
      <w:sz w:val="32"/>
      <w:szCs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2.xml"/><Relationship Id="rId4" Type="http://schemas.openxmlformats.org/officeDocument/2006/relationships/header" Target="header1.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png"/><Relationship Id="rId13" Type="http://schemas.openxmlformats.org/officeDocument/2006/relationships/image" Target="media/image4.png"/><Relationship Id="rId12" Type="http://schemas.openxmlformats.org/officeDocument/2006/relationships/image" Target="media/image3.png"/><Relationship Id="rId11" Type="http://schemas.openxmlformats.org/officeDocument/2006/relationships/image" Target="media/image2.pn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D32B03F-0224-4634-9F40-628C0143AF6F}">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15</Pages>
  <Words>1039</Words>
  <Characters>5926</Characters>
  <Lines>49</Lines>
  <Paragraphs>13</Paragraphs>
  <TotalTime>3</TotalTime>
  <ScaleCrop>false</ScaleCrop>
  <LinksUpToDate>false</LinksUpToDate>
  <CharactersWithSpaces>6952</CharactersWithSpaces>
  <Application>WPS Office_11.1.0.10578_F1E327BC-269C-435d-A152-05C5408002CA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2020-03-18T11:37:00Z</dcterms:created>
  <dc:creator>K2450</dc:creator>
  <cp:lastModifiedBy>敖拉哈勒境</cp:lastModifiedBy>
  <cp:lastPrinted>2018-03-01T03:24:00Z</cp:lastPrinted>
  <dcterms:modified xsi:type="dcterms:W3CDTF">2021-07-14T03:26:34Z</dcterms:modified>
  <dc:title>政府部门财务报告编制操作指南</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2052-11.1.0.10578</vt:lpwstr>
  </property>
  <property fmtid="{D5CDD505-2E9C-101B-9397-08002B2CF9AE}" pid="3" name="ICV">
    <vt:lpwstr>2005FA7558F04AF08975AF9F393A3075</vt:lpwstr>
  </property>
</Properties>
</file>