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20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21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年莫旗地方财政预算公开说明</w:t>
      </w: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按照《中华人民共和国预算法》及地方政府预算公开相关要求，现就20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 w:cs="仿宋"/>
          <w:sz w:val="32"/>
          <w:szCs w:val="32"/>
        </w:rPr>
        <w:t>年莫旗地方政府预算公开相关内容说明如下：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一、20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21</w:t>
      </w:r>
      <w:r>
        <w:rPr>
          <w:rFonts w:hint="eastAsia" w:ascii="黑体" w:hAnsi="黑体" w:eastAsia="黑体" w:cs="黑体"/>
          <w:sz w:val="32"/>
          <w:szCs w:val="32"/>
        </w:rPr>
        <w:t>年本级一般公共预算收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支</w:t>
      </w:r>
      <w:r>
        <w:rPr>
          <w:rFonts w:hint="eastAsia" w:ascii="黑体" w:hAnsi="黑体" w:eastAsia="黑体" w:cs="黑体"/>
          <w:sz w:val="32"/>
          <w:szCs w:val="32"/>
        </w:rPr>
        <w:t>情况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 w:cs="仿宋"/>
          <w:sz w:val="32"/>
          <w:szCs w:val="32"/>
        </w:rPr>
        <w:t>年，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根据</w:t>
      </w:r>
      <w:r>
        <w:rPr>
          <w:rFonts w:hint="eastAsia" w:ascii="仿宋" w:hAnsi="仿宋" w:eastAsia="仿宋" w:cs="仿宋"/>
          <w:sz w:val="32"/>
          <w:szCs w:val="32"/>
        </w:rPr>
        <w:t>莫旗实际，综合分析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收支增减因素</w:t>
      </w:r>
      <w:r>
        <w:rPr>
          <w:rFonts w:hint="eastAsia" w:ascii="仿宋" w:hAnsi="仿宋" w:eastAsia="仿宋" w:cs="仿宋"/>
          <w:sz w:val="32"/>
          <w:szCs w:val="32"/>
        </w:rPr>
        <w:t>，经测算，20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 w:cs="仿宋"/>
          <w:sz w:val="32"/>
          <w:szCs w:val="32"/>
        </w:rPr>
        <w:t>年旗本级一般公共预算收入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highlight w:val="none"/>
          <w:lang w:val="en-US" w:eastAsia="zh-CN"/>
        </w:rPr>
        <w:t>29,588</w:t>
      </w:r>
      <w:r>
        <w:rPr>
          <w:rFonts w:hint="eastAsia" w:ascii="仿宋" w:hAnsi="仿宋" w:eastAsia="仿宋" w:cs="仿宋"/>
          <w:sz w:val="32"/>
          <w:szCs w:val="32"/>
        </w:rPr>
        <w:t>万元，较</w:t>
      </w: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highlight w:val="none"/>
          <w:lang w:val="en-US" w:eastAsia="zh-CN"/>
        </w:rPr>
        <w:t>上年</w:t>
      </w:r>
      <w:r>
        <w:rPr>
          <w:rFonts w:hint="eastAsia" w:ascii="仿宋" w:hAnsi="仿宋" w:eastAsia="仿宋" w:cs="仿宋"/>
          <w:sz w:val="32"/>
          <w:szCs w:val="32"/>
        </w:rPr>
        <w:t>决算数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增加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highlight w:val="none"/>
          <w:lang w:val="en-US" w:eastAsia="zh-CN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637</w:t>
      </w:r>
      <w:r>
        <w:rPr>
          <w:rFonts w:hint="eastAsia" w:ascii="仿宋" w:hAnsi="仿宋" w:eastAsia="仿宋" w:cs="仿宋"/>
          <w:sz w:val="32"/>
          <w:szCs w:val="32"/>
        </w:rPr>
        <w:t>万元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highlight w:val="none"/>
          <w:lang w:val="en-US" w:eastAsia="zh-CN"/>
        </w:rPr>
        <w:t>增长9.78%</w:t>
      </w:r>
      <w:r>
        <w:rPr>
          <w:rFonts w:hint="eastAsia" w:ascii="仿宋" w:hAnsi="仿宋" w:eastAsia="仿宋" w:cs="仿宋"/>
          <w:sz w:val="32"/>
          <w:szCs w:val="32"/>
        </w:rPr>
        <w:t>其中：税收收入</w:t>
      </w: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highlight w:val="none"/>
          <w:lang w:val="en-US" w:eastAsia="zh-CN"/>
        </w:rPr>
        <w:t>10,056</w:t>
      </w:r>
      <w:r>
        <w:rPr>
          <w:rFonts w:hint="eastAsia" w:ascii="仿宋" w:hAnsi="仿宋" w:eastAsia="仿宋" w:cs="仿宋"/>
          <w:sz w:val="32"/>
          <w:szCs w:val="32"/>
        </w:rPr>
        <w:t>万元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较</w:t>
      </w: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highlight w:val="none"/>
          <w:lang w:val="en-US" w:eastAsia="zh-CN"/>
        </w:rPr>
        <w:t>上年</w:t>
      </w:r>
      <w:r>
        <w:rPr>
          <w:rFonts w:hint="eastAsia" w:ascii="仿宋" w:hAnsi="仿宋" w:eastAsia="仿宋" w:cs="仿宋"/>
          <w:sz w:val="32"/>
          <w:szCs w:val="32"/>
        </w:rPr>
        <w:t>决算数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增加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105</w:t>
      </w:r>
      <w:r>
        <w:rPr>
          <w:rFonts w:hint="eastAsia" w:ascii="仿宋" w:hAnsi="仿宋" w:eastAsia="仿宋" w:cs="仿宋"/>
          <w:sz w:val="32"/>
          <w:szCs w:val="32"/>
        </w:rPr>
        <w:t>万元，</w:t>
      </w: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highlight w:val="none"/>
          <w:lang w:val="en-US" w:eastAsia="zh-CN"/>
        </w:rPr>
        <w:t>增长1.06%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；</w:t>
      </w:r>
      <w:r>
        <w:rPr>
          <w:rFonts w:hint="eastAsia" w:ascii="仿宋" w:hAnsi="仿宋" w:eastAsia="仿宋" w:cs="仿宋"/>
          <w:sz w:val="32"/>
          <w:szCs w:val="32"/>
        </w:rPr>
        <w:t>非税收入19,532万元，较</w:t>
      </w: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highlight w:val="none"/>
          <w:lang w:val="en-US" w:eastAsia="zh-CN"/>
        </w:rPr>
        <w:t>上年</w:t>
      </w:r>
      <w:r>
        <w:rPr>
          <w:rFonts w:hint="eastAsia" w:ascii="仿宋" w:hAnsi="仿宋" w:eastAsia="仿宋" w:cs="仿宋"/>
          <w:sz w:val="32"/>
          <w:szCs w:val="32"/>
        </w:rPr>
        <w:t>决算数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增加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532</w:t>
      </w:r>
      <w:r>
        <w:rPr>
          <w:rFonts w:hint="eastAsia" w:ascii="仿宋" w:hAnsi="仿宋" w:eastAsia="仿宋" w:cs="仿宋"/>
          <w:sz w:val="32"/>
          <w:szCs w:val="32"/>
        </w:rPr>
        <w:t>万元，</w:t>
      </w: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highlight w:val="none"/>
          <w:lang w:val="en-US" w:eastAsia="zh-CN"/>
        </w:rPr>
        <w:t>14.89%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021年旗本级一般公共预算支出安排199,504万元，包括：基本支出预算安排120,450万元，较上年增加9,054万元，增长8.13%，占总财力的59.85%；项目支出安排79,054万元，较上年增加42,296万元，增长109.7%，占总财力的40.15%，主要为提前下达市专项及民生性、政策性和考核性支出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二、转移性支付情况</w:t>
      </w:r>
    </w:p>
    <w:p>
      <w:pPr>
        <w:ind w:firstLine="643" w:firstLineChars="200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（一）转移支付情况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 w:cs="仿宋"/>
          <w:sz w:val="32"/>
          <w:szCs w:val="32"/>
        </w:rPr>
        <w:t>年，年初预算转移性收入1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71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437</w:t>
      </w:r>
      <w:r>
        <w:rPr>
          <w:rFonts w:hint="eastAsia" w:ascii="仿宋" w:hAnsi="仿宋" w:eastAsia="仿宋" w:cs="仿宋"/>
          <w:sz w:val="32"/>
          <w:szCs w:val="32"/>
        </w:rPr>
        <w:t>万元，其中：一般性转移支付收入1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64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472</w:t>
      </w:r>
      <w:r>
        <w:rPr>
          <w:rFonts w:hint="eastAsia" w:ascii="仿宋" w:hAnsi="仿宋" w:eastAsia="仿宋" w:cs="仿宋"/>
          <w:sz w:val="32"/>
          <w:szCs w:val="32"/>
        </w:rPr>
        <w:t>万元，专项转移支付收入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175</w:t>
      </w:r>
      <w:r>
        <w:rPr>
          <w:rFonts w:hint="eastAsia" w:ascii="仿宋" w:hAnsi="仿宋" w:eastAsia="仿宋" w:cs="仿宋"/>
          <w:sz w:val="32"/>
          <w:szCs w:val="32"/>
        </w:rPr>
        <w:t>万元，结转上年专项转移支付收入2,083万元，税收返还性收入4,707万元。</w:t>
      </w:r>
    </w:p>
    <w:p>
      <w:pPr>
        <w:ind w:firstLine="643" w:firstLineChars="200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（二）转移支付安排情况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一般公共预算支出按资金来源划分，年初预算财力安排1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69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179</w:t>
      </w:r>
      <w:r>
        <w:rPr>
          <w:rFonts w:hint="eastAsia" w:ascii="仿宋" w:hAnsi="仿宋" w:eastAsia="仿宋" w:cs="仿宋"/>
          <w:sz w:val="32"/>
          <w:szCs w:val="32"/>
        </w:rPr>
        <w:t>万元，专项转移支付收入安排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175</w:t>
      </w:r>
      <w:r>
        <w:rPr>
          <w:rFonts w:hint="eastAsia" w:ascii="仿宋" w:hAnsi="仿宋" w:eastAsia="仿宋" w:cs="仿宋"/>
          <w:sz w:val="32"/>
          <w:szCs w:val="32"/>
        </w:rPr>
        <w:t>万元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，动用上年结转安排</w:t>
      </w:r>
      <w:r>
        <w:rPr>
          <w:rFonts w:hint="eastAsia" w:ascii="仿宋" w:hAnsi="仿宋" w:eastAsia="仿宋" w:cs="仿宋"/>
          <w:sz w:val="32"/>
          <w:szCs w:val="32"/>
        </w:rPr>
        <w:t>2,083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万元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专项转移支付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175万元，按照指标下达要求，分配用于民政局及其下属单位殡葬管理所，包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括高龄津贴142万元、文革“三民”生活补贴12万元、殡葬基本服务补助21万元。</w:t>
      </w:r>
    </w:p>
    <w:p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上年结转资金</w:t>
      </w:r>
      <w:r>
        <w:rPr>
          <w:rFonts w:hint="eastAsia" w:ascii="仿宋" w:hAnsi="仿宋" w:eastAsia="仿宋" w:cs="仿宋"/>
          <w:sz w:val="32"/>
          <w:szCs w:val="32"/>
        </w:rPr>
        <w:t>2,083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万元，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按照指标下达要求，分配用于各乡镇一事一议项目1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095万元、扶贫办化债资金882万元、卫健委计划生育88万元、财政局法制建设经费18万元。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三、政府性基金预算收支情况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2021年，旗本级政府性基金收入预算安排17,881万元，加上上级提前下达基金转移支付1,443万元，旗本级政府性基金预算财力19,324万元，同比增加1,527万元，增长8.58%。与收入相对应，按照基金支出项目需求安排相关支出，主要用于债务化解、基础设施配套费和污水处理费安排的支出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四、社保基金预算收入情况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按照统筹级次，2021年社会保险基金预算收入安排54,402万元，主要包括社会保险费收入、财政补贴收入、利息收入等。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全年社会保险基金支出预算安排54,402万元，主要用于各项保险待遇支出和按照《社会保障法》及相关规定安排的其他社会保险基金支出。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五、国有资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本</w:t>
      </w:r>
      <w:r>
        <w:rPr>
          <w:rFonts w:hint="eastAsia" w:ascii="黑体" w:hAnsi="黑体" w:eastAsia="黑体" w:cs="黑体"/>
          <w:sz w:val="32"/>
          <w:szCs w:val="32"/>
        </w:rPr>
        <w:t>经营收支预算情况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2021年，旗本级国有资本经营收入预算安排15万元,收入来源是国有企业利润收入。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按照“以收定支、统筹兼顾、突出重点”的原则，2021年国有资本经营支出安排15万元，用于补充国有企业注册资本金。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六、地方政府举借债务情况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截至20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年底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，上级下达莫旗政府性债务限额167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000万元，其中一般债务限额136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000万元，专项债务限额31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000万元。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截至20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年底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莫旗地方政府性债务余额166,33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万元，其中一般债务135,564万元；专项债务30,771万元。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2020年度，自治区发行地方政府债券下达莫旗59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433万元（新增38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800万元、再融资20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633万元），其中：一般债券30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862万元（新增12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600万元、再融资18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262万元），专项债券28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571万元（新增26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200万元，再融资2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371万元）。</w:t>
      </w:r>
    </w:p>
    <w:p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2020年度，莫旗偿还到期政府性债务本金20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633万元，到期利息4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429万元。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2021年度，莫旗到期政府性债务本息22,963万元，其中本金17,305万元，利息5,658万元，年初预算安排偿还本金1,739万元、拟申请再融资债券偿还到期债券本金15,566万元，年初预算安排资金偿还到期债券利息5,658万元。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2021年度，莫旗拟申请发行地方政府债券150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716万元，包括：一般债券51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958万元、专项债券98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758万元，已逐级上报自治区，截止报告日，上级未下达2021年度限额，待上级下达限额后，再进行预算调整。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七、莫旗本级一般公共预算“三公”经费预算安排情况</w:t>
      </w:r>
    </w:p>
    <w:p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 w:cs="仿宋"/>
          <w:sz w:val="32"/>
          <w:szCs w:val="32"/>
        </w:rPr>
        <w:t>年，莫旗本级一般公共预算“三公”经费预算安排1,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035</w:t>
      </w:r>
      <w:r>
        <w:rPr>
          <w:rFonts w:hint="eastAsia" w:ascii="仿宋" w:hAnsi="仿宋" w:eastAsia="仿宋" w:cs="仿宋"/>
          <w:sz w:val="32"/>
          <w:szCs w:val="32"/>
        </w:rPr>
        <w:t>万元，较20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年预算减少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87</w:t>
      </w:r>
      <w:r>
        <w:rPr>
          <w:rFonts w:hint="eastAsia" w:ascii="仿宋" w:hAnsi="仿宋" w:eastAsia="仿宋" w:cs="仿宋"/>
          <w:sz w:val="32"/>
          <w:szCs w:val="32"/>
        </w:rPr>
        <w:t>万元，下降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7.75%，因2020年加大了“三公”经费压缩力度，压减了近30</w:t>
      </w:r>
      <w:r>
        <w:rPr>
          <w:rFonts w:hint="eastAsia" w:ascii="仿宋" w:hAnsi="仿宋" w:eastAsia="仿宋" w:cs="仿宋"/>
          <w:sz w:val="32"/>
          <w:szCs w:val="32"/>
        </w:rPr>
        <w:t>%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2021年仅保留最低运转“三公”经费，“三公”经费形成“可压尽压”情况</w:t>
      </w:r>
      <w:r>
        <w:rPr>
          <w:rFonts w:hint="eastAsia" w:ascii="仿宋" w:hAnsi="仿宋" w:eastAsia="仿宋" w:cs="仿宋"/>
          <w:sz w:val="32"/>
          <w:szCs w:val="32"/>
        </w:rPr>
        <w:t>。其中：1、因公出国（境）费用0万元；2、公务接待费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221</w:t>
      </w:r>
      <w:r>
        <w:rPr>
          <w:rFonts w:hint="eastAsia" w:ascii="仿宋" w:hAnsi="仿宋" w:eastAsia="仿宋" w:cs="仿宋"/>
          <w:sz w:val="32"/>
          <w:szCs w:val="32"/>
        </w:rPr>
        <w:t>万元；3、公务用车购置及运行费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860</w:t>
      </w:r>
      <w:r>
        <w:rPr>
          <w:rFonts w:hint="eastAsia" w:ascii="仿宋" w:hAnsi="仿宋" w:eastAsia="仿宋" w:cs="仿宋"/>
          <w:sz w:val="32"/>
          <w:szCs w:val="32"/>
        </w:rPr>
        <w:t>万元（其中：公务用车购置及运行维护费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774</w:t>
      </w:r>
      <w:r>
        <w:rPr>
          <w:rFonts w:hint="eastAsia" w:ascii="仿宋" w:hAnsi="仿宋" w:eastAsia="仿宋" w:cs="仿宋"/>
          <w:sz w:val="32"/>
          <w:szCs w:val="32"/>
        </w:rPr>
        <w:t>万元，公务用车购置费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0万元）。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较上年新增</w:t>
      </w:r>
      <w:r>
        <w:rPr>
          <w:rFonts w:hint="eastAsia" w:ascii="仿宋" w:hAnsi="仿宋" w:eastAsia="仿宋" w:cs="仿宋"/>
          <w:sz w:val="32"/>
          <w:szCs w:val="32"/>
        </w:rPr>
        <w:t>公务用车购置费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0万元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，是由于交通部门执法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8台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车辆近于报废，每年维修车辆费用近于车辆购置费用，地方财力因素，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2021年计划购置4台专用车辆，逐步解决。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八、政府采购预算情况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 w:cs="仿宋"/>
          <w:sz w:val="32"/>
          <w:szCs w:val="32"/>
        </w:rPr>
        <w:t>年，政府采购预算安排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2513</w:t>
      </w:r>
      <w:r>
        <w:rPr>
          <w:rFonts w:hint="eastAsia" w:ascii="仿宋" w:hAnsi="仿宋" w:eastAsia="仿宋" w:cs="仿宋"/>
          <w:sz w:val="32"/>
          <w:szCs w:val="32"/>
        </w:rPr>
        <w:t>万元，用于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全旗取暖费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九、财政扶贫资金安排及分配情况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 w:cs="仿宋"/>
          <w:sz w:val="32"/>
          <w:szCs w:val="32"/>
        </w:rPr>
        <w:t>年，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年初预算共计安排专项扶贫资金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7,331万元，已分配到项目主管部门，按级次划分：中央专项扶贫资金5,231万元，旗本级安排2,100万元。按部门划分：扶贫办5,231万元；民委1,880万元、教育局120万元、西瓦尔图镇人民政府100万元。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十、重点项目绩效目标说明</w:t>
      </w:r>
    </w:p>
    <w:p>
      <w:pPr>
        <w:numPr>
          <w:ilvl w:val="0"/>
          <w:numId w:val="0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因财力有限，年初预算未安排重点项目，所以无重点项目绩效目标。</w:t>
      </w:r>
    </w:p>
    <w:p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附：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《莫旗财政专项扶贫资金管理办法》（莫财字[2017]264号）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此说明。</w:t>
      </w:r>
    </w:p>
    <w:p>
      <w:pPr>
        <w:ind w:firstLine="4800" w:firstLineChars="15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19</w:t>
      </w:r>
      <w:r>
        <w:rPr>
          <w:rFonts w:hint="eastAsia" w:ascii="仿宋" w:hAnsi="仿宋" w:eastAsia="仿宋" w:cs="仿宋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A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622A50"/>
    <w:rsid w:val="010C7813"/>
    <w:rsid w:val="139624C9"/>
    <w:rsid w:val="17DE3E7E"/>
    <w:rsid w:val="32FB642F"/>
    <w:rsid w:val="39F7724D"/>
    <w:rsid w:val="4342383B"/>
    <w:rsid w:val="43622A50"/>
    <w:rsid w:val="4C890B8C"/>
    <w:rsid w:val="4D732165"/>
    <w:rsid w:val="4FE82013"/>
    <w:rsid w:val="57A71FE7"/>
    <w:rsid w:val="74C94560"/>
    <w:rsid w:val="7CD467C6"/>
    <w:rsid w:val="7F645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2020-04-15T01:26:00Z</dcterms:created>
  <dc:creator>李晶岩</dc:creator>
  <cp:lastModifiedBy>董永武</cp:lastModifiedBy>
  <dcterms:modified xsi:type="dcterms:W3CDTF">2021-03-21T02:03:10Z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