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392307">
      <w:pPr>
        <w:pStyle w:val="2"/>
        <w:spacing w:line="261" w:lineRule="auto"/>
      </w:pPr>
    </w:p>
    <w:p w14:paraId="79024126">
      <w:pPr>
        <w:pStyle w:val="2"/>
        <w:spacing w:line="261" w:lineRule="auto"/>
      </w:pPr>
    </w:p>
    <w:p w14:paraId="127F2E8C">
      <w:pPr>
        <w:pStyle w:val="2"/>
        <w:spacing w:line="261" w:lineRule="auto"/>
      </w:pPr>
    </w:p>
    <w:p w14:paraId="4DB1A5E5">
      <w:pPr>
        <w:pStyle w:val="2"/>
        <w:spacing w:line="261" w:lineRule="auto"/>
      </w:pPr>
    </w:p>
    <w:p w14:paraId="771D3265">
      <w:pPr>
        <w:pStyle w:val="2"/>
        <w:spacing w:line="261" w:lineRule="auto"/>
      </w:pPr>
    </w:p>
    <w:p w14:paraId="1DF77B96">
      <w:pPr>
        <w:pStyle w:val="2"/>
        <w:spacing w:line="261" w:lineRule="auto"/>
      </w:pPr>
    </w:p>
    <w:p w14:paraId="5F09E7A9">
      <w:pPr>
        <w:pStyle w:val="2"/>
        <w:spacing w:line="261" w:lineRule="auto"/>
      </w:pPr>
    </w:p>
    <w:p w14:paraId="052192D5">
      <w:pPr>
        <w:pStyle w:val="2"/>
        <w:spacing w:line="262" w:lineRule="auto"/>
      </w:pPr>
    </w:p>
    <w:p w14:paraId="1D0E12E2">
      <w:pPr>
        <w:pStyle w:val="2"/>
        <w:spacing w:line="262" w:lineRule="auto"/>
      </w:pPr>
    </w:p>
    <w:p w14:paraId="295DCD58">
      <w:pPr>
        <w:pStyle w:val="2"/>
        <w:spacing w:line="262" w:lineRule="auto"/>
      </w:pPr>
    </w:p>
    <w:p w14:paraId="2F7BC7BF">
      <w:pPr>
        <w:pStyle w:val="2"/>
        <w:spacing w:line="262" w:lineRule="auto"/>
      </w:pPr>
    </w:p>
    <w:p w14:paraId="2CD41234">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0"/>
        <w:jc w:val="center"/>
        <w:textAlignment w:val="baseline"/>
        <w:outlineLvl w:val="0"/>
        <w:rPr>
          <w:rFonts w:hint="eastAsia" w:ascii="宋体" w:hAnsi="宋体" w:eastAsia="宋体" w:cs="宋体"/>
          <w:spacing w:val="-1"/>
          <w:sz w:val="52"/>
          <w:szCs w:val="52"/>
          <w14:textOutline w14:w="8708" w14:cap="flat" w14:cmpd="sng">
            <w14:solidFill>
              <w14:srgbClr w14:val="000000"/>
            </w14:solidFill>
            <w14:prstDash w14:val="solid"/>
            <w14:miter w14:val="0"/>
          </w14:textOutline>
        </w:rPr>
      </w:pPr>
      <w:r>
        <w:rPr>
          <w:rFonts w:hint="eastAsia" w:ascii="宋体" w:hAnsi="宋体" w:eastAsia="宋体" w:cs="宋体"/>
          <w:spacing w:val="-1"/>
          <w:sz w:val="52"/>
          <w:szCs w:val="52"/>
          <w14:textOutline w14:w="8708" w14:cap="flat" w14:cmpd="sng">
            <w14:solidFill>
              <w14:srgbClr w14:val="000000"/>
            </w14:solidFill>
            <w14:prstDash w14:val="solid"/>
            <w14:miter w14:val="0"/>
          </w14:textOutline>
        </w:rPr>
        <w:t>202</w:t>
      </w:r>
      <w:r>
        <w:rPr>
          <w:rFonts w:hint="eastAsia" w:ascii="宋体" w:hAnsi="宋体" w:eastAsia="宋体" w:cs="宋体"/>
          <w:spacing w:val="-1"/>
          <w:sz w:val="52"/>
          <w:szCs w:val="52"/>
          <w:lang w:val="en-US" w:eastAsia="zh-CN"/>
          <w14:textOutline w14:w="8708" w14:cap="flat" w14:cmpd="sng">
            <w14:solidFill>
              <w14:srgbClr w14:val="000000"/>
            </w14:solidFill>
            <w14:prstDash w14:val="solid"/>
            <w14:miter w14:val="0"/>
          </w14:textOutline>
        </w:rPr>
        <w:t>5</w:t>
      </w:r>
      <w:r>
        <w:rPr>
          <w:rFonts w:hint="eastAsia" w:ascii="宋体" w:hAnsi="宋体" w:eastAsia="宋体" w:cs="宋体"/>
          <w:spacing w:val="-1"/>
          <w:sz w:val="52"/>
          <w:szCs w:val="52"/>
          <w14:textOutline w14:w="8708" w14:cap="flat" w14:cmpd="sng">
            <w14:solidFill>
              <w14:srgbClr w14:val="000000"/>
            </w14:solidFill>
            <w14:prstDash w14:val="solid"/>
            <w14:miter w14:val="0"/>
          </w14:textOutline>
        </w:rPr>
        <w:t>年度莫力达瓦达斡尔族自治旗</w:t>
      </w:r>
    </w:p>
    <w:p w14:paraId="21A737AB">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0"/>
        <w:jc w:val="center"/>
        <w:textAlignment w:val="baseline"/>
        <w:outlineLvl w:val="0"/>
        <w:rPr>
          <w:rFonts w:hint="eastAsia" w:ascii="宋体" w:hAnsi="宋体" w:eastAsia="宋体" w:cs="宋体"/>
          <w:sz w:val="52"/>
          <w:szCs w:val="52"/>
          <w14:textOutline w14:w="8708" w14:cap="flat" w14:cmpd="sng">
            <w14:solidFill>
              <w14:srgbClr w14:val="000000"/>
            </w14:solidFill>
            <w14:prstDash w14:val="solid"/>
            <w14:miter w14:val="0"/>
          </w14:textOutline>
        </w:rPr>
      </w:pPr>
      <w:r>
        <w:rPr>
          <w:rFonts w:hint="eastAsia" w:ascii="宋体" w:hAnsi="宋体" w:eastAsia="宋体" w:cs="宋体"/>
          <w:spacing w:val="-1"/>
          <w:sz w:val="52"/>
          <w:szCs w:val="52"/>
          <w14:textOutline w14:w="8708" w14:cap="flat" w14:cmpd="sng">
            <w14:solidFill>
              <w14:srgbClr w14:val="000000"/>
            </w14:solidFill>
            <w14:prstDash w14:val="solid"/>
            <w14:miter w14:val="0"/>
          </w14:textOutline>
        </w:rPr>
        <w:t>巴彦</w:t>
      </w:r>
      <w:r>
        <w:rPr>
          <w:rFonts w:hint="eastAsia" w:ascii="宋体" w:hAnsi="宋体" w:eastAsia="宋体" w:cs="宋体"/>
          <w:sz w:val="52"/>
          <w:szCs w:val="52"/>
          <w14:textOutline w14:w="8708" w14:cap="flat" w14:cmpd="sng">
            <w14:solidFill>
              <w14:srgbClr w14:val="000000"/>
            </w14:solidFill>
            <w14:prstDash w14:val="solid"/>
            <w14:miter w14:val="0"/>
          </w14:textOutline>
        </w:rPr>
        <w:t>鄂温克民族乡人民政府</w:t>
      </w:r>
    </w:p>
    <w:p w14:paraId="70A6E0B5">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0"/>
        <w:jc w:val="center"/>
        <w:textAlignment w:val="baseline"/>
        <w:outlineLvl w:val="0"/>
        <w:rPr>
          <w:rFonts w:hint="eastAsia" w:ascii="宋体" w:hAnsi="宋体" w:eastAsia="宋体" w:cs="宋体"/>
          <w:sz w:val="52"/>
          <w:szCs w:val="52"/>
        </w:rPr>
      </w:pPr>
      <w:r>
        <w:rPr>
          <w:rFonts w:hint="eastAsia" w:ascii="宋体" w:hAnsi="宋体" w:eastAsia="宋体" w:cs="宋体"/>
          <w:sz w:val="52"/>
          <w:szCs w:val="52"/>
          <w14:textOutline w14:w="8708" w14:cap="flat" w14:cmpd="sng">
            <w14:solidFill>
              <w14:srgbClr w14:val="000000"/>
            </w14:solidFill>
            <w14:prstDash w14:val="solid"/>
            <w14:miter w14:val="0"/>
          </w14:textOutline>
        </w:rPr>
        <w:t>部门预算公开</w:t>
      </w:r>
    </w:p>
    <w:p w14:paraId="22E3AE8F">
      <w:pPr>
        <w:pStyle w:val="2"/>
        <w:spacing w:line="247" w:lineRule="auto"/>
      </w:pPr>
    </w:p>
    <w:p w14:paraId="64A10097">
      <w:pPr>
        <w:pStyle w:val="2"/>
        <w:spacing w:line="247" w:lineRule="auto"/>
      </w:pPr>
    </w:p>
    <w:p w14:paraId="6400E331">
      <w:pPr>
        <w:pStyle w:val="2"/>
        <w:spacing w:line="247" w:lineRule="auto"/>
      </w:pPr>
    </w:p>
    <w:p w14:paraId="299BE30E">
      <w:pPr>
        <w:pStyle w:val="2"/>
        <w:spacing w:line="247" w:lineRule="auto"/>
      </w:pPr>
    </w:p>
    <w:p w14:paraId="474426BD">
      <w:pPr>
        <w:pStyle w:val="2"/>
        <w:spacing w:line="247" w:lineRule="auto"/>
      </w:pPr>
    </w:p>
    <w:p w14:paraId="64A33F74">
      <w:pPr>
        <w:pStyle w:val="2"/>
        <w:spacing w:line="247" w:lineRule="auto"/>
      </w:pPr>
    </w:p>
    <w:p w14:paraId="1D25ED17">
      <w:pPr>
        <w:pStyle w:val="2"/>
        <w:spacing w:line="247" w:lineRule="auto"/>
      </w:pPr>
    </w:p>
    <w:p w14:paraId="6CAD5112">
      <w:pPr>
        <w:pStyle w:val="2"/>
        <w:spacing w:line="247" w:lineRule="auto"/>
      </w:pPr>
    </w:p>
    <w:p w14:paraId="08E801A0">
      <w:pPr>
        <w:pStyle w:val="2"/>
        <w:spacing w:line="247" w:lineRule="auto"/>
      </w:pPr>
    </w:p>
    <w:p w14:paraId="1602574F">
      <w:pPr>
        <w:pStyle w:val="2"/>
        <w:spacing w:line="247" w:lineRule="auto"/>
      </w:pPr>
    </w:p>
    <w:p w14:paraId="60C18443">
      <w:pPr>
        <w:pStyle w:val="2"/>
        <w:spacing w:line="247" w:lineRule="auto"/>
      </w:pPr>
    </w:p>
    <w:p w14:paraId="4D6017AA">
      <w:pPr>
        <w:pStyle w:val="2"/>
        <w:spacing w:line="247" w:lineRule="auto"/>
      </w:pPr>
    </w:p>
    <w:p w14:paraId="146755B6">
      <w:pPr>
        <w:pStyle w:val="2"/>
        <w:spacing w:line="247" w:lineRule="auto"/>
      </w:pPr>
    </w:p>
    <w:p w14:paraId="09CA6A48">
      <w:pPr>
        <w:pStyle w:val="2"/>
        <w:spacing w:line="247" w:lineRule="auto"/>
      </w:pPr>
    </w:p>
    <w:p w14:paraId="067FEE25">
      <w:pPr>
        <w:pStyle w:val="2"/>
        <w:spacing w:line="247" w:lineRule="auto"/>
      </w:pPr>
    </w:p>
    <w:p w14:paraId="2F4B633D">
      <w:pPr>
        <w:pStyle w:val="2"/>
        <w:spacing w:line="247" w:lineRule="auto"/>
      </w:pPr>
    </w:p>
    <w:p w14:paraId="077E87B9">
      <w:pPr>
        <w:pStyle w:val="2"/>
        <w:spacing w:line="247" w:lineRule="auto"/>
      </w:pPr>
    </w:p>
    <w:p w14:paraId="5F68121F">
      <w:pPr>
        <w:pStyle w:val="2"/>
        <w:spacing w:line="247" w:lineRule="auto"/>
      </w:pPr>
    </w:p>
    <w:p w14:paraId="4C9AB2FC">
      <w:pPr>
        <w:pStyle w:val="2"/>
        <w:spacing w:line="247" w:lineRule="auto"/>
      </w:pPr>
    </w:p>
    <w:p w14:paraId="7DE8AB77">
      <w:pPr>
        <w:pStyle w:val="2"/>
        <w:spacing w:line="247" w:lineRule="auto"/>
      </w:pPr>
    </w:p>
    <w:p w14:paraId="498BBBC2">
      <w:pPr>
        <w:pStyle w:val="2"/>
        <w:spacing w:line="248" w:lineRule="auto"/>
      </w:pPr>
    </w:p>
    <w:p w14:paraId="0A3F64FE">
      <w:pPr>
        <w:pStyle w:val="2"/>
        <w:spacing w:line="248" w:lineRule="auto"/>
      </w:pPr>
    </w:p>
    <w:p w14:paraId="60E27C76">
      <w:pPr>
        <w:spacing w:before="101" w:line="224" w:lineRule="auto"/>
        <w:ind w:left="1841"/>
        <w:rPr>
          <w:rFonts w:hint="eastAsia" w:ascii="宋体" w:hAnsi="宋体" w:eastAsia="宋体" w:cs="宋体"/>
          <w:sz w:val="32"/>
          <w:szCs w:val="32"/>
        </w:rPr>
      </w:pPr>
      <w:r>
        <w:rPr>
          <w:rFonts w:hint="eastAsia" w:ascii="宋体" w:hAnsi="宋体" w:eastAsia="宋体" w:cs="宋体"/>
          <w:spacing w:val="2"/>
          <w:sz w:val="32"/>
          <w:szCs w:val="32"/>
        </w:rPr>
        <w:t>批复时间：</w:t>
      </w:r>
      <w:r>
        <w:rPr>
          <w:rFonts w:hint="eastAsia" w:ascii="宋体" w:hAnsi="宋体" w:eastAsia="宋体" w:cs="宋体"/>
          <w:spacing w:val="2"/>
          <w:sz w:val="32"/>
          <w:szCs w:val="32"/>
          <w:u w:val="single" w:color="auto"/>
        </w:rPr>
        <w:t xml:space="preserve"> 202</w:t>
      </w:r>
      <w:r>
        <w:rPr>
          <w:rFonts w:hint="eastAsia" w:ascii="宋体" w:hAnsi="宋体" w:eastAsia="宋体" w:cs="宋体"/>
          <w:spacing w:val="2"/>
          <w:sz w:val="32"/>
          <w:szCs w:val="32"/>
          <w:u w:val="single" w:color="auto"/>
          <w:lang w:val="en-US" w:eastAsia="zh-CN"/>
        </w:rPr>
        <w:t>5</w:t>
      </w:r>
      <w:r>
        <w:rPr>
          <w:rFonts w:hint="eastAsia" w:ascii="宋体" w:hAnsi="宋体" w:eastAsia="宋体" w:cs="宋体"/>
          <w:spacing w:val="2"/>
          <w:sz w:val="32"/>
          <w:szCs w:val="32"/>
          <w:u w:val="single" w:color="auto"/>
        </w:rPr>
        <w:t xml:space="preserve"> 年</w:t>
      </w:r>
      <w:r>
        <w:rPr>
          <w:rFonts w:hint="eastAsia" w:ascii="宋体" w:hAnsi="宋体" w:eastAsia="宋体" w:cs="宋体"/>
          <w:spacing w:val="30"/>
          <w:sz w:val="32"/>
          <w:szCs w:val="32"/>
          <w:u w:val="single" w:color="auto"/>
        </w:rPr>
        <w:t xml:space="preserve"> </w:t>
      </w:r>
      <w:r>
        <w:rPr>
          <w:rFonts w:hint="eastAsia" w:ascii="宋体" w:hAnsi="宋体" w:eastAsia="宋体" w:cs="宋体"/>
          <w:spacing w:val="2"/>
          <w:sz w:val="32"/>
          <w:szCs w:val="32"/>
          <w:u w:val="single" w:color="auto"/>
        </w:rPr>
        <w:t>0</w:t>
      </w:r>
      <w:r>
        <w:rPr>
          <w:rFonts w:hint="eastAsia" w:ascii="宋体" w:hAnsi="宋体" w:eastAsia="宋体" w:cs="宋体"/>
          <w:spacing w:val="2"/>
          <w:sz w:val="32"/>
          <w:szCs w:val="32"/>
          <w:u w:val="single" w:color="auto"/>
          <w:lang w:val="en-US" w:eastAsia="zh-CN"/>
        </w:rPr>
        <w:t xml:space="preserve">3 </w:t>
      </w:r>
      <w:r>
        <w:rPr>
          <w:rFonts w:hint="eastAsia" w:ascii="宋体" w:hAnsi="宋体" w:eastAsia="宋体" w:cs="宋体"/>
          <w:spacing w:val="2"/>
          <w:sz w:val="32"/>
          <w:szCs w:val="32"/>
          <w:u w:val="single" w:color="auto"/>
        </w:rPr>
        <w:t>月</w:t>
      </w:r>
      <w:r>
        <w:rPr>
          <w:rFonts w:hint="eastAsia" w:ascii="宋体" w:hAnsi="宋体" w:eastAsia="宋体" w:cs="宋体"/>
          <w:spacing w:val="2"/>
          <w:sz w:val="32"/>
          <w:szCs w:val="32"/>
          <w:u w:val="single" w:color="auto"/>
          <w:lang w:val="en-US" w:eastAsia="zh-CN"/>
        </w:rPr>
        <w:t xml:space="preserve"> </w:t>
      </w:r>
      <w:r>
        <w:rPr>
          <w:rFonts w:hint="eastAsia" w:ascii="宋体" w:hAnsi="宋体" w:eastAsia="宋体" w:cs="宋体"/>
          <w:spacing w:val="15"/>
          <w:sz w:val="32"/>
          <w:szCs w:val="32"/>
          <w:u w:val="single" w:color="auto"/>
          <w:lang w:val="en-US" w:eastAsia="zh-CN"/>
        </w:rPr>
        <w:t>12</w:t>
      </w:r>
      <w:r>
        <w:rPr>
          <w:rFonts w:hint="eastAsia" w:ascii="宋体" w:hAnsi="宋体" w:eastAsia="宋体" w:cs="宋体"/>
          <w:spacing w:val="2"/>
          <w:sz w:val="32"/>
          <w:szCs w:val="32"/>
          <w:u w:val="single" w:color="auto"/>
        </w:rPr>
        <w:t xml:space="preserve"> 日</w:t>
      </w:r>
    </w:p>
    <w:p w14:paraId="079885D3">
      <w:pPr>
        <w:spacing w:before="222" w:line="226" w:lineRule="auto"/>
        <w:ind w:left="1802"/>
        <w:rPr>
          <w:rFonts w:hint="eastAsia" w:ascii="宋体" w:hAnsi="宋体" w:eastAsia="宋体" w:cs="宋体"/>
          <w:sz w:val="32"/>
          <w:szCs w:val="32"/>
        </w:rPr>
      </w:pPr>
      <w:r>
        <w:rPr>
          <w:rFonts w:hint="eastAsia" w:ascii="宋体" w:hAnsi="宋体" w:eastAsia="宋体" w:cs="宋体"/>
          <w:spacing w:val="2"/>
          <w:sz w:val="32"/>
          <w:szCs w:val="32"/>
        </w:rPr>
        <w:t>公开时间：</w:t>
      </w:r>
      <w:r>
        <w:rPr>
          <w:rFonts w:hint="eastAsia" w:ascii="宋体" w:hAnsi="宋体" w:eastAsia="宋体" w:cs="宋体"/>
          <w:spacing w:val="2"/>
          <w:sz w:val="32"/>
          <w:szCs w:val="32"/>
          <w:u w:val="single" w:color="auto"/>
        </w:rPr>
        <w:t xml:space="preserve"> 202</w:t>
      </w:r>
      <w:r>
        <w:rPr>
          <w:rFonts w:hint="eastAsia" w:ascii="宋体" w:hAnsi="宋体" w:eastAsia="宋体" w:cs="宋体"/>
          <w:spacing w:val="2"/>
          <w:sz w:val="32"/>
          <w:szCs w:val="32"/>
          <w:u w:val="single" w:color="auto"/>
          <w:lang w:val="en-US" w:eastAsia="zh-CN"/>
        </w:rPr>
        <w:t>5</w:t>
      </w:r>
      <w:r>
        <w:rPr>
          <w:rFonts w:hint="eastAsia" w:ascii="宋体" w:hAnsi="宋体" w:eastAsia="宋体" w:cs="宋体"/>
          <w:spacing w:val="-59"/>
          <w:sz w:val="32"/>
          <w:szCs w:val="32"/>
          <w:u w:val="single" w:color="auto"/>
        </w:rPr>
        <w:t xml:space="preserve"> </w:t>
      </w:r>
      <w:r>
        <w:rPr>
          <w:rFonts w:hint="eastAsia" w:ascii="宋体" w:hAnsi="宋体" w:eastAsia="宋体" w:cs="宋体"/>
          <w:spacing w:val="-59"/>
          <w:sz w:val="32"/>
          <w:szCs w:val="32"/>
          <w:u w:val="single" w:color="auto"/>
          <w:lang w:val="en-US" w:eastAsia="zh-CN"/>
        </w:rPr>
        <w:t xml:space="preserve"> </w:t>
      </w:r>
      <w:r>
        <w:rPr>
          <w:rFonts w:hint="eastAsia" w:ascii="宋体" w:hAnsi="宋体" w:eastAsia="宋体" w:cs="宋体"/>
          <w:spacing w:val="2"/>
          <w:sz w:val="32"/>
          <w:szCs w:val="32"/>
          <w:u w:val="single" w:color="auto"/>
        </w:rPr>
        <w:t>年 0</w:t>
      </w:r>
      <w:r>
        <w:rPr>
          <w:rFonts w:hint="eastAsia" w:ascii="宋体" w:hAnsi="宋体" w:eastAsia="宋体" w:cs="宋体"/>
          <w:spacing w:val="2"/>
          <w:sz w:val="32"/>
          <w:szCs w:val="32"/>
          <w:u w:val="single" w:color="auto"/>
          <w:lang w:val="en-US" w:eastAsia="zh-CN"/>
        </w:rPr>
        <w:t>3</w:t>
      </w:r>
      <w:r>
        <w:rPr>
          <w:rFonts w:hint="eastAsia" w:ascii="宋体" w:hAnsi="宋体" w:eastAsia="宋体" w:cs="宋体"/>
          <w:spacing w:val="25"/>
          <w:sz w:val="32"/>
          <w:szCs w:val="32"/>
          <w:u w:val="single" w:color="auto"/>
        </w:rPr>
        <w:t xml:space="preserve"> </w:t>
      </w:r>
      <w:r>
        <w:rPr>
          <w:rFonts w:hint="eastAsia" w:ascii="宋体" w:hAnsi="宋体" w:eastAsia="宋体" w:cs="宋体"/>
          <w:spacing w:val="2"/>
          <w:sz w:val="32"/>
          <w:szCs w:val="32"/>
          <w:u w:val="single" w:color="auto"/>
        </w:rPr>
        <w:t>月</w:t>
      </w:r>
      <w:r>
        <w:rPr>
          <w:rFonts w:hint="eastAsia" w:ascii="宋体" w:hAnsi="宋体" w:eastAsia="宋体" w:cs="宋体"/>
          <w:spacing w:val="37"/>
          <w:sz w:val="32"/>
          <w:szCs w:val="32"/>
          <w:u w:val="single" w:color="auto"/>
        </w:rPr>
        <w:t xml:space="preserve"> </w:t>
      </w:r>
      <w:r>
        <w:rPr>
          <w:rFonts w:hint="eastAsia" w:ascii="宋体" w:hAnsi="宋体" w:eastAsia="宋体" w:cs="宋体"/>
          <w:spacing w:val="2"/>
          <w:sz w:val="32"/>
          <w:szCs w:val="32"/>
          <w:u w:val="single" w:color="auto"/>
          <w:lang w:val="en-US" w:eastAsia="zh-CN"/>
        </w:rPr>
        <w:t xml:space="preserve">18 </w:t>
      </w:r>
      <w:r>
        <w:rPr>
          <w:rFonts w:hint="eastAsia" w:ascii="宋体" w:hAnsi="宋体" w:eastAsia="宋体" w:cs="宋体"/>
          <w:spacing w:val="2"/>
          <w:sz w:val="32"/>
          <w:szCs w:val="32"/>
          <w:u w:val="single" w:color="auto"/>
        </w:rPr>
        <w:t>日</w:t>
      </w:r>
    </w:p>
    <w:p w14:paraId="60DE55F0">
      <w:pPr>
        <w:spacing w:line="226" w:lineRule="auto"/>
        <w:rPr>
          <w:rFonts w:hint="eastAsia" w:ascii="宋体" w:hAnsi="宋体" w:eastAsia="宋体" w:cs="宋体"/>
          <w:sz w:val="32"/>
          <w:szCs w:val="32"/>
        </w:rPr>
        <w:sectPr>
          <w:footerReference r:id="rId5" w:type="default"/>
          <w:pgSz w:w="11912" w:h="16841"/>
          <w:pgMar w:top="1984" w:right="1701" w:bottom="1984" w:left="1701" w:header="907" w:footer="992" w:gutter="0"/>
          <w:pgNumType w:fmt="numberInDash"/>
          <w:cols w:space="720" w:num="1"/>
        </w:sectPr>
      </w:pPr>
      <w:bookmarkStart w:id="0" w:name="_GoBack"/>
      <w:bookmarkEnd w:id="0"/>
    </w:p>
    <w:p w14:paraId="682A2245">
      <w:pPr>
        <w:keepNext w:val="0"/>
        <w:keepLines w:val="0"/>
        <w:pageBreakBefore w:val="0"/>
        <w:widowControl/>
        <w:kinsoku w:val="0"/>
        <w:wordWrap/>
        <w:overflowPunct/>
        <w:topLinePunct w:val="0"/>
        <w:autoSpaceDE w:val="0"/>
        <w:autoSpaceDN w:val="0"/>
        <w:bidi w:val="0"/>
        <w:adjustRightInd w:val="0"/>
        <w:snapToGrid w:val="0"/>
        <w:spacing w:line="580" w:lineRule="exact"/>
        <w:ind w:left="0"/>
        <w:jc w:val="center"/>
        <w:textAlignment w:val="baseline"/>
        <w:rPr>
          <w:rFonts w:hint="eastAsia" w:ascii="黑体" w:hAnsi="黑体" w:eastAsia="黑体" w:cs="黑体"/>
          <w:spacing w:val="0"/>
          <w:sz w:val="44"/>
          <w:szCs w:val="44"/>
        </w:rPr>
      </w:pPr>
      <w:r>
        <w:rPr>
          <w:rFonts w:hint="eastAsia" w:ascii="黑体" w:hAnsi="黑体" w:eastAsia="黑体" w:cs="黑体"/>
          <w:spacing w:val="0"/>
          <w:sz w:val="44"/>
          <w:szCs w:val="44"/>
        </w:rPr>
        <w:t>目</w:t>
      </w:r>
      <w:r>
        <w:rPr>
          <w:rFonts w:hint="eastAsia" w:ascii="黑体" w:hAnsi="黑体" w:eastAsia="黑体" w:cs="黑体"/>
          <w:spacing w:val="0"/>
          <w:sz w:val="44"/>
          <w:szCs w:val="44"/>
          <w:lang w:val="en-US" w:eastAsia="zh-CN"/>
        </w:rPr>
        <w:t xml:space="preserve"> </w:t>
      </w:r>
      <w:r>
        <w:rPr>
          <w:rFonts w:hint="eastAsia" w:ascii="黑体" w:hAnsi="黑体" w:eastAsia="黑体" w:cs="黑体"/>
          <w:spacing w:val="0"/>
          <w:sz w:val="44"/>
          <w:szCs w:val="44"/>
        </w:rPr>
        <w:t>录</w:t>
      </w:r>
    </w:p>
    <w:p w14:paraId="7EFC06B9">
      <w:pPr>
        <w:pStyle w:val="2"/>
        <w:spacing w:line="317" w:lineRule="auto"/>
      </w:pPr>
    </w:p>
    <w:p w14:paraId="50B759D7">
      <w:pPr>
        <w:keepNext w:val="0"/>
        <w:keepLines w:val="0"/>
        <w:pageBreakBefore w:val="0"/>
        <w:widowControl/>
        <w:kinsoku w:val="0"/>
        <w:wordWrap/>
        <w:overflowPunct/>
        <w:topLinePunct w:val="0"/>
        <w:autoSpaceDE w:val="0"/>
        <w:autoSpaceDN w:val="0"/>
        <w:bidi w:val="0"/>
        <w:adjustRightInd w:val="0"/>
        <w:snapToGrid w:val="0"/>
        <w:spacing w:line="580" w:lineRule="exact"/>
        <w:textAlignment w:val="baseline"/>
        <w:rPr>
          <w:rFonts w:ascii="黑体" w:hAnsi="黑体" w:eastAsia="黑体" w:cs="黑体"/>
          <w:spacing w:val="20"/>
          <w:position w:val="0"/>
          <w:sz w:val="32"/>
          <w:szCs w:val="32"/>
        </w:rPr>
      </w:pPr>
      <w:r>
        <w:rPr>
          <w:rFonts w:ascii="黑体" w:hAnsi="黑体" w:eastAsia="黑体" w:cs="黑体"/>
          <w:spacing w:val="20"/>
          <w:position w:val="0"/>
          <w:sz w:val="32"/>
          <w:szCs w:val="32"/>
        </w:rPr>
        <w:t>第一部分 部门概况</w:t>
      </w:r>
    </w:p>
    <w:p w14:paraId="01515E08">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一、主要职能、职责</w:t>
      </w:r>
    </w:p>
    <w:p w14:paraId="5E13A97E">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二、部门机构设置及预算单位构成情况</w:t>
      </w:r>
    </w:p>
    <w:p w14:paraId="53708F0B">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三、 202</w:t>
      </w:r>
      <w:r>
        <w:rPr>
          <w:rFonts w:hint="eastAsia" w:ascii="仿宋" w:hAnsi="仿宋" w:eastAsia="仿宋" w:cs="仿宋"/>
          <w:spacing w:val="20"/>
          <w:position w:val="0"/>
          <w:sz w:val="32"/>
          <w:szCs w:val="32"/>
          <w:lang w:val="en-US" w:eastAsia="zh-CN"/>
        </w:rPr>
        <w:t>5</w:t>
      </w:r>
      <w:r>
        <w:rPr>
          <w:rFonts w:ascii="仿宋" w:hAnsi="仿宋" w:eastAsia="仿宋" w:cs="仿宋"/>
          <w:spacing w:val="20"/>
          <w:position w:val="0"/>
          <w:sz w:val="32"/>
          <w:szCs w:val="32"/>
        </w:rPr>
        <w:t xml:space="preserve"> 年度部门主要工作任务及目标</w:t>
      </w:r>
    </w:p>
    <w:p w14:paraId="7BF7DA17">
      <w:pPr>
        <w:keepNext w:val="0"/>
        <w:keepLines w:val="0"/>
        <w:pageBreakBefore w:val="0"/>
        <w:widowControl/>
        <w:kinsoku w:val="0"/>
        <w:wordWrap/>
        <w:overflowPunct/>
        <w:topLinePunct w:val="0"/>
        <w:autoSpaceDE w:val="0"/>
        <w:autoSpaceDN w:val="0"/>
        <w:bidi w:val="0"/>
        <w:adjustRightInd w:val="0"/>
        <w:snapToGrid w:val="0"/>
        <w:spacing w:line="580" w:lineRule="exact"/>
        <w:textAlignment w:val="baseline"/>
        <w:rPr>
          <w:rFonts w:ascii="黑体" w:hAnsi="黑体" w:eastAsia="黑体" w:cs="黑体"/>
          <w:spacing w:val="20"/>
          <w:position w:val="0"/>
          <w:sz w:val="32"/>
          <w:szCs w:val="32"/>
        </w:rPr>
      </w:pPr>
      <w:r>
        <w:rPr>
          <w:rFonts w:ascii="黑体" w:hAnsi="黑体" w:eastAsia="黑体" w:cs="黑体"/>
          <w:spacing w:val="20"/>
          <w:position w:val="0"/>
          <w:sz w:val="32"/>
          <w:szCs w:val="32"/>
        </w:rPr>
        <w:t>第二部分 202</w:t>
      </w:r>
      <w:r>
        <w:rPr>
          <w:rFonts w:hint="eastAsia" w:ascii="黑体" w:hAnsi="黑体" w:eastAsia="黑体" w:cs="黑体"/>
          <w:spacing w:val="20"/>
          <w:position w:val="0"/>
          <w:sz w:val="32"/>
          <w:szCs w:val="32"/>
          <w:lang w:val="en-US" w:eastAsia="zh-CN"/>
        </w:rPr>
        <w:t>5</w:t>
      </w:r>
      <w:r>
        <w:rPr>
          <w:rFonts w:ascii="黑体" w:hAnsi="黑体" w:eastAsia="黑体" w:cs="黑体"/>
          <w:spacing w:val="20"/>
          <w:position w:val="0"/>
          <w:sz w:val="32"/>
          <w:szCs w:val="32"/>
        </w:rPr>
        <w:t xml:space="preserve"> 年度部门预算情况说明</w:t>
      </w:r>
    </w:p>
    <w:p w14:paraId="3E0F3F00">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一、收支预算总体情况说明</w:t>
      </w:r>
    </w:p>
    <w:p w14:paraId="4105D7DE">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二、收入预算情况说明</w:t>
      </w:r>
    </w:p>
    <w:p w14:paraId="6B4D7532">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三、支出预算情况说明</w:t>
      </w:r>
    </w:p>
    <w:p w14:paraId="485D1BBC">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四、财政拨款收支预算总体情况说明</w:t>
      </w:r>
    </w:p>
    <w:p w14:paraId="09AF1235">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五、一般公共预算支出预算情况说明</w:t>
      </w:r>
    </w:p>
    <w:p w14:paraId="0556247E">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六、一般公共预算基本支出预算情况说明</w:t>
      </w:r>
    </w:p>
    <w:p w14:paraId="2D52C82D">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七、一般公共预算“三公”经费支出预算情况说明</w:t>
      </w:r>
    </w:p>
    <w:p w14:paraId="0ACB26CE">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八、政府性基金预算支出预算情况说明</w:t>
      </w:r>
    </w:p>
    <w:p w14:paraId="3735C069">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九、国有资本经营预算支出预算情况说明</w:t>
      </w:r>
    </w:p>
    <w:p w14:paraId="17058CE3">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十、项目支出预算情况说明</w:t>
      </w:r>
    </w:p>
    <w:p w14:paraId="35277C4B">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十一、机构运行经费支出预算情况说明</w:t>
      </w:r>
    </w:p>
    <w:p w14:paraId="11600209">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十二、政府采购支出预算情况说明</w:t>
      </w:r>
    </w:p>
    <w:p w14:paraId="1753230B">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十三、国有资产占用情况说明</w:t>
      </w:r>
    </w:p>
    <w:p w14:paraId="03ACD9AD">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十四、项目绩效目标情况说明</w:t>
      </w:r>
    </w:p>
    <w:p w14:paraId="68A33878">
      <w:pPr>
        <w:keepNext w:val="0"/>
        <w:keepLines w:val="0"/>
        <w:pageBreakBefore w:val="0"/>
        <w:widowControl/>
        <w:kinsoku w:val="0"/>
        <w:wordWrap/>
        <w:overflowPunct/>
        <w:topLinePunct w:val="0"/>
        <w:autoSpaceDE w:val="0"/>
        <w:autoSpaceDN w:val="0"/>
        <w:bidi w:val="0"/>
        <w:adjustRightInd w:val="0"/>
        <w:snapToGrid w:val="0"/>
        <w:spacing w:line="580" w:lineRule="exact"/>
        <w:textAlignment w:val="baseline"/>
        <w:rPr>
          <w:rFonts w:hint="eastAsia" w:ascii="黑体" w:hAnsi="黑体" w:eastAsia="黑体" w:cs="黑体"/>
          <w:spacing w:val="20"/>
          <w:position w:val="0"/>
          <w:sz w:val="32"/>
          <w:szCs w:val="32"/>
          <w:lang w:val="en-US" w:eastAsia="zh-CN"/>
        </w:rPr>
      </w:pPr>
      <w:r>
        <w:rPr>
          <w:rFonts w:hint="eastAsia" w:ascii="黑体" w:hAnsi="黑体" w:eastAsia="黑体" w:cs="黑体"/>
          <w:spacing w:val="20"/>
          <w:position w:val="0"/>
          <w:sz w:val="32"/>
          <w:szCs w:val="32"/>
          <w:lang w:val="en-US" w:eastAsia="zh-CN"/>
        </w:rPr>
        <w:t>第三部分 名词解释</w:t>
      </w:r>
    </w:p>
    <w:p w14:paraId="2A3A8CD6">
      <w:pPr>
        <w:keepNext w:val="0"/>
        <w:keepLines w:val="0"/>
        <w:pageBreakBefore w:val="0"/>
        <w:widowControl/>
        <w:kinsoku w:val="0"/>
        <w:wordWrap/>
        <w:overflowPunct/>
        <w:topLinePunct w:val="0"/>
        <w:autoSpaceDE w:val="0"/>
        <w:autoSpaceDN w:val="0"/>
        <w:bidi w:val="0"/>
        <w:adjustRightInd w:val="0"/>
        <w:snapToGrid w:val="0"/>
        <w:spacing w:line="580" w:lineRule="exact"/>
        <w:textAlignment w:val="baseline"/>
        <w:rPr>
          <w:rFonts w:hint="eastAsia" w:ascii="黑体" w:hAnsi="黑体" w:eastAsia="黑体" w:cs="黑体"/>
          <w:spacing w:val="20"/>
          <w:position w:val="0"/>
          <w:sz w:val="32"/>
          <w:szCs w:val="32"/>
          <w:lang w:val="en-US" w:eastAsia="zh-CN"/>
        </w:rPr>
        <w:sectPr>
          <w:footerReference r:id="rId6" w:type="default"/>
          <w:pgSz w:w="11912" w:h="16841"/>
          <w:pgMar w:top="1984" w:right="1701" w:bottom="1984" w:left="1701" w:header="907" w:footer="992" w:gutter="0"/>
          <w:pgNumType w:fmt="numberInDash"/>
          <w:cols w:space="720" w:num="1"/>
        </w:sectPr>
      </w:pPr>
    </w:p>
    <w:p w14:paraId="418E3597">
      <w:pPr>
        <w:keepNext w:val="0"/>
        <w:keepLines w:val="0"/>
        <w:pageBreakBefore w:val="0"/>
        <w:widowControl/>
        <w:kinsoku w:val="0"/>
        <w:wordWrap/>
        <w:overflowPunct/>
        <w:topLinePunct w:val="0"/>
        <w:autoSpaceDE w:val="0"/>
        <w:autoSpaceDN w:val="0"/>
        <w:bidi w:val="0"/>
        <w:adjustRightInd w:val="0"/>
        <w:snapToGrid w:val="0"/>
        <w:spacing w:line="580" w:lineRule="exact"/>
        <w:textAlignment w:val="baseline"/>
        <w:rPr>
          <w:rFonts w:hint="eastAsia" w:ascii="黑体" w:hAnsi="黑体" w:eastAsia="黑体" w:cs="黑体"/>
          <w:spacing w:val="20"/>
          <w:position w:val="0"/>
          <w:sz w:val="32"/>
          <w:szCs w:val="32"/>
          <w:lang w:val="en-US" w:eastAsia="zh-CN"/>
        </w:rPr>
      </w:pPr>
      <w:r>
        <w:rPr>
          <w:rFonts w:hint="eastAsia" w:ascii="黑体" w:hAnsi="黑体" w:eastAsia="黑体" w:cs="黑体"/>
          <w:spacing w:val="20"/>
          <w:position w:val="0"/>
          <w:sz w:val="32"/>
          <w:szCs w:val="32"/>
          <w:lang w:val="en-US" w:eastAsia="zh-CN"/>
        </w:rPr>
        <w:t>第四部分 预算公开联系方式及信息反馈渠道</w:t>
      </w:r>
    </w:p>
    <w:p w14:paraId="77244B55">
      <w:pPr>
        <w:keepNext w:val="0"/>
        <w:keepLines w:val="0"/>
        <w:pageBreakBefore w:val="0"/>
        <w:widowControl/>
        <w:kinsoku w:val="0"/>
        <w:wordWrap/>
        <w:overflowPunct/>
        <w:topLinePunct w:val="0"/>
        <w:autoSpaceDE w:val="0"/>
        <w:autoSpaceDN w:val="0"/>
        <w:bidi w:val="0"/>
        <w:adjustRightInd w:val="0"/>
        <w:snapToGrid w:val="0"/>
        <w:spacing w:line="580" w:lineRule="exact"/>
        <w:textAlignment w:val="baseline"/>
        <w:rPr>
          <w:rFonts w:hint="default" w:ascii="黑体" w:hAnsi="黑体" w:eastAsia="黑体" w:cs="黑体"/>
          <w:spacing w:val="20"/>
          <w:position w:val="0"/>
          <w:sz w:val="32"/>
          <w:szCs w:val="32"/>
          <w:lang w:val="en-US" w:eastAsia="zh-CN"/>
        </w:rPr>
      </w:pPr>
      <w:r>
        <w:rPr>
          <w:rFonts w:hint="eastAsia" w:ascii="黑体" w:hAnsi="黑体" w:eastAsia="黑体" w:cs="黑体"/>
          <w:spacing w:val="20"/>
          <w:position w:val="0"/>
          <w:sz w:val="32"/>
          <w:szCs w:val="32"/>
          <w:lang w:val="en-US" w:eastAsia="zh-CN"/>
        </w:rPr>
        <w:t>第五部分 2025年度部门预算表</w:t>
      </w:r>
    </w:p>
    <w:p w14:paraId="6AE1E1EA">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一、收支总表</w:t>
      </w:r>
    </w:p>
    <w:p w14:paraId="1EAE346B">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二、收入总表</w:t>
      </w:r>
    </w:p>
    <w:p w14:paraId="534A8D7E">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三、支出总表</w:t>
      </w:r>
    </w:p>
    <w:p w14:paraId="54BD9789">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四、财政拨款收支总表</w:t>
      </w:r>
    </w:p>
    <w:p w14:paraId="68182D9A">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五、 一般公共预算支出表</w:t>
      </w:r>
    </w:p>
    <w:p w14:paraId="1A816308">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六、 一般公共预算基本支出表</w:t>
      </w:r>
    </w:p>
    <w:p w14:paraId="0A898FDC">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七、一般公共预算“三公”经费支出表</w:t>
      </w:r>
    </w:p>
    <w:p w14:paraId="20F6B402">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八、政府性基金预算支出表</w:t>
      </w:r>
    </w:p>
    <w:p w14:paraId="49F71979">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九、国有资本经营预算支出表</w:t>
      </w:r>
    </w:p>
    <w:p w14:paraId="3C4893E6">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十、项目支出表</w:t>
      </w:r>
    </w:p>
    <w:p w14:paraId="55A60566">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rPr>
        <w:t>十一、项目绩效目标表</w:t>
      </w:r>
    </w:p>
    <w:p w14:paraId="7791AF5A">
      <w:pPr>
        <w:keepNext w:val="0"/>
        <w:keepLines w:val="0"/>
        <w:pageBreakBefore w:val="0"/>
        <w:widowControl/>
        <w:kinsoku w:val="0"/>
        <w:wordWrap/>
        <w:overflowPunct/>
        <w:topLinePunct w:val="0"/>
        <w:autoSpaceDE w:val="0"/>
        <w:autoSpaceDN w:val="0"/>
        <w:bidi w:val="0"/>
        <w:adjustRightInd w:val="0"/>
        <w:snapToGrid w:val="0"/>
        <w:spacing w:line="580" w:lineRule="exact"/>
        <w:ind w:left="0"/>
        <w:textAlignment w:val="baseline"/>
        <w:rPr>
          <w:rFonts w:ascii="仿宋" w:hAnsi="仿宋" w:eastAsia="仿宋" w:cs="仿宋"/>
          <w:spacing w:val="20"/>
          <w:position w:val="0"/>
          <w:sz w:val="32"/>
          <w:szCs w:val="32"/>
        </w:rPr>
        <w:sectPr>
          <w:footerReference r:id="rId7" w:type="default"/>
          <w:pgSz w:w="11912" w:h="16841"/>
          <w:pgMar w:top="1984" w:right="1701" w:bottom="1984" w:left="1701" w:header="907" w:footer="992" w:gutter="0"/>
          <w:pgNumType w:fmt="numberInDash" w:start="1"/>
          <w:cols w:space="720" w:num="1"/>
        </w:sectPr>
      </w:pPr>
      <w:r>
        <w:rPr>
          <w:rFonts w:ascii="仿宋" w:hAnsi="仿宋" w:eastAsia="仿宋" w:cs="仿宋"/>
          <w:spacing w:val="20"/>
          <w:position w:val="0"/>
          <w:sz w:val="32"/>
          <w:szCs w:val="32"/>
        </w:rPr>
        <w:t>十二、政府采购预算表</w:t>
      </w:r>
    </w:p>
    <w:p w14:paraId="133C0CE4">
      <w:pPr>
        <w:pStyle w:val="2"/>
        <w:keepNext w:val="0"/>
        <w:keepLines w:val="0"/>
        <w:pageBreakBefore w:val="0"/>
        <w:widowControl/>
        <w:kinsoku w:val="0"/>
        <w:wordWrap/>
        <w:overflowPunct/>
        <w:topLinePunct w:val="0"/>
        <w:autoSpaceDE w:val="0"/>
        <w:autoSpaceDN w:val="0"/>
        <w:bidi w:val="0"/>
        <w:adjustRightInd w:val="0"/>
        <w:snapToGrid w:val="0"/>
        <w:spacing w:before="0" w:beforeLines="80" w:after="0" w:afterLines="50" w:line="240" w:lineRule="auto"/>
        <w:ind w:firstLine="720" w:firstLineChars="200"/>
        <w:jc w:val="left"/>
        <w:textAlignment w:val="baseline"/>
        <w:rPr>
          <w:rFonts w:hint="default"/>
          <w:spacing w:val="20"/>
          <w:sz w:val="32"/>
          <w:szCs w:val="32"/>
          <w:lang w:val="en-US"/>
        </w:rPr>
      </w:pPr>
      <w:r>
        <w:rPr>
          <w:rFonts w:hint="eastAsia" w:ascii="黑体" w:hAnsi="黑体" w:eastAsia="黑体" w:cs="黑体"/>
          <w:spacing w:val="20"/>
          <w:position w:val="0"/>
          <w:sz w:val="32"/>
          <w:szCs w:val="32"/>
          <w:lang w:val="en-US" w:eastAsia="zh-CN"/>
        </w:rPr>
        <w:t>第一部分 部门概况</w:t>
      </w:r>
    </w:p>
    <w:p w14:paraId="3CB9E4DB">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20" w:firstLineChars="200"/>
        <w:jc w:val="left"/>
        <w:textAlignment w:val="baseline"/>
        <w:rPr>
          <w:rFonts w:hint="eastAsia" w:ascii="黑体" w:hAnsi="黑体" w:eastAsia="黑体" w:cs="黑体"/>
          <w:spacing w:val="20"/>
          <w:position w:val="0"/>
          <w:sz w:val="32"/>
          <w:szCs w:val="32"/>
          <w:lang w:val="en-US" w:eastAsia="zh-CN"/>
        </w:rPr>
      </w:pPr>
      <w:r>
        <w:rPr>
          <w:rFonts w:hint="eastAsia" w:ascii="黑体" w:hAnsi="黑体" w:eastAsia="黑体" w:cs="黑体"/>
          <w:spacing w:val="20"/>
          <w:position w:val="0"/>
          <w:sz w:val="32"/>
          <w:szCs w:val="32"/>
          <w:lang w:val="en-US" w:eastAsia="zh-CN"/>
        </w:rPr>
        <w:t>一、主要职能职责</w:t>
      </w:r>
    </w:p>
    <w:p w14:paraId="7C0A4C16">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ascii="仿宋" w:hAnsi="仿宋" w:eastAsia="仿宋" w:cs="仿宋"/>
          <w:spacing w:val="23"/>
          <w:position w:val="0"/>
          <w:sz w:val="32"/>
          <w:szCs w:val="32"/>
        </w:rPr>
      </w:pPr>
      <w:r>
        <w:rPr>
          <w:rFonts w:ascii="仿宋" w:hAnsi="仿宋" w:eastAsia="仿宋" w:cs="仿宋"/>
          <w:spacing w:val="23"/>
          <w:position w:val="0"/>
          <w:sz w:val="32"/>
          <w:szCs w:val="32"/>
        </w:rPr>
        <w:t>莫力达瓦达斡尔族自治旗巴彦鄂温克民族乡人民政府部门主要职责和工作职能如下：</w:t>
      </w:r>
    </w:p>
    <w:p w14:paraId="5364DDD2">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ascii="仿宋" w:hAnsi="仿宋" w:eastAsia="仿宋" w:cs="仿宋"/>
          <w:spacing w:val="23"/>
          <w:position w:val="0"/>
          <w:sz w:val="32"/>
          <w:szCs w:val="32"/>
        </w:rPr>
      </w:pPr>
      <w:r>
        <w:rPr>
          <w:rFonts w:ascii="仿宋" w:hAnsi="仿宋" w:eastAsia="仿宋" w:cs="仿宋"/>
          <w:spacing w:val="23"/>
          <w:position w:val="0"/>
          <w:sz w:val="32"/>
          <w:szCs w:val="32"/>
        </w:rPr>
        <w:t>落实国家政策严格依法行政</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发挥经济管理职能，加强政策引导</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制定发展规划</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服务市场主体和营造发展环境</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搞好市场监管</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大力促进社会事业发展</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发展镇村经济</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文化和社会事业，提供公共服务</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维护社会稳定</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构建社会主义和谐社会。</w:t>
      </w:r>
    </w:p>
    <w:p w14:paraId="0C6EB7FE">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ascii="仿宋" w:hAnsi="仿宋" w:eastAsia="仿宋" w:cs="仿宋"/>
          <w:spacing w:val="23"/>
          <w:position w:val="0"/>
          <w:sz w:val="32"/>
          <w:szCs w:val="32"/>
        </w:rPr>
      </w:pPr>
      <w:r>
        <w:rPr>
          <w:rFonts w:ascii="仿宋" w:hAnsi="仿宋" w:eastAsia="仿宋" w:cs="仿宋"/>
          <w:spacing w:val="23"/>
          <w:position w:val="0"/>
          <w:sz w:val="32"/>
          <w:szCs w:val="32"/>
        </w:rPr>
        <w:t>(1)执行本级人民代表大会的决议和上级国家行政机关的决定和命令</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发布决定和命令；</w:t>
      </w:r>
    </w:p>
    <w:p w14:paraId="7666851F">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ascii="仿宋" w:hAnsi="仿宋" w:eastAsia="仿宋" w:cs="仿宋"/>
          <w:spacing w:val="23"/>
          <w:position w:val="0"/>
          <w:sz w:val="32"/>
          <w:szCs w:val="32"/>
        </w:rPr>
      </w:pPr>
      <w:r>
        <w:rPr>
          <w:rFonts w:ascii="仿宋" w:hAnsi="仿宋" w:eastAsia="仿宋" w:cs="仿宋"/>
          <w:spacing w:val="23"/>
          <w:position w:val="0"/>
          <w:sz w:val="32"/>
          <w:szCs w:val="32"/>
        </w:rPr>
        <w:t>(2)执行本行政区域内的经济和社会发展计划</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预算</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管理本行政区域内的经济、教育、科学、文化、卫生、体育事业和财政</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民政、公安、司法行政、计划生育等行政工作</w:t>
      </w:r>
      <w:r>
        <w:rPr>
          <w:rFonts w:hint="eastAsia" w:ascii="仿宋" w:hAnsi="仿宋" w:eastAsia="仿宋" w:cs="仿宋"/>
          <w:spacing w:val="23"/>
          <w:position w:val="0"/>
          <w:sz w:val="32"/>
          <w:szCs w:val="32"/>
          <w:lang w:eastAsia="zh-CN"/>
        </w:rPr>
        <w:t>；</w:t>
      </w:r>
    </w:p>
    <w:p w14:paraId="7A578585">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ascii="仿宋" w:hAnsi="仿宋" w:eastAsia="仿宋" w:cs="仿宋"/>
          <w:spacing w:val="23"/>
          <w:position w:val="0"/>
          <w:sz w:val="32"/>
          <w:szCs w:val="32"/>
        </w:rPr>
      </w:pPr>
      <w:r>
        <w:rPr>
          <w:rFonts w:ascii="仿宋" w:hAnsi="仿宋" w:eastAsia="仿宋" w:cs="仿宋"/>
          <w:spacing w:val="23"/>
          <w:position w:val="0"/>
          <w:sz w:val="32"/>
          <w:szCs w:val="32"/>
        </w:rPr>
        <w:t>(3)保护社会主义的全民所有的财产和劳动群众集体所有的财 产，保护公民私人所有的合法财产，维护社会秩序，保障公民的人身权利、民主权利和其他权利；</w:t>
      </w:r>
    </w:p>
    <w:p w14:paraId="30E3798D">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ascii="仿宋" w:hAnsi="仿宋" w:eastAsia="仿宋" w:cs="仿宋"/>
          <w:spacing w:val="23"/>
          <w:position w:val="0"/>
          <w:sz w:val="32"/>
          <w:szCs w:val="32"/>
        </w:rPr>
      </w:pPr>
      <w:r>
        <w:rPr>
          <w:rFonts w:ascii="仿宋" w:hAnsi="仿宋" w:eastAsia="仿宋" w:cs="仿宋"/>
          <w:spacing w:val="23"/>
          <w:position w:val="0"/>
          <w:sz w:val="32"/>
          <w:szCs w:val="32"/>
        </w:rPr>
        <w:t>(4)保护各种经济组织的合法权益；</w:t>
      </w:r>
    </w:p>
    <w:p w14:paraId="3F59125B">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ascii="仿宋" w:hAnsi="仿宋" w:eastAsia="仿宋" w:cs="仿宋"/>
          <w:spacing w:val="23"/>
          <w:position w:val="0"/>
          <w:sz w:val="32"/>
          <w:szCs w:val="32"/>
        </w:rPr>
      </w:pPr>
      <w:r>
        <w:rPr>
          <w:rFonts w:ascii="仿宋" w:hAnsi="仿宋" w:eastAsia="仿宋" w:cs="仿宋"/>
          <w:spacing w:val="23"/>
          <w:position w:val="0"/>
          <w:sz w:val="32"/>
          <w:szCs w:val="32"/>
        </w:rPr>
        <w:t>(5)保障少数民族的权利和尊重少数民族的风俗习惯</w:t>
      </w:r>
      <w:r>
        <w:rPr>
          <w:rFonts w:hint="eastAsia" w:ascii="仿宋" w:hAnsi="仿宋" w:eastAsia="仿宋" w:cs="仿宋"/>
          <w:spacing w:val="23"/>
          <w:position w:val="0"/>
          <w:sz w:val="32"/>
          <w:szCs w:val="32"/>
          <w:lang w:eastAsia="zh-CN"/>
        </w:rPr>
        <w:t>；</w:t>
      </w:r>
    </w:p>
    <w:p w14:paraId="0D52E3BB">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ascii="仿宋" w:hAnsi="仿宋" w:eastAsia="仿宋" w:cs="仿宋"/>
          <w:spacing w:val="23"/>
          <w:position w:val="0"/>
          <w:sz w:val="32"/>
          <w:szCs w:val="32"/>
        </w:rPr>
      </w:pPr>
      <w:r>
        <w:rPr>
          <w:rFonts w:ascii="仿宋" w:hAnsi="仿宋" w:eastAsia="仿宋" w:cs="仿宋"/>
          <w:spacing w:val="23"/>
          <w:position w:val="0"/>
          <w:sz w:val="32"/>
          <w:szCs w:val="32"/>
        </w:rPr>
        <w:t>(6)办理上级人民政府交办的其他事项。</w:t>
      </w:r>
    </w:p>
    <w:p w14:paraId="78EBA7B4">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ascii="仿宋" w:hAnsi="仿宋" w:eastAsia="仿宋" w:cs="仿宋"/>
          <w:spacing w:val="23"/>
          <w:position w:val="0"/>
          <w:sz w:val="32"/>
          <w:szCs w:val="32"/>
        </w:rPr>
      </w:pPr>
    </w:p>
    <w:p w14:paraId="1B7A72BD">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20" w:firstLineChars="200"/>
        <w:jc w:val="left"/>
        <w:textAlignment w:val="baseline"/>
        <w:rPr>
          <w:rFonts w:hint="eastAsia" w:ascii="黑体" w:hAnsi="黑体" w:eastAsia="黑体" w:cs="黑体"/>
          <w:spacing w:val="20"/>
          <w:position w:val="0"/>
          <w:sz w:val="32"/>
          <w:szCs w:val="32"/>
          <w:lang w:val="en-US" w:eastAsia="zh-CN"/>
        </w:rPr>
      </w:pPr>
      <w:r>
        <w:rPr>
          <w:rFonts w:hint="eastAsia" w:ascii="黑体" w:hAnsi="黑体" w:eastAsia="黑体" w:cs="黑体"/>
          <w:spacing w:val="20"/>
          <w:position w:val="0"/>
          <w:sz w:val="32"/>
          <w:szCs w:val="32"/>
          <w:lang w:val="en-US" w:eastAsia="zh-CN"/>
        </w:rPr>
        <w:t>二、 部门机构设置及预算单位构成情况</w:t>
      </w:r>
    </w:p>
    <w:p w14:paraId="184B54A0">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ascii="仿宋" w:hAnsi="仿宋" w:eastAsia="仿宋" w:cs="仿宋"/>
          <w:spacing w:val="23"/>
          <w:position w:val="0"/>
          <w:sz w:val="32"/>
          <w:szCs w:val="32"/>
        </w:rPr>
      </w:pPr>
      <w:r>
        <w:rPr>
          <w:rFonts w:hint="eastAsia" w:ascii="仿宋" w:hAnsi="仿宋" w:eastAsia="仿宋" w:cs="仿宋"/>
          <w:spacing w:val="23"/>
          <w:position w:val="0"/>
          <w:sz w:val="32"/>
          <w:szCs w:val="32"/>
          <w:lang w:val="en-US" w:eastAsia="zh-CN"/>
        </w:rPr>
        <w:t>1.</w:t>
      </w:r>
      <w:r>
        <w:rPr>
          <w:rFonts w:ascii="仿宋" w:hAnsi="仿宋" w:eastAsia="仿宋" w:cs="仿宋"/>
          <w:spacing w:val="23"/>
          <w:position w:val="0"/>
          <w:sz w:val="32"/>
          <w:szCs w:val="32"/>
        </w:rPr>
        <w:t>根据部门职责分工</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本部门下属单位包括</w:t>
      </w:r>
      <w:r>
        <w:rPr>
          <w:rFonts w:hint="eastAsia" w:ascii="仿宋" w:hAnsi="仿宋" w:eastAsia="仿宋" w:cs="仿宋"/>
          <w:spacing w:val="23"/>
          <w:position w:val="0"/>
          <w:sz w:val="32"/>
          <w:szCs w:val="32"/>
          <w:lang w:eastAsia="zh-CN"/>
        </w:rPr>
        <w:t>：</w:t>
      </w:r>
      <w:r>
        <w:rPr>
          <w:rFonts w:ascii="仿宋" w:hAnsi="仿宋" w:eastAsia="仿宋" w:cs="仿宋"/>
          <w:spacing w:val="23"/>
          <w:position w:val="0"/>
          <w:sz w:val="32"/>
          <w:szCs w:val="32"/>
        </w:rPr>
        <w:t>莫力达瓦达斡尔族自治旗巴彦鄂温克民族乡党群服务中心、莫力达瓦达斡尔族自治旗巴彦鄂温克民族乡综合行政执法</w:t>
      </w:r>
      <w:r>
        <w:rPr>
          <w:rFonts w:hint="eastAsia" w:ascii="仿宋" w:hAnsi="仿宋" w:eastAsia="仿宋" w:cs="仿宋"/>
          <w:spacing w:val="23"/>
          <w:position w:val="0"/>
          <w:sz w:val="32"/>
          <w:szCs w:val="32"/>
          <w:lang w:val="en-US" w:eastAsia="zh-CN"/>
        </w:rPr>
        <w:t>队</w:t>
      </w:r>
      <w:r>
        <w:rPr>
          <w:rFonts w:ascii="仿宋" w:hAnsi="仿宋" w:eastAsia="仿宋" w:cs="仿宋"/>
          <w:spacing w:val="23"/>
          <w:position w:val="0"/>
          <w:sz w:val="32"/>
          <w:szCs w:val="32"/>
        </w:rPr>
        <w:t>、</w:t>
      </w:r>
      <w:r>
        <w:rPr>
          <w:rFonts w:hint="eastAsia" w:ascii="仿宋" w:hAnsi="仿宋" w:eastAsia="仿宋" w:cs="仿宋"/>
          <w:spacing w:val="23"/>
          <w:position w:val="0"/>
          <w:sz w:val="32"/>
          <w:szCs w:val="32"/>
          <w:lang w:val="en-US" w:eastAsia="zh-CN"/>
        </w:rPr>
        <w:t>莫力达瓦达斡尔族自治旗巴彦鄂温克民族乡农牧业技术推广服务中心</w:t>
      </w:r>
      <w:r>
        <w:rPr>
          <w:rFonts w:ascii="仿宋" w:hAnsi="仿宋" w:eastAsia="仿宋" w:cs="仿宋"/>
          <w:spacing w:val="23"/>
          <w:position w:val="0"/>
          <w:sz w:val="32"/>
          <w:szCs w:val="32"/>
        </w:rPr>
        <w:t>。</w:t>
      </w:r>
    </w:p>
    <w:p w14:paraId="0C021136">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hint="eastAsia" w:ascii="仿宋" w:hAnsi="仿宋" w:eastAsia="仿宋" w:cs="仿宋"/>
          <w:spacing w:val="23"/>
          <w:position w:val="0"/>
          <w:sz w:val="32"/>
          <w:szCs w:val="32"/>
          <w:lang w:val="en-US" w:eastAsia="zh-CN"/>
        </w:rPr>
      </w:pPr>
      <w:r>
        <w:rPr>
          <w:rFonts w:hint="eastAsia" w:ascii="仿宋" w:hAnsi="仿宋" w:eastAsia="仿宋" w:cs="仿宋"/>
          <w:spacing w:val="23"/>
          <w:position w:val="0"/>
          <w:sz w:val="32"/>
          <w:szCs w:val="32"/>
          <w:lang w:val="en-US" w:eastAsia="zh-CN"/>
        </w:rPr>
        <w:t>2.从预算单位构成看，纳入本部门2025年部门汇总预算编 制范围的预算单位共计4家，具体包括：莫力达瓦达斡尔族自治旗 巴彦鄂温克民族乡人民政府、莫力达瓦达斡尔族自治旗巴彦鄂温克民族乡党群服务中心、莫力达瓦达斡尔族自治旗巴彦鄂温克民族乡综合行政执法队、莫力达瓦达斡尔族自治旗巴彦鄂 温克民族乡农牧业技术推广服务中心。详细情况见表：</w:t>
      </w:r>
    </w:p>
    <w:p w14:paraId="0B832EE0">
      <w:pPr>
        <w:spacing w:before="211"/>
      </w:pPr>
    </w:p>
    <w:tbl>
      <w:tblPr>
        <w:tblStyle w:val="7"/>
        <w:tblW w:w="8528" w:type="dxa"/>
        <w:tblInd w:w="2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6"/>
        <w:gridCol w:w="4721"/>
        <w:gridCol w:w="3141"/>
      </w:tblGrid>
      <w:tr w14:paraId="3F6835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trPr>
        <w:tc>
          <w:tcPr>
            <w:tcW w:w="666" w:type="dxa"/>
            <w:textDirection w:val="tbRlV"/>
            <w:vAlign w:val="top"/>
          </w:tcPr>
          <w:p w14:paraId="0FAC4590">
            <w:pPr>
              <w:pStyle w:val="8"/>
              <w:spacing w:before="176" w:line="207" w:lineRule="auto"/>
              <w:ind w:left="50"/>
            </w:pPr>
            <w:r>
              <w:rPr>
                <w:spacing w:val="9"/>
              </w:rPr>
              <w:t>序</w:t>
            </w:r>
            <w:r>
              <w:rPr>
                <w:spacing w:val="-57"/>
              </w:rPr>
              <w:t xml:space="preserve"> </w:t>
            </w:r>
            <w:r>
              <w:rPr>
                <w:spacing w:val="9"/>
              </w:rPr>
              <w:t>号</w:t>
            </w:r>
          </w:p>
        </w:tc>
        <w:tc>
          <w:tcPr>
            <w:tcW w:w="4721" w:type="dxa"/>
            <w:vAlign w:val="top"/>
          </w:tcPr>
          <w:p w14:paraId="56E81A06">
            <w:pPr>
              <w:pStyle w:val="8"/>
              <w:spacing w:before="251" w:line="223" w:lineRule="auto"/>
              <w:ind w:left="1760"/>
            </w:pPr>
            <w:r>
              <w:rPr>
                <w:spacing w:val="3"/>
              </w:rPr>
              <w:t>单位名称</w:t>
            </w:r>
          </w:p>
        </w:tc>
        <w:tc>
          <w:tcPr>
            <w:tcW w:w="3141" w:type="dxa"/>
            <w:vAlign w:val="top"/>
          </w:tcPr>
          <w:p w14:paraId="2D5A8781">
            <w:pPr>
              <w:pStyle w:val="8"/>
              <w:spacing w:before="251" w:line="222" w:lineRule="auto"/>
              <w:ind w:left="974"/>
            </w:pPr>
            <w:r>
              <w:rPr>
                <w:spacing w:val="3"/>
              </w:rPr>
              <w:t>单位性质</w:t>
            </w:r>
          </w:p>
        </w:tc>
      </w:tr>
      <w:tr w14:paraId="1FEC2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666" w:type="dxa"/>
            <w:vAlign w:val="top"/>
          </w:tcPr>
          <w:p w14:paraId="5CF8A4C7">
            <w:pPr>
              <w:spacing w:before="297" w:line="191" w:lineRule="auto"/>
              <w:ind w:left="288"/>
              <w:rPr>
                <w:rFonts w:ascii="Times New Roman" w:hAnsi="Times New Roman" w:eastAsia="Times New Roman" w:cs="Times New Roman"/>
                <w:sz w:val="30"/>
                <w:szCs w:val="30"/>
              </w:rPr>
            </w:pPr>
            <w:r>
              <w:rPr>
                <w:rFonts w:ascii="Times New Roman" w:hAnsi="Times New Roman" w:eastAsia="Times New Roman" w:cs="Times New Roman"/>
                <w:sz w:val="30"/>
                <w:szCs w:val="30"/>
              </w:rPr>
              <w:t>1</w:t>
            </w:r>
          </w:p>
        </w:tc>
        <w:tc>
          <w:tcPr>
            <w:tcW w:w="4721" w:type="dxa"/>
            <w:vAlign w:val="top"/>
          </w:tcPr>
          <w:p w14:paraId="3E97E5A9">
            <w:pPr>
              <w:pStyle w:val="8"/>
              <w:spacing w:before="46" w:line="231" w:lineRule="auto"/>
              <w:ind w:left="125" w:right="275" w:firstLine="1"/>
            </w:pPr>
            <w:r>
              <w:rPr>
                <w:spacing w:val="8"/>
              </w:rPr>
              <w:t>莫力达瓦达斡尔族自治旗巴彦鄂</w:t>
            </w:r>
            <w:r>
              <w:t xml:space="preserve"> </w:t>
            </w:r>
            <w:r>
              <w:rPr>
                <w:spacing w:val="7"/>
              </w:rPr>
              <w:t>温克民族乡人民政府</w:t>
            </w:r>
          </w:p>
        </w:tc>
        <w:tc>
          <w:tcPr>
            <w:tcW w:w="3141" w:type="dxa"/>
            <w:vAlign w:val="top"/>
          </w:tcPr>
          <w:p w14:paraId="68A760DE">
            <w:pPr>
              <w:pStyle w:val="8"/>
              <w:spacing w:before="247" w:line="223" w:lineRule="auto"/>
              <w:ind w:left="131"/>
            </w:pPr>
            <w:r>
              <w:rPr>
                <w:spacing w:val="7"/>
              </w:rPr>
              <w:t>财政拨款的行政单位</w:t>
            </w:r>
          </w:p>
        </w:tc>
      </w:tr>
      <w:tr w14:paraId="20297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0" w:hRule="atLeast"/>
        </w:trPr>
        <w:tc>
          <w:tcPr>
            <w:tcW w:w="666" w:type="dxa"/>
            <w:vAlign w:val="top"/>
          </w:tcPr>
          <w:p w14:paraId="46467C99">
            <w:pPr>
              <w:spacing w:before="298" w:line="191" w:lineRule="auto"/>
              <w:ind w:left="258"/>
              <w:rPr>
                <w:rFonts w:ascii="Times New Roman" w:hAnsi="Times New Roman" w:eastAsia="Times New Roman" w:cs="Times New Roman"/>
                <w:sz w:val="30"/>
                <w:szCs w:val="30"/>
              </w:rPr>
            </w:pPr>
            <w:r>
              <w:rPr>
                <w:rFonts w:ascii="Times New Roman" w:hAnsi="Times New Roman" w:eastAsia="Times New Roman" w:cs="Times New Roman"/>
                <w:sz w:val="30"/>
                <w:szCs w:val="30"/>
              </w:rPr>
              <w:t>2</w:t>
            </w:r>
          </w:p>
        </w:tc>
        <w:tc>
          <w:tcPr>
            <w:tcW w:w="4721" w:type="dxa"/>
            <w:vAlign w:val="top"/>
          </w:tcPr>
          <w:p w14:paraId="30FF295B">
            <w:pPr>
              <w:pStyle w:val="8"/>
              <w:spacing w:before="49" w:line="231" w:lineRule="auto"/>
              <w:ind w:left="125" w:right="275" w:firstLine="1"/>
            </w:pPr>
            <w:r>
              <w:rPr>
                <w:spacing w:val="8"/>
              </w:rPr>
              <w:t>莫力达瓦达斡尔族自治旗巴彦鄂</w:t>
            </w:r>
            <w:r>
              <w:t xml:space="preserve"> </w:t>
            </w:r>
            <w:r>
              <w:rPr>
                <w:spacing w:val="7"/>
              </w:rPr>
              <w:t>温克民族乡党群服务中心</w:t>
            </w:r>
          </w:p>
        </w:tc>
        <w:tc>
          <w:tcPr>
            <w:tcW w:w="3141" w:type="dxa"/>
            <w:vAlign w:val="top"/>
          </w:tcPr>
          <w:p w14:paraId="771A5034">
            <w:pPr>
              <w:pStyle w:val="8"/>
              <w:spacing w:before="249" w:line="223" w:lineRule="auto"/>
              <w:ind w:left="133"/>
            </w:pPr>
            <w:r>
              <w:rPr>
                <w:spacing w:val="6"/>
              </w:rPr>
              <w:t>公益一类事业单位</w:t>
            </w:r>
          </w:p>
        </w:tc>
      </w:tr>
      <w:tr w14:paraId="0AD4C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666" w:type="dxa"/>
            <w:vAlign w:val="top"/>
          </w:tcPr>
          <w:p w14:paraId="30420D67">
            <w:pPr>
              <w:spacing w:before="297" w:line="191" w:lineRule="auto"/>
              <w:ind w:left="264"/>
              <w:rPr>
                <w:rFonts w:ascii="Times New Roman" w:hAnsi="Times New Roman" w:eastAsia="Times New Roman" w:cs="Times New Roman"/>
                <w:sz w:val="30"/>
                <w:szCs w:val="30"/>
              </w:rPr>
            </w:pPr>
            <w:r>
              <w:rPr>
                <w:rFonts w:ascii="Times New Roman" w:hAnsi="Times New Roman" w:eastAsia="Times New Roman" w:cs="Times New Roman"/>
                <w:sz w:val="30"/>
                <w:szCs w:val="30"/>
              </w:rPr>
              <w:t>3</w:t>
            </w:r>
          </w:p>
        </w:tc>
        <w:tc>
          <w:tcPr>
            <w:tcW w:w="4721" w:type="dxa"/>
            <w:vAlign w:val="top"/>
          </w:tcPr>
          <w:p w14:paraId="35932AE9">
            <w:pPr>
              <w:pStyle w:val="8"/>
              <w:spacing w:before="50" w:line="230" w:lineRule="auto"/>
              <w:ind w:left="125" w:right="275" w:firstLine="1"/>
              <w:rPr>
                <w:rFonts w:hint="eastAsia" w:eastAsia="仿宋"/>
                <w:lang w:eastAsia="zh-CN"/>
              </w:rPr>
            </w:pPr>
            <w:r>
              <w:rPr>
                <w:spacing w:val="8"/>
              </w:rPr>
              <w:t>莫力达瓦达斡尔族自治旗巴彦鄂</w:t>
            </w:r>
            <w:r>
              <w:t xml:space="preserve"> </w:t>
            </w:r>
            <w:r>
              <w:rPr>
                <w:spacing w:val="7"/>
              </w:rPr>
              <w:t>温克民族乡综合行政执法</w:t>
            </w:r>
            <w:r>
              <w:rPr>
                <w:rFonts w:hint="eastAsia"/>
                <w:spacing w:val="7"/>
                <w:lang w:val="en-US" w:eastAsia="zh-CN"/>
              </w:rPr>
              <w:t>队</w:t>
            </w:r>
          </w:p>
        </w:tc>
        <w:tc>
          <w:tcPr>
            <w:tcW w:w="3141" w:type="dxa"/>
            <w:vAlign w:val="top"/>
          </w:tcPr>
          <w:p w14:paraId="0A65CA13">
            <w:pPr>
              <w:pStyle w:val="8"/>
              <w:spacing w:before="250" w:line="223" w:lineRule="auto"/>
              <w:ind w:left="133"/>
            </w:pPr>
            <w:r>
              <w:rPr>
                <w:spacing w:val="6"/>
              </w:rPr>
              <w:t>公益一类事业单位</w:t>
            </w:r>
          </w:p>
        </w:tc>
      </w:tr>
      <w:tr w14:paraId="6A05F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6" w:hRule="atLeast"/>
        </w:trPr>
        <w:tc>
          <w:tcPr>
            <w:tcW w:w="666" w:type="dxa"/>
            <w:vAlign w:val="top"/>
          </w:tcPr>
          <w:p w14:paraId="7263F7DB">
            <w:pPr>
              <w:spacing w:line="410" w:lineRule="auto"/>
              <w:rPr>
                <w:rFonts w:ascii="Arial"/>
                <w:sz w:val="21"/>
              </w:rPr>
            </w:pPr>
          </w:p>
          <w:p w14:paraId="514D829C">
            <w:pPr>
              <w:spacing w:before="87" w:line="191" w:lineRule="auto"/>
              <w:ind w:left="256"/>
              <w:rPr>
                <w:rFonts w:ascii="Times New Roman" w:hAnsi="Times New Roman" w:eastAsia="Times New Roman" w:cs="Times New Roman"/>
                <w:sz w:val="30"/>
                <w:szCs w:val="30"/>
              </w:rPr>
            </w:pPr>
            <w:r>
              <w:rPr>
                <w:rFonts w:ascii="Times New Roman" w:hAnsi="Times New Roman" w:eastAsia="Times New Roman" w:cs="Times New Roman"/>
                <w:sz w:val="30"/>
                <w:szCs w:val="30"/>
              </w:rPr>
              <w:t>4</w:t>
            </w:r>
          </w:p>
        </w:tc>
        <w:tc>
          <w:tcPr>
            <w:tcW w:w="4721" w:type="dxa"/>
            <w:vAlign w:val="top"/>
          </w:tcPr>
          <w:p w14:paraId="3ACAA6B1">
            <w:pPr>
              <w:pStyle w:val="8"/>
              <w:spacing w:before="50" w:line="237" w:lineRule="auto"/>
              <w:ind w:left="125" w:right="275" w:firstLine="1"/>
              <w:jc w:val="both"/>
              <w:rPr>
                <w:rFonts w:hint="default" w:eastAsia="仿宋"/>
                <w:lang w:val="en-US" w:eastAsia="zh-CN"/>
              </w:rPr>
            </w:pPr>
            <w:r>
              <w:rPr>
                <w:spacing w:val="8"/>
              </w:rPr>
              <w:t>莫力达瓦达斡尔族自治旗巴彦鄂</w:t>
            </w:r>
            <w:r>
              <w:t xml:space="preserve"> </w:t>
            </w:r>
            <w:r>
              <w:rPr>
                <w:spacing w:val="8"/>
              </w:rPr>
              <w:t>温克民族乡</w:t>
            </w:r>
            <w:r>
              <w:rPr>
                <w:rFonts w:hint="eastAsia"/>
                <w:spacing w:val="8"/>
                <w:lang w:val="en-US" w:eastAsia="zh-CN"/>
              </w:rPr>
              <w:t>农牧业技术推广服务中心</w:t>
            </w:r>
          </w:p>
        </w:tc>
        <w:tc>
          <w:tcPr>
            <w:tcW w:w="3141" w:type="dxa"/>
            <w:vAlign w:val="top"/>
          </w:tcPr>
          <w:p w14:paraId="4E99C8C4">
            <w:pPr>
              <w:spacing w:line="350" w:lineRule="auto"/>
              <w:rPr>
                <w:rFonts w:ascii="Arial"/>
                <w:sz w:val="21"/>
              </w:rPr>
            </w:pPr>
          </w:p>
          <w:p w14:paraId="0C076D8D">
            <w:pPr>
              <w:pStyle w:val="8"/>
              <w:spacing w:before="97" w:line="223" w:lineRule="auto"/>
              <w:ind w:left="133"/>
            </w:pPr>
            <w:r>
              <w:rPr>
                <w:spacing w:val="6"/>
              </w:rPr>
              <w:t>公益一类事业单位</w:t>
            </w:r>
          </w:p>
        </w:tc>
      </w:tr>
    </w:tbl>
    <w:p w14:paraId="21ACD9FE">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20" w:firstLineChars="200"/>
        <w:jc w:val="both"/>
        <w:textAlignment w:val="baseline"/>
        <w:rPr>
          <w:rFonts w:hint="eastAsia" w:ascii="仿宋" w:hAnsi="仿宋" w:eastAsia="仿宋" w:cs="仿宋"/>
          <w:spacing w:val="20"/>
          <w:position w:val="0"/>
          <w:sz w:val="32"/>
          <w:szCs w:val="32"/>
          <w:lang w:val="en-US" w:eastAsia="zh-CN"/>
        </w:rPr>
        <w:sectPr>
          <w:footerReference r:id="rId8" w:type="default"/>
          <w:pgSz w:w="11912" w:h="16841"/>
          <w:pgMar w:top="1984" w:right="1701" w:bottom="1984" w:left="1701" w:header="907" w:footer="992" w:gutter="0"/>
          <w:pgNumType w:fmt="numberInDash" w:start="1"/>
          <w:cols w:space="720" w:num="1"/>
        </w:sectPr>
      </w:pPr>
    </w:p>
    <w:p w14:paraId="58C7B54D">
      <w:pPr>
        <w:pStyle w:val="2"/>
        <w:keepNext w:val="0"/>
        <w:keepLines w:val="0"/>
        <w:pageBreakBefore w:val="0"/>
        <w:widowControl/>
        <w:kinsoku w:val="0"/>
        <w:wordWrap/>
        <w:overflowPunct/>
        <w:topLinePunct w:val="0"/>
        <w:autoSpaceDE w:val="0"/>
        <w:autoSpaceDN w:val="0"/>
        <w:bidi w:val="0"/>
        <w:adjustRightInd w:val="0"/>
        <w:snapToGrid w:val="0"/>
        <w:spacing w:before="0" w:beforeLines="80" w:after="0" w:afterLines="50" w:line="240" w:lineRule="auto"/>
        <w:ind w:firstLine="720" w:firstLineChars="200"/>
        <w:jc w:val="left"/>
        <w:textAlignment w:val="baseline"/>
        <w:rPr>
          <w:spacing w:val="20"/>
          <w:sz w:val="32"/>
          <w:szCs w:val="32"/>
        </w:rPr>
      </w:pPr>
      <w:r>
        <w:rPr>
          <w:rFonts w:hint="eastAsia" w:ascii="黑体" w:hAnsi="黑体" w:eastAsia="黑体" w:cs="黑体"/>
          <w:spacing w:val="20"/>
          <w:position w:val="0"/>
          <w:sz w:val="32"/>
          <w:szCs w:val="32"/>
          <w:lang w:val="en-US" w:eastAsia="zh-CN"/>
        </w:rPr>
        <w:t>第二部分 2025年度部门预算情况说明</w:t>
      </w:r>
    </w:p>
    <w:p w14:paraId="6B7A5C6B">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20" w:firstLineChars="200"/>
        <w:jc w:val="left"/>
        <w:textAlignment w:val="baseline"/>
        <w:rPr>
          <w:rFonts w:ascii="黑体" w:hAnsi="黑体" w:eastAsia="黑体" w:cs="黑体"/>
          <w:spacing w:val="20"/>
          <w:sz w:val="32"/>
          <w:szCs w:val="32"/>
        </w:rPr>
      </w:pPr>
      <w:r>
        <w:rPr>
          <w:rFonts w:hint="eastAsia" w:ascii="黑体" w:hAnsi="黑体" w:eastAsia="黑体" w:cs="黑体"/>
          <w:spacing w:val="20"/>
          <w:position w:val="0"/>
          <w:sz w:val="32"/>
          <w:szCs w:val="32"/>
          <w:lang w:val="en-US" w:eastAsia="zh-CN"/>
        </w:rPr>
        <w:t>一、收支预算总体情况说明</w:t>
      </w:r>
    </w:p>
    <w:p w14:paraId="2C4F6CD4">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32" w:firstLineChars="200"/>
        <w:jc w:val="both"/>
        <w:textAlignment w:val="baseline"/>
        <w:rPr>
          <w:rFonts w:hint="eastAsia" w:ascii="仿宋" w:hAnsi="仿宋" w:eastAsia="仿宋" w:cs="仿宋"/>
          <w:spacing w:val="23"/>
          <w:position w:val="0"/>
          <w:sz w:val="32"/>
          <w:szCs w:val="32"/>
          <w:lang w:val="en-US" w:eastAsia="zh-CN"/>
        </w:rPr>
      </w:pPr>
      <w:r>
        <w:rPr>
          <w:rFonts w:hint="eastAsia" w:ascii="仿宋" w:hAnsi="仿宋" w:eastAsia="仿宋" w:cs="仿宋"/>
          <w:spacing w:val="23"/>
          <w:position w:val="0"/>
          <w:sz w:val="32"/>
          <w:szCs w:val="32"/>
          <w:lang w:val="en-US" w:eastAsia="zh-CN"/>
        </w:rPr>
        <w:t>莫力达瓦达斡尔族自治旗巴彦鄂温克民族乡人民政府2025年 度收入、支出预算总计</w:t>
      </w:r>
      <w:r>
        <w:rPr>
          <w:rFonts w:hint="eastAsia" w:ascii="仿宋" w:hAnsi="仿宋" w:eastAsia="仿宋" w:cs="仿宋"/>
          <w:spacing w:val="23"/>
          <w:position w:val="0"/>
          <w:sz w:val="32"/>
          <w:szCs w:val="32"/>
          <w:u w:val="single"/>
          <w:lang w:val="en-US" w:eastAsia="zh-CN"/>
        </w:rPr>
        <w:t>2279.42</w:t>
      </w:r>
      <w:r>
        <w:rPr>
          <w:rFonts w:hint="eastAsia" w:ascii="仿宋" w:hAnsi="仿宋" w:eastAsia="仿宋" w:cs="仿宋"/>
          <w:spacing w:val="23"/>
          <w:position w:val="0"/>
          <w:sz w:val="32"/>
          <w:szCs w:val="32"/>
          <w:lang w:val="en-US" w:eastAsia="zh-CN"/>
        </w:rPr>
        <w:t>万元，与上年相比收、支预算总计各增加</w:t>
      </w:r>
      <w:r>
        <w:rPr>
          <w:rFonts w:hint="eastAsia" w:ascii="仿宋" w:hAnsi="仿宋" w:eastAsia="仿宋" w:cs="仿宋"/>
          <w:spacing w:val="23"/>
          <w:position w:val="0"/>
          <w:sz w:val="32"/>
          <w:szCs w:val="32"/>
          <w:u w:val="single"/>
          <w:lang w:val="en-US" w:eastAsia="zh-CN"/>
        </w:rPr>
        <w:t>124.51</w:t>
      </w:r>
      <w:r>
        <w:rPr>
          <w:rFonts w:hint="eastAsia" w:ascii="仿宋" w:hAnsi="仿宋" w:eastAsia="仿宋" w:cs="仿宋"/>
          <w:spacing w:val="23"/>
          <w:position w:val="0"/>
          <w:sz w:val="32"/>
          <w:szCs w:val="32"/>
          <w:lang w:val="en-US" w:eastAsia="zh-CN"/>
        </w:rPr>
        <w:t>万元，增长</w:t>
      </w:r>
      <w:r>
        <w:rPr>
          <w:rFonts w:hint="eastAsia" w:ascii="仿宋" w:hAnsi="仿宋" w:eastAsia="仿宋" w:cs="仿宋"/>
          <w:spacing w:val="23"/>
          <w:position w:val="0"/>
          <w:sz w:val="32"/>
          <w:szCs w:val="32"/>
          <w:u w:val="single"/>
          <w:lang w:val="en-US" w:eastAsia="zh-CN"/>
        </w:rPr>
        <w:t>5.78%</w:t>
      </w:r>
      <w:r>
        <w:rPr>
          <w:rFonts w:hint="eastAsia" w:ascii="仿宋" w:hAnsi="仿宋" w:eastAsia="仿宋" w:cs="仿宋"/>
          <w:spacing w:val="23"/>
          <w:position w:val="0"/>
          <w:sz w:val="32"/>
          <w:szCs w:val="32"/>
          <w:lang w:val="en-US" w:eastAsia="zh-CN"/>
        </w:rPr>
        <w:t>。其中：</w:t>
      </w:r>
    </w:p>
    <w:p w14:paraId="0445D65F">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640" w:firstLineChars="200"/>
        <w:jc w:val="left"/>
        <w:textAlignment w:val="baseline"/>
        <w:rPr>
          <w:rFonts w:hint="eastAsia" w:ascii="黑体" w:hAnsi="黑体" w:eastAsia="黑体" w:cs="黑体"/>
          <w:spacing w:val="0"/>
          <w:position w:val="0"/>
          <w:sz w:val="32"/>
          <w:szCs w:val="32"/>
          <w:lang w:val="en-US" w:eastAsia="zh-CN"/>
        </w:rPr>
      </w:pPr>
      <w:r>
        <w:rPr>
          <w:rFonts w:hint="eastAsia" w:ascii="黑体" w:hAnsi="黑体" w:eastAsia="黑体" w:cs="黑体"/>
          <w:spacing w:val="0"/>
          <w:position w:val="0"/>
          <w:sz w:val="32"/>
          <w:szCs w:val="32"/>
          <w:lang w:val="en-US" w:eastAsia="zh-CN"/>
        </w:rPr>
        <w:t>（一）收入预算总计</w:t>
      </w:r>
      <w:r>
        <w:rPr>
          <w:rFonts w:hint="eastAsia" w:ascii="黑体" w:hAnsi="黑体" w:eastAsia="黑体" w:cs="黑体"/>
          <w:spacing w:val="0"/>
          <w:position w:val="0"/>
          <w:sz w:val="32"/>
          <w:szCs w:val="32"/>
          <w:u w:val="single"/>
          <w:lang w:val="en-US" w:eastAsia="zh-CN"/>
        </w:rPr>
        <w:t xml:space="preserve"> 2279.42 </w:t>
      </w:r>
      <w:r>
        <w:rPr>
          <w:rFonts w:hint="eastAsia" w:ascii="黑体" w:hAnsi="黑体" w:eastAsia="黑体" w:cs="黑体"/>
          <w:spacing w:val="0"/>
          <w:position w:val="0"/>
          <w:sz w:val="32"/>
          <w:szCs w:val="32"/>
          <w:lang w:val="en-US" w:eastAsia="zh-CN"/>
        </w:rPr>
        <w:t>万元。包括：</w:t>
      </w:r>
    </w:p>
    <w:p w14:paraId="6BE326CF">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lang w:val="en-US" w:eastAsia="zh-CN"/>
        </w:rPr>
        <w:t>1.</w:t>
      </w:r>
      <w:r>
        <w:rPr>
          <w:rFonts w:hint="eastAsia" w:ascii="仿宋" w:hAnsi="仿宋" w:eastAsia="仿宋" w:cs="仿宋"/>
          <w:spacing w:val="20"/>
          <w:sz w:val="32"/>
          <w:szCs w:val="32"/>
        </w:rPr>
        <w:t xml:space="preserve">本年收入合计 </w:t>
      </w:r>
      <w:r>
        <w:rPr>
          <w:rFonts w:hint="eastAsia" w:ascii="仿宋" w:hAnsi="仿宋" w:eastAsia="仿宋" w:cs="仿宋"/>
          <w:spacing w:val="20"/>
          <w:sz w:val="32"/>
          <w:szCs w:val="32"/>
          <w:u w:val="single" w:color="auto"/>
          <w:lang w:val="en-US" w:eastAsia="zh-CN"/>
        </w:rPr>
        <w:t>2279.42</w:t>
      </w:r>
      <w:r>
        <w:rPr>
          <w:rFonts w:hint="eastAsia" w:ascii="仿宋" w:hAnsi="仿宋" w:eastAsia="仿宋" w:cs="仿宋"/>
          <w:spacing w:val="20"/>
          <w:sz w:val="32"/>
          <w:szCs w:val="32"/>
        </w:rPr>
        <w:t>万元。</w:t>
      </w:r>
    </w:p>
    <w:p w14:paraId="281D4CC3">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b/>
          <w:bCs/>
          <w:spacing w:val="20"/>
          <w:sz w:val="32"/>
          <w:szCs w:val="32"/>
        </w:rPr>
      </w:pPr>
      <w:r>
        <w:rPr>
          <w:rFonts w:hint="eastAsia" w:ascii="仿宋" w:hAnsi="仿宋" w:eastAsia="仿宋" w:cs="仿宋"/>
          <w:spacing w:val="20"/>
          <w:sz w:val="32"/>
          <w:szCs w:val="32"/>
        </w:rPr>
        <w:t>（1）一般公共预算拨款收入</w:t>
      </w:r>
      <w:r>
        <w:rPr>
          <w:rFonts w:hint="eastAsia" w:ascii="仿宋" w:hAnsi="仿宋" w:eastAsia="仿宋" w:cs="仿宋"/>
          <w:spacing w:val="20"/>
          <w:sz w:val="32"/>
          <w:szCs w:val="32"/>
          <w:u w:val="single" w:color="auto"/>
          <w:lang w:val="en-US" w:eastAsia="zh-CN"/>
        </w:rPr>
        <w:t>2279.42</w:t>
      </w:r>
      <w:r>
        <w:rPr>
          <w:rFonts w:hint="eastAsia" w:ascii="仿宋" w:hAnsi="仿宋" w:eastAsia="仿宋" w:cs="仿宋"/>
          <w:spacing w:val="20"/>
          <w:sz w:val="32"/>
          <w:szCs w:val="32"/>
        </w:rPr>
        <w:t>万元，与上年相比</w:t>
      </w:r>
      <w:r>
        <w:rPr>
          <w:rFonts w:hint="eastAsia" w:ascii="仿宋" w:hAnsi="仿宋" w:eastAsia="仿宋" w:cs="仿宋"/>
          <w:spacing w:val="20"/>
          <w:sz w:val="32"/>
          <w:szCs w:val="32"/>
          <w:lang w:val="en-US" w:eastAsia="zh-CN"/>
        </w:rPr>
        <w:t>增加</w:t>
      </w:r>
      <w:r>
        <w:rPr>
          <w:rFonts w:hint="eastAsia" w:ascii="仿宋" w:hAnsi="仿宋" w:eastAsia="仿宋" w:cs="仿宋"/>
          <w:spacing w:val="20"/>
          <w:sz w:val="32"/>
          <w:szCs w:val="32"/>
          <w:u w:val="single" w:color="auto"/>
          <w:lang w:val="en-US" w:eastAsia="zh-CN"/>
        </w:rPr>
        <w:t>124.51</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lang w:val="en-US" w:eastAsia="zh-CN"/>
        </w:rPr>
        <w:t>增长</w:t>
      </w:r>
      <w:r>
        <w:rPr>
          <w:rFonts w:hint="eastAsia" w:ascii="仿宋" w:hAnsi="仿宋" w:eastAsia="仿宋" w:cs="仿宋"/>
          <w:spacing w:val="20"/>
          <w:sz w:val="32"/>
          <w:szCs w:val="32"/>
          <w:u w:val="single"/>
          <w:lang w:val="en-US" w:eastAsia="zh-CN"/>
        </w:rPr>
        <w:t>5.78%</w:t>
      </w:r>
      <w:r>
        <w:rPr>
          <w:rFonts w:hint="eastAsia" w:ascii="仿宋" w:hAnsi="仿宋" w:eastAsia="仿宋" w:cs="仿宋"/>
          <w:spacing w:val="20"/>
          <w:sz w:val="32"/>
          <w:szCs w:val="32"/>
        </w:rPr>
        <w:t>。主要原因</w:t>
      </w:r>
      <w:r>
        <w:rPr>
          <w:rFonts w:hint="eastAsia" w:ascii="仿宋" w:hAnsi="仿宋" w:eastAsia="仿宋" w:cs="仿宋"/>
          <w:spacing w:val="20"/>
          <w:sz w:val="32"/>
          <w:szCs w:val="32"/>
          <w:lang w:val="en-US" w:eastAsia="zh-CN"/>
        </w:rPr>
        <w:t>是</w:t>
      </w:r>
      <w:r>
        <w:rPr>
          <w:rFonts w:hint="eastAsia" w:ascii="仿宋" w:hAnsi="仿宋" w:eastAsia="仿宋" w:cs="仿宋"/>
          <w:b/>
          <w:bCs/>
          <w:spacing w:val="20"/>
          <w:sz w:val="32"/>
          <w:szCs w:val="32"/>
          <w:lang w:val="en-US" w:eastAsia="zh-CN"/>
        </w:rPr>
        <w:t>在职人员工资调资，社保、住房公积金等人员类经费增加，预算收入较上年增加</w:t>
      </w:r>
      <w:r>
        <w:rPr>
          <w:rFonts w:hint="eastAsia" w:ascii="仿宋" w:hAnsi="仿宋" w:eastAsia="仿宋" w:cs="仿宋"/>
          <w:b/>
          <w:bCs/>
          <w:spacing w:val="20"/>
          <w:sz w:val="32"/>
          <w:szCs w:val="32"/>
        </w:rPr>
        <w:t>。</w:t>
      </w:r>
    </w:p>
    <w:p w14:paraId="5F6649AA">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b/>
          <w:bCs/>
          <w:spacing w:val="20"/>
          <w:sz w:val="32"/>
          <w:szCs w:val="32"/>
          <w:lang w:val="en-US" w:eastAsia="zh-CN"/>
        </w:rPr>
      </w:pPr>
      <w:r>
        <w:rPr>
          <w:rFonts w:hint="eastAsia" w:ascii="仿宋" w:hAnsi="仿宋" w:eastAsia="仿宋" w:cs="仿宋"/>
          <w:spacing w:val="20"/>
          <w:sz w:val="32"/>
          <w:szCs w:val="32"/>
        </w:rPr>
        <w:t>（2）政府性基金预算拨款收入</w:t>
      </w:r>
      <w:r>
        <w:rPr>
          <w:rFonts w:hint="eastAsia" w:ascii="仿宋" w:hAnsi="仿宋" w:eastAsia="仿宋" w:cs="仿宋"/>
          <w:spacing w:val="20"/>
          <w:sz w:val="32"/>
          <w:szCs w:val="32"/>
          <w:u w:val="single"/>
          <w:lang w:val="en-US" w:eastAsia="zh-CN"/>
        </w:rPr>
        <w:t>103.86</w:t>
      </w:r>
      <w:r>
        <w:rPr>
          <w:rFonts w:hint="eastAsia" w:ascii="仿宋" w:hAnsi="仿宋" w:eastAsia="仿宋" w:cs="仿宋"/>
          <w:spacing w:val="20"/>
          <w:sz w:val="32"/>
          <w:szCs w:val="32"/>
        </w:rPr>
        <w:t>万元，与上年相比增加</w:t>
      </w:r>
      <w:r>
        <w:rPr>
          <w:rFonts w:hint="eastAsia" w:ascii="仿宋" w:hAnsi="仿宋" w:eastAsia="仿宋" w:cs="仿宋"/>
          <w:spacing w:val="20"/>
          <w:sz w:val="32"/>
          <w:szCs w:val="32"/>
          <w:u w:val="single"/>
          <w:lang w:val="en-US" w:eastAsia="zh-CN"/>
        </w:rPr>
        <w:t>103.86</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lang w:val="en-US" w:eastAsia="zh-CN"/>
        </w:rPr>
        <w:t>增长1</w:t>
      </w:r>
      <w:r>
        <w:rPr>
          <w:rFonts w:hint="eastAsia" w:ascii="仿宋" w:hAnsi="仿宋" w:eastAsia="仿宋" w:cs="仿宋"/>
          <w:spacing w:val="20"/>
          <w:sz w:val="32"/>
          <w:szCs w:val="32"/>
          <w:u w:val="single"/>
          <w:lang w:val="en-US" w:eastAsia="zh-CN"/>
        </w:rPr>
        <w:t>00%</w:t>
      </w:r>
      <w:r>
        <w:rPr>
          <w:rFonts w:hint="eastAsia" w:ascii="仿宋" w:hAnsi="仿宋" w:eastAsia="仿宋" w:cs="仿宋"/>
          <w:spacing w:val="20"/>
          <w:sz w:val="32"/>
          <w:szCs w:val="32"/>
        </w:rPr>
        <w:t>。主要原因</w:t>
      </w:r>
      <w:r>
        <w:rPr>
          <w:rFonts w:hint="eastAsia" w:ascii="仿宋" w:hAnsi="仿宋" w:eastAsia="仿宋" w:cs="仿宋"/>
          <w:spacing w:val="20"/>
          <w:sz w:val="32"/>
          <w:szCs w:val="32"/>
          <w:lang w:val="en-US" w:eastAsia="zh-CN"/>
        </w:rPr>
        <w:t>是</w:t>
      </w:r>
      <w:r>
        <w:rPr>
          <w:rFonts w:hint="eastAsia" w:ascii="仿宋" w:hAnsi="仿宋" w:eastAsia="仿宋" w:cs="仿宋"/>
          <w:b/>
          <w:bCs/>
          <w:spacing w:val="20"/>
          <w:sz w:val="32"/>
          <w:szCs w:val="32"/>
          <w:lang w:val="en-US" w:eastAsia="zh-CN"/>
        </w:rPr>
        <w:t>本年新增政府性基金预算拨款收入主要用于基础设施建设、社会事业发展等领域。</w:t>
      </w:r>
    </w:p>
    <w:p w14:paraId="3C2135D8">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b/>
          <w:bCs/>
          <w:spacing w:val="20"/>
          <w:sz w:val="32"/>
          <w:szCs w:val="32"/>
          <w:lang w:val="en-US" w:eastAsia="zh-CN"/>
        </w:rPr>
      </w:pPr>
      <w:r>
        <w:rPr>
          <w:rFonts w:hint="eastAsia" w:ascii="仿宋" w:hAnsi="仿宋" w:eastAsia="仿宋" w:cs="仿宋"/>
          <w:spacing w:val="20"/>
          <w:sz w:val="32"/>
          <w:szCs w:val="32"/>
        </w:rPr>
        <w:t>（3）国有资本经营预算拨款收入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万元，与上年相比增加（减少</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万元，增长（减少</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。主要原因</w:t>
      </w:r>
      <w:r>
        <w:rPr>
          <w:rFonts w:hint="eastAsia" w:ascii="仿宋" w:hAnsi="仿宋" w:eastAsia="仿宋" w:cs="仿宋"/>
          <w:spacing w:val="20"/>
          <w:sz w:val="32"/>
          <w:szCs w:val="32"/>
          <w:lang w:val="en-US" w:eastAsia="zh-CN"/>
        </w:rPr>
        <w:t>是</w:t>
      </w:r>
      <w:r>
        <w:rPr>
          <w:rFonts w:hint="eastAsia" w:ascii="仿宋" w:hAnsi="仿宋" w:eastAsia="仿宋" w:cs="仿宋"/>
          <w:b/>
          <w:bCs/>
          <w:spacing w:val="20"/>
          <w:sz w:val="32"/>
          <w:szCs w:val="32"/>
          <w:lang w:val="en-US" w:eastAsia="zh-CN"/>
        </w:rPr>
        <w:t>不存在此项内容。</w:t>
      </w:r>
    </w:p>
    <w:p w14:paraId="5D776E18">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spacing w:val="20"/>
          <w:sz w:val="32"/>
          <w:szCs w:val="32"/>
        </w:rPr>
        <w:sectPr>
          <w:footerReference r:id="rId9" w:type="default"/>
          <w:pgSz w:w="11912" w:h="16841"/>
          <w:pgMar w:top="1984" w:right="1701" w:bottom="1984" w:left="1701" w:header="907" w:footer="992" w:gutter="0"/>
          <w:pgNumType w:fmt="numberInDash"/>
          <w:cols w:space="720" w:num="1"/>
        </w:sectPr>
      </w:pPr>
    </w:p>
    <w:p w14:paraId="0AC5265D">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b/>
          <w:bCs/>
          <w:spacing w:val="20"/>
          <w:sz w:val="32"/>
          <w:szCs w:val="32"/>
          <w:lang w:val="en-US" w:eastAsia="zh-CN"/>
        </w:rPr>
      </w:pPr>
      <w:r>
        <w:rPr>
          <w:rFonts w:hint="eastAsia" w:ascii="仿宋" w:hAnsi="仿宋" w:eastAsia="仿宋" w:cs="仿宋"/>
          <w:spacing w:val="20"/>
          <w:sz w:val="32"/>
          <w:szCs w:val="32"/>
        </w:rPr>
        <w:t>（4）财政专户管理资金收入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万元，与上年相比增加（减 少）</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增长（减少</w:t>
      </w:r>
      <w:r>
        <w:rPr>
          <w:rFonts w:hint="eastAsia" w:ascii="仿宋" w:hAnsi="仿宋" w:eastAsia="仿宋" w:cs="仿宋"/>
          <w:spacing w:val="20"/>
          <w:sz w:val="32"/>
          <w:szCs w:val="32"/>
          <w:u w:val="none"/>
          <w:lang w:val="en-US" w:eastAsia="zh-CN"/>
        </w:rPr>
        <w:t>）</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。主要原因</w:t>
      </w:r>
      <w:r>
        <w:rPr>
          <w:rFonts w:hint="eastAsia" w:ascii="仿宋" w:hAnsi="仿宋" w:eastAsia="仿宋" w:cs="仿宋"/>
          <w:spacing w:val="20"/>
          <w:sz w:val="32"/>
          <w:szCs w:val="32"/>
          <w:lang w:val="en-US" w:eastAsia="zh-CN"/>
        </w:rPr>
        <w:t>是</w:t>
      </w:r>
      <w:r>
        <w:rPr>
          <w:rFonts w:hint="eastAsia" w:ascii="仿宋" w:hAnsi="仿宋" w:eastAsia="仿宋" w:cs="仿宋"/>
          <w:b/>
          <w:bCs/>
          <w:spacing w:val="20"/>
          <w:sz w:val="32"/>
          <w:szCs w:val="32"/>
          <w:lang w:val="en-US" w:eastAsia="zh-CN"/>
        </w:rPr>
        <w:t>不存在此项内容。</w:t>
      </w:r>
    </w:p>
    <w:p w14:paraId="3ABDBF8E">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b/>
          <w:bCs/>
          <w:spacing w:val="20"/>
          <w:sz w:val="32"/>
          <w:szCs w:val="32"/>
          <w:lang w:val="en-US" w:eastAsia="zh-CN"/>
        </w:rPr>
      </w:pPr>
      <w:r>
        <w:rPr>
          <w:rFonts w:hint="eastAsia" w:ascii="仿宋" w:hAnsi="仿宋" w:eastAsia="仿宋" w:cs="仿宋"/>
          <w:spacing w:val="20"/>
          <w:sz w:val="32"/>
          <w:szCs w:val="32"/>
        </w:rPr>
        <w:t>（5）事业收入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万元，与上年相比增加（减少）</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 xml:space="preserve"> 万元，增长（减少）</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。主要原因</w:t>
      </w:r>
      <w:r>
        <w:rPr>
          <w:rFonts w:hint="eastAsia" w:ascii="仿宋" w:hAnsi="仿宋" w:eastAsia="仿宋" w:cs="仿宋"/>
          <w:spacing w:val="20"/>
          <w:sz w:val="32"/>
          <w:szCs w:val="32"/>
          <w:lang w:val="en-US" w:eastAsia="zh-CN"/>
        </w:rPr>
        <w:t>是</w:t>
      </w:r>
      <w:r>
        <w:rPr>
          <w:rFonts w:hint="eastAsia" w:ascii="仿宋" w:hAnsi="仿宋" w:eastAsia="仿宋" w:cs="仿宋"/>
          <w:b/>
          <w:bCs/>
          <w:spacing w:val="20"/>
          <w:sz w:val="32"/>
          <w:szCs w:val="32"/>
          <w:lang w:val="en-US" w:eastAsia="zh-CN"/>
        </w:rPr>
        <w:t>不存在此项内容。</w:t>
      </w:r>
    </w:p>
    <w:p w14:paraId="05457F34">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textAlignment w:val="baseline"/>
        <w:rPr>
          <w:rFonts w:hint="eastAsia" w:ascii="仿宋" w:hAnsi="仿宋" w:eastAsia="仿宋" w:cs="仿宋"/>
          <w:spacing w:val="20"/>
          <w:sz w:val="32"/>
          <w:szCs w:val="32"/>
          <w:lang w:eastAsia="zh-CN"/>
        </w:rPr>
      </w:pPr>
      <w:r>
        <w:rPr>
          <w:rFonts w:hint="eastAsia" w:ascii="仿宋" w:hAnsi="仿宋" w:eastAsia="仿宋" w:cs="仿宋"/>
          <w:spacing w:val="20"/>
          <w:sz w:val="32"/>
          <w:szCs w:val="32"/>
        </w:rPr>
        <w:t>（6）事业单位经营收入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 与上年相比增加（减少</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增长（减少</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。主要原因</w:t>
      </w:r>
      <w:r>
        <w:rPr>
          <w:rFonts w:hint="eastAsia" w:ascii="仿宋" w:hAnsi="仿宋" w:eastAsia="仿宋" w:cs="仿宋"/>
          <w:spacing w:val="20"/>
          <w:sz w:val="32"/>
          <w:szCs w:val="32"/>
          <w:lang w:val="en-US" w:eastAsia="zh-CN"/>
        </w:rPr>
        <w:t>是</w:t>
      </w:r>
      <w:r>
        <w:rPr>
          <w:rFonts w:hint="eastAsia" w:ascii="仿宋" w:hAnsi="仿宋" w:eastAsia="仿宋" w:cs="仿宋"/>
          <w:b/>
          <w:bCs/>
          <w:spacing w:val="20"/>
          <w:sz w:val="32"/>
          <w:szCs w:val="32"/>
          <w:lang w:val="en-US" w:eastAsia="zh-CN"/>
        </w:rPr>
        <w:t>不存在此项内容。</w:t>
      </w:r>
    </w:p>
    <w:p w14:paraId="2981959E">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textAlignment w:val="baseline"/>
        <w:rPr>
          <w:rFonts w:hint="eastAsia" w:ascii="仿宋" w:hAnsi="仿宋" w:eastAsia="仿宋" w:cs="仿宋"/>
          <w:b/>
          <w:bCs/>
          <w:spacing w:val="20"/>
          <w:sz w:val="32"/>
          <w:szCs w:val="32"/>
          <w:lang w:val="en-US" w:eastAsia="zh-CN"/>
        </w:rPr>
      </w:pPr>
      <w:r>
        <w:rPr>
          <w:rFonts w:hint="eastAsia" w:ascii="仿宋" w:hAnsi="仿宋" w:eastAsia="仿宋" w:cs="仿宋"/>
          <w:spacing w:val="20"/>
          <w:sz w:val="32"/>
          <w:szCs w:val="32"/>
        </w:rPr>
        <w:t>（7）上级补助收入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与上年相比增加（减少</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万元，增长（减少）</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。主要原因是</w:t>
      </w:r>
      <w:r>
        <w:rPr>
          <w:rFonts w:hint="eastAsia" w:ascii="仿宋" w:hAnsi="仿宋" w:eastAsia="仿宋" w:cs="仿宋"/>
          <w:b/>
          <w:bCs/>
          <w:spacing w:val="20"/>
          <w:sz w:val="32"/>
          <w:szCs w:val="32"/>
          <w:lang w:val="en-US" w:eastAsia="zh-CN"/>
        </w:rPr>
        <w:t>不存在此项内容。</w:t>
      </w:r>
    </w:p>
    <w:p w14:paraId="1F8F1C45">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（8）附属单位上缴收入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与上年相比增加（减少）</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万元，增长（减少</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。主要原因是</w:t>
      </w:r>
      <w:r>
        <w:rPr>
          <w:rFonts w:hint="eastAsia" w:ascii="仿宋" w:hAnsi="仿宋" w:eastAsia="仿宋" w:cs="仿宋"/>
          <w:b/>
          <w:bCs/>
          <w:spacing w:val="20"/>
          <w:sz w:val="32"/>
          <w:szCs w:val="32"/>
          <w:lang w:val="en-US" w:eastAsia="zh-CN"/>
        </w:rPr>
        <w:t>不存在此项内容。</w:t>
      </w:r>
    </w:p>
    <w:p w14:paraId="28B1C74E">
      <w:pPr>
        <w:keepNext w:val="0"/>
        <w:keepLines w:val="0"/>
        <w:pageBreakBefore w:val="0"/>
        <w:widowControl/>
        <w:kinsoku w:val="0"/>
        <w:wordWrap/>
        <w:overflowPunct/>
        <w:topLinePunct w:val="0"/>
        <w:autoSpaceDE w:val="0"/>
        <w:autoSpaceDN w:val="0"/>
        <w:bidi w:val="0"/>
        <w:adjustRightInd w:val="0"/>
        <w:snapToGrid w:val="0"/>
        <w:spacing w:line="580" w:lineRule="exact"/>
        <w:ind w:firstLine="700" w:firstLineChars="200"/>
        <w:jc w:val="both"/>
        <w:textAlignment w:val="baseline"/>
        <w:rPr>
          <w:rFonts w:hint="eastAsia" w:ascii="仿宋" w:hAnsi="仿宋" w:eastAsia="仿宋" w:cs="仿宋"/>
          <w:b/>
          <w:bCs/>
          <w:spacing w:val="20"/>
          <w:sz w:val="32"/>
          <w:szCs w:val="32"/>
          <w:lang w:val="en-US" w:eastAsia="zh-CN"/>
        </w:rPr>
      </w:pPr>
      <w:r>
        <w:rPr>
          <w:rFonts w:ascii="仿宋" w:hAnsi="仿宋" w:eastAsia="仿宋" w:cs="仿宋"/>
          <w:spacing w:val="20"/>
          <w:sz w:val="31"/>
          <w:szCs w:val="31"/>
          <w:highlight w:val="none"/>
        </w:rPr>
        <w:t>（</w:t>
      </w:r>
      <w:r>
        <w:rPr>
          <w:rFonts w:ascii="Times New Roman" w:hAnsi="Times New Roman" w:eastAsia="Times New Roman" w:cs="Times New Roman"/>
          <w:spacing w:val="20"/>
          <w:sz w:val="31"/>
          <w:szCs w:val="31"/>
          <w:highlight w:val="none"/>
        </w:rPr>
        <w:t>9</w:t>
      </w:r>
      <w:r>
        <w:rPr>
          <w:rFonts w:ascii="仿宋" w:hAnsi="仿宋" w:eastAsia="仿宋" w:cs="仿宋"/>
          <w:spacing w:val="20"/>
          <w:sz w:val="31"/>
          <w:szCs w:val="31"/>
          <w:highlight w:val="none"/>
        </w:rPr>
        <w:t>）其他收入</w:t>
      </w:r>
      <w:r>
        <w:rPr>
          <w:rFonts w:hint="eastAsia" w:ascii="仿宋" w:hAnsi="仿宋" w:eastAsia="仿宋" w:cs="仿宋"/>
          <w:spacing w:val="20"/>
          <w:sz w:val="31"/>
          <w:szCs w:val="31"/>
          <w:highlight w:val="none"/>
          <w:u w:val="single"/>
          <w:lang w:val="en-US" w:eastAsia="zh-CN"/>
        </w:rPr>
        <w:t>69.13</w:t>
      </w:r>
      <w:r>
        <w:rPr>
          <w:rFonts w:ascii="仿宋" w:hAnsi="仿宋" w:eastAsia="仿宋" w:cs="仿宋"/>
          <w:spacing w:val="20"/>
          <w:sz w:val="31"/>
          <w:szCs w:val="31"/>
          <w:highlight w:val="none"/>
        </w:rPr>
        <w:t>万元，与上年相比增加</w:t>
      </w:r>
      <w:r>
        <w:rPr>
          <w:rFonts w:hint="eastAsia" w:ascii="仿宋" w:hAnsi="仿宋" w:eastAsia="仿宋" w:cs="仿宋"/>
          <w:spacing w:val="20"/>
          <w:sz w:val="31"/>
          <w:szCs w:val="31"/>
          <w:highlight w:val="none"/>
          <w:u w:val="single"/>
          <w:lang w:val="en-US" w:eastAsia="zh-CN"/>
        </w:rPr>
        <w:t>69.13</w:t>
      </w:r>
      <w:r>
        <w:rPr>
          <w:rFonts w:ascii="仿宋" w:hAnsi="仿宋" w:eastAsia="仿宋" w:cs="仿宋"/>
          <w:spacing w:val="20"/>
          <w:sz w:val="31"/>
          <w:szCs w:val="31"/>
          <w:highlight w:val="none"/>
        </w:rPr>
        <w:t>万元，增长</w:t>
      </w:r>
      <w:r>
        <w:rPr>
          <w:rFonts w:hint="eastAsia" w:ascii="仿宋" w:hAnsi="仿宋" w:eastAsia="仿宋" w:cs="仿宋"/>
          <w:spacing w:val="20"/>
          <w:sz w:val="31"/>
          <w:szCs w:val="31"/>
          <w:highlight w:val="none"/>
          <w:u w:val="single"/>
          <w:lang w:val="en-US" w:eastAsia="zh-CN"/>
        </w:rPr>
        <w:t>100%</w:t>
      </w:r>
      <w:r>
        <w:rPr>
          <w:rFonts w:ascii="仿宋" w:hAnsi="仿宋" w:eastAsia="仿宋" w:cs="仿宋"/>
          <w:spacing w:val="20"/>
          <w:sz w:val="31"/>
          <w:szCs w:val="31"/>
          <w:highlight w:val="none"/>
        </w:rPr>
        <w:t>。主要原因是</w:t>
      </w:r>
      <w:r>
        <w:rPr>
          <w:rFonts w:hint="eastAsia" w:ascii="仿宋" w:hAnsi="仿宋" w:eastAsia="仿宋" w:cs="仿宋"/>
          <w:b/>
          <w:bCs/>
          <w:spacing w:val="20"/>
          <w:sz w:val="32"/>
          <w:szCs w:val="32"/>
          <w:lang w:val="en-US" w:eastAsia="zh-CN"/>
        </w:rPr>
        <w:t>新增城投粮食收入，其他收入增加。</w:t>
      </w:r>
    </w:p>
    <w:p w14:paraId="4CA9790C">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hint="eastAsia" w:ascii="仿宋" w:hAnsi="仿宋" w:eastAsia="仿宋" w:cs="仿宋"/>
          <w:b/>
          <w:bCs/>
          <w:spacing w:val="20"/>
          <w:sz w:val="32"/>
          <w:szCs w:val="32"/>
          <w:lang w:val="en-US" w:eastAsia="zh-CN"/>
        </w:rPr>
      </w:pPr>
      <w:r>
        <w:rPr>
          <w:rFonts w:hint="eastAsia" w:ascii="仿宋" w:hAnsi="仿宋" w:eastAsia="仿宋" w:cs="仿宋"/>
          <w:spacing w:val="23"/>
          <w:sz w:val="32"/>
          <w:szCs w:val="32"/>
        </w:rPr>
        <w:t>2．上年结转结余</w:t>
      </w:r>
      <w:r>
        <w:rPr>
          <w:rFonts w:hint="eastAsia" w:ascii="仿宋" w:hAnsi="仿宋" w:eastAsia="仿宋" w:cs="仿宋"/>
          <w:spacing w:val="23"/>
          <w:sz w:val="32"/>
          <w:szCs w:val="32"/>
          <w:u w:val="single"/>
          <w:lang w:val="en-US" w:eastAsia="zh-CN"/>
        </w:rPr>
        <w:t>0</w:t>
      </w:r>
      <w:r>
        <w:rPr>
          <w:rFonts w:hint="eastAsia" w:ascii="仿宋" w:hAnsi="仿宋" w:eastAsia="仿宋" w:cs="仿宋"/>
          <w:spacing w:val="23"/>
          <w:sz w:val="32"/>
          <w:szCs w:val="32"/>
        </w:rPr>
        <w:t>万元。与上年相比</w:t>
      </w:r>
      <w:r>
        <w:rPr>
          <w:rFonts w:hint="eastAsia" w:ascii="仿宋" w:hAnsi="仿宋" w:eastAsia="仿宋" w:cs="仿宋"/>
          <w:spacing w:val="23"/>
          <w:sz w:val="32"/>
          <w:szCs w:val="32"/>
          <w:lang w:val="en-US" w:eastAsia="zh-CN"/>
        </w:rPr>
        <w:t>减少</w:t>
      </w:r>
      <w:r>
        <w:rPr>
          <w:rFonts w:hint="eastAsia" w:ascii="仿宋" w:hAnsi="仿宋" w:eastAsia="仿宋" w:cs="仿宋"/>
          <w:spacing w:val="23"/>
          <w:sz w:val="32"/>
          <w:szCs w:val="32"/>
          <w:u w:val="single"/>
          <w:lang w:val="en-US" w:eastAsia="zh-CN"/>
        </w:rPr>
        <w:t>1.3</w:t>
      </w:r>
      <w:r>
        <w:rPr>
          <w:rFonts w:hint="eastAsia" w:ascii="仿宋" w:hAnsi="仿宋" w:eastAsia="仿宋" w:cs="仿宋"/>
          <w:spacing w:val="23"/>
          <w:sz w:val="32"/>
          <w:szCs w:val="32"/>
        </w:rPr>
        <w:t>万元，</w:t>
      </w:r>
      <w:r>
        <w:rPr>
          <w:rFonts w:hint="eastAsia" w:ascii="仿宋" w:hAnsi="仿宋" w:eastAsia="仿宋" w:cs="仿宋"/>
          <w:spacing w:val="23"/>
          <w:sz w:val="32"/>
          <w:szCs w:val="32"/>
          <w:lang w:val="en-US" w:eastAsia="zh-CN"/>
        </w:rPr>
        <w:t>减少</w:t>
      </w:r>
      <w:r>
        <w:rPr>
          <w:rFonts w:hint="eastAsia" w:ascii="仿宋" w:hAnsi="仿宋" w:eastAsia="仿宋" w:cs="仿宋"/>
          <w:spacing w:val="23"/>
          <w:sz w:val="32"/>
          <w:szCs w:val="32"/>
          <w:u w:val="single"/>
          <w:lang w:val="en-US" w:eastAsia="zh-CN"/>
        </w:rPr>
        <w:t>100%</w:t>
      </w:r>
      <w:r>
        <w:rPr>
          <w:rFonts w:hint="eastAsia" w:ascii="仿宋" w:hAnsi="仿宋" w:eastAsia="仿宋" w:cs="仿宋"/>
          <w:spacing w:val="23"/>
          <w:sz w:val="32"/>
          <w:szCs w:val="32"/>
        </w:rPr>
        <w:t>。主要原因是</w:t>
      </w:r>
      <w:r>
        <w:rPr>
          <w:rFonts w:hint="eastAsia" w:ascii="仿宋" w:hAnsi="仿宋" w:eastAsia="仿宋" w:cs="仿宋"/>
          <w:b/>
          <w:bCs/>
          <w:spacing w:val="20"/>
          <w:sz w:val="32"/>
          <w:szCs w:val="32"/>
          <w:lang w:val="en-US" w:eastAsia="zh-CN"/>
        </w:rPr>
        <w:t>本年无上年终结转结余预算。</w:t>
      </w:r>
    </w:p>
    <w:p w14:paraId="74E6357E">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20" w:firstLineChars="200"/>
        <w:jc w:val="left"/>
        <w:textAlignment w:val="baseline"/>
        <w:rPr>
          <w:rFonts w:hint="eastAsia" w:ascii="黑体" w:hAnsi="黑体" w:eastAsia="黑体" w:cs="黑体"/>
          <w:spacing w:val="20"/>
          <w:position w:val="0"/>
          <w:sz w:val="32"/>
          <w:szCs w:val="32"/>
          <w:highlight w:val="none"/>
          <w:lang w:val="en-US" w:eastAsia="zh-CN"/>
        </w:rPr>
      </w:pPr>
      <w:r>
        <w:rPr>
          <w:rFonts w:hint="eastAsia" w:ascii="黑体" w:hAnsi="黑体" w:eastAsia="黑体" w:cs="黑体"/>
          <w:spacing w:val="20"/>
          <w:position w:val="0"/>
          <w:sz w:val="32"/>
          <w:szCs w:val="32"/>
          <w:highlight w:val="none"/>
          <w:lang w:val="en-US" w:eastAsia="zh-CN"/>
        </w:rPr>
        <w:t>（二）支出预算总计2279.42万元。包括：</w:t>
      </w:r>
    </w:p>
    <w:p w14:paraId="64317DD3">
      <w:pPr>
        <w:keepNext w:val="0"/>
        <w:keepLines w:val="0"/>
        <w:pageBreakBefore w:val="0"/>
        <w:widowControl/>
        <w:kinsoku w:val="0"/>
        <w:wordWrap/>
        <w:overflowPunct/>
        <w:topLinePunct w:val="0"/>
        <w:autoSpaceDE w:val="0"/>
        <w:autoSpaceDN w:val="0"/>
        <w:bidi w:val="0"/>
        <w:adjustRightInd w:val="0"/>
        <w:snapToGrid w:val="0"/>
        <w:spacing w:line="580" w:lineRule="exact"/>
        <w:ind w:firstLine="628" w:firstLineChars="200"/>
        <w:textAlignment w:val="baseline"/>
        <w:rPr>
          <w:rFonts w:ascii="仿宋" w:hAnsi="仿宋" w:eastAsia="仿宋" w:cs="仿宋"/>
          <w:spacing w:val="2"/>
          <w:sz w:val="31"/>
          <w:szCs w:val="31"/>
        </w:rPr>
      </w:pPr>
      <w:r>
        <w:rPr>
          <w:rFonts w:hint="eastAsia" w:ascii="仿宋" w:hAnsi="仿宋" w:eastAsia="仿宋" w:cs="仿宋"/>
          <w:spacing w:val="2"/>
          <w:sz w:val="31"/>
          <w:szCs w:val="31"/>
          <w:lang w:val="en-US" w:eastAsia="zh-CN"/>
        </w:rPr>
        <w:t>1.</w:t>
      </w:r>
      <w:r>
        <w:rPr>
          <w:rFonts w:ascii="仿宋" w:hAnsi="仿宋" w:eastAsia="仿宋" w:cs="仿宋"/>
          <w:spacing w:val="2"/>
          <w:sz w:val="31"/>
          <w:szCs w:val="31"/>
        </w:rPr>
        <w:t>本年支出合计</w:t>
      </w:r>
      <w:r>
        <w:rPr>
          <w:rFonts w:hint="eastAsia" w:ascii="Times New Roman" w:hAnsi="Times New Roman" w:eastAsia="宋体" w:cs="Times New Roman"/>
          <w:spacing w:val="2"/>
          <w:sz w:val="31"/>
          <w:szCs w:val="31"/>
          <w:u w:val="single" w:color="auto"/>
          <w:lang w:val="en-US" w:eastAsia="zh-CN"/>
        </w:rPr>
        <w:t>2279.42</w:t>
      </w:r>
      <w:r>
        <w:rPr>
          <w:rFonts w:ascii="Times New Roman" w:hAnsi="Times New Roman" w:eastAsia="Times New Roman" w:cs="Times New Roman"/>
          <w:spacing w:val="2"/>
          <w:sz w:val="31"/>
          <w:szCs w:val="31"/>
          <w:u w:val="single" w:color="auto"/>
        </w:rPr>
        <w:t xml:space="preserve"> </w:t>
      </w:r>
      <w:r>
        <w:rPr>
          <w:rFonts w:ascii="仿宋" w:hAnsi="仿宋" w:eastAsia="仿宋" w:cs="仿宋"/>
          <w:spacing w:val="2"/>
          <w:sz w:val="31"/>
          <w:szCs w:val="31"/>
        </w:rPr>
        <w:t>万元。</w:t>
      </w:r>
    </w:p>
    <w:p w14:paraId="1344BA51">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textAlignment w:val="baseline"/>
        <w:rPr>
          <w:rFonts w:hint="eastAsia" w:ascii="仿宋" w:hAnsi="仿宋" w:eastAsia="仿宋" w:cs="仿宋"/>
          <w:b/>
          <w:bCs/>
          <w:spacing w:val="20"/>
          <w:sz w:val="32"/>
          <w:szCs w:val="32"/>
          <w:lang w:val="en-US" w:eastAsia="zh-CN"/>
        </w:rPr>
      </w:pPr>
      <w:r>
        <w:rPr>
          <w:rFonts w:hint="eastAsia" w:ascii="仿宋" w:hAnsi="仿宋" w:eastAsia="仿宋" w:cs="仿宋"/>
          <w:spacing w:val="20"/>
          <w:sz w:val="32"/>
          <w:szCs w:val="32"/>
        </w:rPr>
        <w:t>（1）一般公共服务（类）支出</w:t>
      </w:r>
      <w:r>
        <w:rPr>
          <w:rFonts w:hint="eastAsia" w:ascii="仿宋" w:hAnsi="仿宋" w:eastAsia="仿宋" w:cs="仿宋"/>
          <w:spacing w:val="20"/>
          <w:sz w:val="32"/>
          <w:szCs w:val="32"/>
          <w:u w:val="single" w:color="auto"/>
          <w:lang w:val="en-US" w:eastAsia="zh-CN"/>
        </w:rPr>
        <w:t>1027.48</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主要用于保障政府部门正常运转所需的各项支出。与上年相比</w:t>
      </w:r>
      <w:r>
        <w:rPr>
          <w:rFonts w:hint="eastAsia" w:ascii="仿宋" w:hAnsi="仿宋" w:eastAsia="仿宋" w:cs="仿宋"/>
          <w:spacing w:val="20"/>
          <w:sz w:val="32"/>
          <w:szCs w:val="32"/>
          <w:lang w:val="en-US" w:eastAsia="zh-CN"/>
        </w:rPr>
        <w:t>增加</w:t>
      </w:r>
      <w:r>
        <w:rPr>
          <w:rFonts w:hint="eastAsia" w:ascii="仿宋" w:hAnsi="仿宋" w:eastAsia="仿宋" w:cs="仿宋"/>
          <w:spacing w:val="20"/>
          <w:sz w:val="32"/>
          <w:szCs w:val="32"/>
          <w:u w:val="single"/>
          <w:lang w:val="en-US" w:eastAsia="zh-CN"/>
        </w:rPr>
        <w:t>56.62</w:t>
      </w:r>
      <w:r>
        <w:rPr>
          <w:rFonts w:hint="eastAsia" w:ascii="仿宋" w:hAnsi="仿宋" w:eastAsia="仿宋" w:cs="仿宋"/>
          <w:spacing w:val="20"/>
          <w:sz w:val="32"/>
          <w:szCs w:val="32"/>
        </w:rPr>
        <w:t>万元，</w:t>
      </w:r>
      <w:r>
        <w:rPr>
          <w:rFonts w:hint="eastAsia" w:ascii="仿宋" w:hAnsi="仿宋" w:eastAsia="仿宋" w:cs="仿宋"/>
          <w:spacing w:val="20"/>
          <w:sz w:val="32"/>
          <w:szCs w:val="32"/>
          <w:lang w:val="en-US" w:eastAsia="zh-CN"/>
        </w:rPr>
        <w:t>增长</w:t>
      </w:r>
      <w:r>
        <w:rPr>
          <w:rFonts w:hint="eastAsia" w:ascii="仿宋" w:hAnsi="仿宋" w:eastAsia="仿宋" w:cs="仿宋"/>
          <w:spacing w:val="20"/>
          <w:sz w:val="32"/>
          <w:szCs w:val="32"/>
          <w:u w:val="single"/>
          <w:lang w:val="en-US" w:eastAsia="zh-CN"/>
        </w:rPr>
        <w:t>5.83%</w:t>
      </w:r>
      <w:r>
        <w:rPr>
          <w:rFonts w:hint="eastAsia" w:ascii="仿宋" w:hAnsi="仿宋" w:eastAsia="仿宋" w:cs="仿宋"/>
          <w:spacing w:val="20"/>
          <w:sz w:val="32"/>
          <w:szCs w:val="32"/>
          <w:u w:val="none"/>
          <w:lang w:val="en-US" w:eastAsia="zh-CN"/>
        </w:rPr>
        <w:t>。主</w:t>
      </w:r>
      <w:r>
        <w:rPr>
          <w:rFonts w:hint="eastAsia" w:ascii="仿宋" w:hAnsi="仿宋" w:eastAsia="仿宋" w:cs="仿宋"/>
          <w:spacing w:val="20"/>
          <w:sz w:val="32"/>
          <w:szCs w:val="32"/>
        </w:rPr>
        <w:t>要原因是</w:t>
      </w:r>
      <w:r>
        <w:rPr>
          <w:rFonts w:hint="eastAsia" w:ascii="仿宋" w:hAnsi="仿宋" w:eastAsia="仿宋" w:cs="仿宋"/>
          <w:b/>
          <w:bCs/>
          <w:spacing w:val="20"/>
          <w:sz w:val="32"/>
          <w:szCs w:val="32"/>
          <w:lang w:val="en-US" w:eastAsia="zh-CN"/>
        </w:rPr>
        <w:t>在职人员工资调资，社保、住房公积金等人员类经费增加，一般公共服务支出增加。</w:t>
      </w:r>
    </w:p>
    <w:p w14:paraId="33354CA6">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b/>
          <w:bCs/>
          <w:spacing w:val="20"/>
          <w:sz w:val="32"/>
          <w:szCs w:val="32"/>
          <w:lang w:val="en-US" w:eastAsia="zh-CN"/>
        </w:rPr>
      </w:pPr>
      <w:r>
        <w:rPr>
          <w:rFonts w:hint="eastAsia" w:ascii="仿宋" w:hAnsi="仿宋" w:eastAsia="仿宋" w:cs="仿宋"/>
          <w:spacing w:val="20"/>
          <w:sz w:val="32"/>
          <w:szCs w:val="32"/>
        </w:rPr>
        <w:t>（2）社会保障和就业（类）支出</w:t>
      </w:r>
      <w:r>
        <w:rPr>
          <w:rFonts w:hint="eastAsia" w:ascii="仿宋" w:hAnsi="仿宋" w:eastAsia="仿宋" w:cs="仿宋"/>
          <w:spacing w:val="20"/>
          <w:sz w:val="32"/>
          <w:szCs w:val="32"/>
          <w:u w:val="single"/>
          <w:lang w:val="en-US" w:eastAsia="zh-CN"/>
        </w:rPr>
        <w:t>119.91</w:t>
      </w:r>
      <w:r>
        <w:rPr>
          <w:rFonts w:hint="eastAsia" w:ascii="仿宋" w:hAnsi="仿宋" w:eastAsia="仿宋" w:cs="仿宋"/>
          <w:spacing w:val="20"/>
          <w:sz w:val="32"/>
          <w:szCs w:val="32"/>
        </w:rPr>
        <w:t>万元，主要用于保障退休人员工资及机关事业编外长聘人员养老保险缴费支出。与上年相比</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u w:val="single"/>
          <w:lang w:val="en-US" w:eastAsia="zh-CN"/>
        </w:rPr>
        <w:t>4.47</w:t>
      </w:r>
      <w:r>
        <w:rPr>
          <w:rFonts w:hint="eastAsia" w:ascii="仿宋" w:hAnsi="仿宋" w:eastAsia="仿宋" w:cs="仿宋"/>
          <w:spacing w:val="20"/>
          <w:sz w:val="32"/>
          <w:szCs w:val="32"/>
        </w:rPr>
        <w:t>万元，</w:t>
      </w:r>
      <w:r>
        <w:rPr>
          <w:rFonts w:hint="eastAsia" w:ascii="仿宋" w:hAnsi="仿宋" w:eastAsia="仿宋" w:cs="仿宋"/>
          <w:spacing w:val="20"/>
          <w:sz w:val="32"/>
          <w:szCs w:val="32"/>
          <w:lang w:val="en-US" w:eastAsia="zh-CN"/>
        </w:rPr>
        <w:t>下降</w:t>
      </w:r>
      <w:r>
        <w:rPr>
          <w:rFonts w:hint="eastAsia" w:ascii="仿宋" w:hAnsi="仿宋" w:eastAsia="仿宋" w:cs="仿宋"/>
          <w:spacing w:val="20"/>
          <w:sz w:val="32"/>
          <w:szCs w:val="32"/>
          <w:u w:val="single"/>
          <w:lang w:val="en-US" w:eastAsia="zh-CN"/>
        </w:rPr>
        <w:t>0.36%</w:t>
      </w:r>
      <w:r>
        <w:rPr>
          <w:rFonts w:hint="eastAsia" w:ascii="仿宋" w:hAnsi="仿宋" w:eastAsia="仿宋" w:cs="仿宋"/>
          <w:spacing w:val="20"/>
          <w:sz w:val="32"/>
          <w:szCs w:val="32"/>
        </w:rPr>
        <w:t>。主要原因是</w:t>
      </w:r>
      <w:r>
        <w:rPr>
          <w:rFonts w:hint="eastAsia" w:ascii="仿宋" w:hAnsi="仿宋" w:eastAsia="仿宋" w:cs="仿宋"/>
          <w:b/>
          <w:bCs/>
          <w:spacing w:val="20"/>
          <w:sz w:val="32"/>
          <w:szCs w:val="32"/>
          <w:lang w:val="en-US" w:eastAsia="zh-CN"/>
        </w:rPr>
        <w:t>退休人员和编外长聘人员变动，社会保障和就业支出减少。</w:t>
      </w:r>
    </w:p>
    <w:p w14:paraId="0CAF593F">
      <w:pPr>
        <w:keepNext w:val="0"/>
        <w:keepLines w:val="0"/>
        <w:pageBreakBefore w:val="0"/>
        <w:widowControl/>
        <w:kinsoku w:val="0"/>
        <w:wordWrap/>
        <w:overflowPunct/>
        <w:topLinePunct w:val="0"/>
        <w:autoSpaceDE w:val="0"/>
        <w:autoSpaceDN w:val="0"/>
        <w:bidi w:val="0"/>
        <w:adjustRightInd w:val="0"/>
        <w:snapToGrid w:val="0"/>
        <w:spacing w:line="580" w:lineRule="exact"/>
        <w:ind w:firstLine="732" w:firstLineChars="200"/>
        <w:jc w:val="both"/>
        <w:textAlignment w:val="baseline"/>
        <w:rPr>
          <w:rFonts w:hint="eastAsia" w:ascii="仿宋" w:hAnsi="仿宋" w:eastAsia="仿宋" w:cs="仿宋"/>
          <w:spacing w:val="23"/>
          <w:sz w:val="32"/>
          <w:szCs w:val="32"/>
          <w:lang w:val="en-US" w:eastAsia="zh-CN"/>
        </w:rPr>
      </w:pPr>
      <w:r>
        <w:rPr>
          <w:rFonts w:hint="eastAsia" w:ascii="仿宋" w:hAnsi="仿宋" w:eastAsia="仿宋" w:cs="仿宋"/>
          <w:spacing w:val="23"/>
          <w:sz w:val="32"/>
          <w:szCs w:val="32"/>
        </w:rPr>
        <w:t>（3）卫生健康（类）支</w:t>
      </w:r>
      <w:r>
        <w:rPr>
          <w:rFonts w:hint="eastAsia" w:ascii="仿宋" w:hAnsi="仿宋" w:eastAsia="仿宋" w:cs="仿宋"/>
          <w:spacing w:val="23"/>
          <w:sz w:val="32"/>
          <w:szCs w:val="32"/>
          <w:lang w:val="en-US" w:eastAsia="zh-CN"/>
        </w:rPr>
        <w:t>出</w:t>
      </w:r>
      <w:r>
        <w:rPr>
          <w:rFonts w:hint="eastAsia" w:ascii="仿宋" w:hAnsi="仿宋" w:eastAsia="仿宋" w:cs="仿宋"/>
          <w:spacing w:val="23"/>
          <w:sz w:val="32"/>
          <w:szCs w:val="32"/>
          <w:u w:val="single"/>
          <w:lang w:val="en-US" w:eastAsia="zh-CN"/>
        </w:rPr>
        <w:t>46.43</w:t>
      </w:r>
      <w:r>
        <w:rPr>
          <w:rFonts w:hint="eastAsia" w:ascii="仿宋" w:hAnsi="仿宋" w:eastAsia="仿宋" w:cs="仿宋"/>
          <w:spacing w:val="23"/>
          <w:sz w:val="32"/>
          <w:szCs w:val="32"/>
        </w:rPr>
        <w:t>万元，主要用于职工基本医疗生育大病保险缴费支出。与上年相比</w:t>
      </w:r>
      <w:r>
        <w:rPr>
          <w:rFonts w:hint="eastAsia" w:ascii="仿宋" w:hAnsi="仿宋" w:eastAsia="仿宋" w:cs="仿宋"/>
          <w:spacing w:val="23"/>
          <w:sz w:val="32"/>
          <w:szCs w:val="32"/>
          <w:lang w:val="en-US" w:eastAsia="zh-CN"/>
        </w:rPr>
        <w:t>减少</w:t>
      </w:r>
      <w:r>
        <w:rPr>
          <w:rFonts w:hint="eastAsia" w:ascii="仿宋" w:hAnsi="仿宋" w:eastAsia="仿宋" w:cs="仿宋"/>
          <w:spacing w:val="23"/>
          <w:sz w:val="32"/>
          <w:szCs w:val="32"/>
          <w:u w:val="single"/>
          <w:lang w:val="en-US" w:eastAsia="zh-CN"/>
        </w:rPr>
        <w:t>3.97</w:t>
      </w:r>
      <w:r>
        <w:rPr>
          <w:rFonts w:hint="eastAsia" w:ascii="仿宋" w:hAnsi="仿宋" w:eastAsia="仿宋" w:cs="仿宋"/>
          <w:spacing w:val="23"/>
          <w:sz w:val="32"/>
          <w:szCs w:val="32"/>
        </w:rPr>
        <w:t>万元，</w:t>
      </w:r>
      <w:r>
        <w:rPr>
          <w:rFonts w:hint="eastAsia" w:ascii="仿宋" w:hAnsi="仿宋" w:eastAsia="仿宋" w:cs="仿宋"/>
          <w:spacing w:val="23"/>
          <w:sz w:val="32"/>
          <w:szCs w:val="32"/>
          <w:lang w:val="en-US" w:eastAsia="zh-CN"/>
        </w:rPr>
        <w:t>下降</w:t>
      </w:r>
      <w:r>
        <w:rPr>
          <w:rFonts w:hint="eastAsia" w:ascii="仿宋" w:hAnsi="仿宋" w:eastAsia="仿宋" w:cs="仿宋"/>
          <w:spacing w:val="23"/>
          <w:sz w:val="32"/>
          <w:szCs w:val="32"/>
          <w:u w:val="single"/>
          <w:lang w:val="en-US" w:eastAsia="zh-CN"/>
        </w:rPr>
        <w:t>7.88%</w:t>
      </w:r>
      <w:r>
        <w:rPr>
          <w:rFonts w:hint="eastAsia" w:ascii="仿宋" w:hAnsi="仿宋" w:eastAsia="仿宋" w:cs="仿宋"/>
          <w:spacing w:val="23"/>
          <w:sz w:val="32"/>
          <w:szCs w:val="32"/>
        </w:rPr>
        <w:t>。主要原因是</w:t>
      </w:r>
      <w:r>
        <w:rPr>
          <w:rFonts w:hint="eastAsia" w:ascii="仿宋" w:hAnsi="仿宋" w:eastAsia="仿宋" w:cs="仿宋"/>
          <w:b/>
          <w:bCs/>
          <w:spacing w:val="23"/>
          <w:sz w:val="32"/>
          <w:szCs w:val="32"/>
          <w:lang w:val="en-US" w:eastAsia="zh-CN"/>
        </w:rPr>
        <w:t>在职人员变动，职工基本医疗生育大病保险缴费支出减少。</w:t>
      </w:r>
    </w:p>
    <w:p w14:paraId="50B5C67E">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b/>
          <w:bCs/>
          <w:spacing w:val="20"/>
          <w:sz w:val="32"/>
          <w:szCs w:val="32"/>
          <w:lang w:val="en-US" w:eastAsia="zh-CN"/>
        </w:rPr>
      </w:pPr>
      <w:r>
        <w:rPr>
          <w:rFonts w:hint="eastAsia" w:ascii="仿宋" w:hAnsi="仿宋" w:eastAsia="仿宋" w:cs="仿宋"/>
          <w:spacing w:val="20"/>
          <w:sz w:val="32"/>
          <w:szCs w:val="32"/>
        </w:rPr>
        <w:t>（4）城市社区（类）支</w:t>
      </w:r>
      <w:r>
        <w:rPr>
          <w:rFonts w:hint="eastAsia" w:ascii="仿宋" w:hAnsi="仿宋" w:eastAsia="仿宋" w:cs="仿宋"/>
          <w:spacing w:val="20"/>
          <w:sz w:val="32"/>
          <w:szCs w:val="32"/>
          <w:lang w:val="en-US" w:eastAsia="zh-CN"/>
        </w:rPr>
        <w:t>出</w:t>
      </w:r>
      <w:r>
        <w:rPr>
          <w:rFonts w:hint="eastAsia" w:ascii="仿宋" w:hAnsi="仿宋" w:eastAsia="仿宋" w:cs="仿宋"/>
          <w:spacing w:val="20"/>
          <w:sz w:val="32"/>
          <w:szCs w:val="32"/>
          <w:u w:val="single"/>
          <w:lang w:val="en-US" w:eastAsia="zh-CN"/>
        </w:rPr>
        <w:t>444.91</w:t>
      </w:r>
      <w:r>
        <w:rPr>
          <w:rFonts w:hint="eastAsia" w:ascii="仿宋" w:hAnsi="仿宋" w:eastAsia="仿宋" w:cs="仿宋"/>
          <w:spacing w:val="20"/>
          <w:sz w:val="32"/>
          <w:szCs w:val="32"/>
        </w:rPr>
        <w:t xml:space="preserve">万元，主要用于保障城乡社区正常运转的各项支出。与上年相比增加 </w:t>
      </w:r>
      <w:r>
        <w:rPr>
          <w:rFonts w:hint="eastAsia" w:ascii="仿宋" w:hAnsi="仿宋" w:eastAsia="仿宋" w:cs="仿宋"/>
          <w:spacing w:val="20"/>
          <w:sz w:val="32"/>
          <w:szCs w:val="32"/>
          <w:u w:val="single" w:color="auto"/>
          <w:lang w:val="en-US" w:eastAsia="zh-CN"/>
        </w:rPr>
        <w:t>81.28</w:t>
      </w:r>
      <w:r>
        <w:rPr>
          <w:rFonts w:hint="eastAsia" w:ascii="仿宋" w:hAnsi="仿宋" w:eastAsia="仿宋" w:cs="仿宋"/>
          <w:spacing w:val="20"/>
          <w:sz w:val="32"/>
          <w:szCs w:val="32"/>
        </w:rPr>
        <w:t>万元，增长</w:t>
      </w:r>
      <w:r>
        <w:rPr>
          <w:rFonts w:hint="eastAsia" w:ascii="仿宋" w:hAnsi="仿宋" w:eastAsia="仿宋" w:cs="仿宋"/>
          <w:spacing w:val="20"/>
          <w:sz w:val="32"/>
          <w:szCs w:val="32"/>
          <w:u w:val="single"/>
          <w:lang w:val="en-US" w:eastAsia="zh-CN"/>
        </w:rPr>
        <w:t>22.35%</w:t>
      </w:r>
      <w:r>
        <w:rPr>
          <w:rFonts w:hint="eastAsia" w:ascii="仿宋" w:hAnsi="仿宋" w:eastAsia="仿宋" w:cs="仿宋"/>
          <w:spacing w:val="20"/>
          <w:sz w:val="32"/>
          <w:szCs w:val="32"/>
        </w:rPr>
        <w:t>。主要原因是</w:t>
      </w:r>
      <w:r>
        <w:rPr>
          <w:rFonts w:hint="eastAsia" w:ascii="仿宋" w:hAnsi="仿宋" w:eastAsia="仿宋" w:cs="仿宋"/>
          <w:b/>
          <w:bCs/>
          <w:spacing w:val="20"/>
          <w:sz w:val="32"/>
          <w:szCs w:val="32"/>
          <w:lang w:val="en-US" w:eastAsia="zh-CN"/>
        </w:rPr>
        <w:t>城市社区支出预算中包括人居环境贷款还本支出预算。</w:t>
      </w:r>
    </w:p>
    <w:p w14:paraId="0B5CB944">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32" w:firstLineChars="200"/>
        <w:jc w:val="both"/>
        <w:textAlignment w:val="baseline"/>
        <w:rPr>
          <w:rFonts w:hint="eastAsia" w:ascii="仿宋" w:hAnsi="仿宋" w:eastAsia="仿宋" w:cs="仿宋"/>
          <w:spacing w:val="23"/>
          <w:sz w:val="32"/>
          <w:szCs w:val="32"/>
        </w:rPr>
      </w:pPr>
      <w:r>
        <w:rPr>
          <w:rFonts w:hint="eastAsia" w:ascii="仿宋" w:hAnsi="仿宋" w:eastAsia="仿宋" w:cs="仿宋"/>
          <w:spacing w:val="23"/>
          <w:sz w:val="32"/>
          <w:szCs w:val="32"/>
        </w:rPr>
        <w:t>（5）农林水（类）支出</w:t>
      </w:r>
      <w:r>
        <w:rPr>
          <w:rFonts w:hint="eastAsia" w:ascii="仿宋" w:hAnsi="仿宋" w:eastAsia="仿宋" w:cs="仿宋"/>
          <w:spacing w:val="23"/>
          <w:sz w:val="32"/>
          <w:szCs w:val="32"/>
          <w:u w:val="single"/>
          <w:lang w:val="en-US" w:eastAsia="zh-CN"/>
        </w:rPr>
        <w:t>573.83</w:t>
      </w:r>
      <w:r>
        <w:rPr>
          <w:rFonts w:hint="eastAsia" w:ascii="仿宋" w:hAnsi="仿宋" w:eastAsia="仿宋" w:cs="仿宋"/>
          <w:spacing w:val="23"/>
          <w:sz w:val="32"/>
          <w:szCs w:val="32"/>
        </w:rPr>
        <w:t>万元，主要用于保障农业农村运行所需的各项支出。与上年相比</w:t>
      </w:r>
      <w:r>
        <w:rPr>
          <w:rFonts w:hint="eastAsia" w:ascii="仿宋" w:hAnsi="仿宋" w:eastAsia="仿宋" w:cs="仿宋"/>
          <w:spacing w:val="23"/>
          <w:sz w:val="32"/>
          <w:szCs w:val="32"/>
          <w:lang w:val="en-US" w:eastAsia="zh-CN"/>
        </w:rPr>
        <w:t>减少</w:t>
      </w:r>
      <w:r>
        <w:rPr>
          <w:rFonts w:hint="eastAsia" w:ascii="仿宋" w:hAnsi="仿宋" w:eastAsia="仿宋" w:cs="仿宋"/>
          <w:spacing w:val="23"/>
          <w:sz w:val="32"/>
          <w:szCs w:val="32"/>
          <w:u w:val="single"/>
          <w:lang w:val="en-US" w:eastAsia="zh-CN"/>
        </w:rPr>
        <w:t>1.98</w:t>
      </w:r>
      <w:r>
        <w:rPr>
          <w:rFonts w:hint="eastAsia" w:ascii="仿宋" w:hAnsi="仿宋" w:eastAsia="仿宋" w:cs="仿宋"/>
          <w:spacing w:val="23"/>
          <w:sz w:val="32"/>
          <w:szCs w:val="32"/>
        </w:rPr>
        <w:t>万元，</w:t>
      </w:r>
      <w:r>
        <w:rPr>
          <w:rFonts w:hint="eastAsia" w:ascii="仿宋" w:hAnsi="仿宋" w:eastAsia="仿宋" w:cs="仿宋"/>
          <w:spacing w:val="23"/>
          <w:sz w:val="32"/>
          <w:szCs w:val="32"/>
          <w:lang w:val="en-US" w:eastAsia="zh-CN"/>
        </w:rPr>
        <w:t>减少</w:t>
      </w:r>
      <w:r>
        <w:rPr>
          <w:rFonts w:hint="eastAsia" w:ascii="仿宋" w:hAnsi="仿宋" w:eastAsia="仿宋" w:cs="仿宋"/>
          <w:spacing w:val="23"/>
          <w:sz w:val="32"/>
          <w:szCs w:val="32"/>
          <w:u w:val="single"/>
          <w:lang w:val="en-US" w:eastAsia="zh-CN"/>
        </w:rPr>
        <w:t>0.34%</w:t>
      </w:r>
      <w:r>
        <w:rPr>
          <w:rFonts w:hint="eastAsia" w:ascii="仿宋" w:hAnsi="仿宋" w:eastAsia="仿宋" w:cs="仿宋"/>
          <w:spacing w:val="23"/>
          <w:sz w:val="32"/>
          <w:szCs w:val="32"/>
        </w:rPr>
        <w:t>。主要原因是</w:t>
      </w:r>
      <w:r>
        <w:rPr>
          <w:rFonts w:hint="eastAsia" w:ascii="仿宋" w:hAnsi="仿宋" w:eastAsia="仿宋" w:cs="仿宋"/>
          <w:b/>
          <w:bCs/>
          <w:spacing w:val="23"/>
          <w:sz w:val="32"/>
          <w:szCs w:val="32"/>
          <w:lang w:val="en-US" w:eastAsia="zh-CN"/>
        </w:rPr>
        <w:t>本年农林水（类）支出预算减少</w:t>
      </w:r>
      <w:r>
        <w:rPr>
          <w:rFonts w:hint="eastAsia" w:ascii="仿宋" w:hAnsi="仿宋" w:eastAsia="仿宋" w:cs="仿宋"/>
          <w:spacing w:val="23"/>
          <w:sz w:val="32"/>
          <w:szCs w:val="32"/>
        </w:rPr>
        <w:t>。</w:t>
      </w:r>
    </w:p>
    <w:p w14:paraId="0EB46172">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（6）住房保障（类）支出</w:t>
      </w:r>
      <w:r>
        <w:rPr>
          <w:rFonts w:hint="eastAsia" w:ascii="仿宋" w:hAnsi="仿宋" w:eastAsia="仿宋" w:cs="仿宋"/>
          <w:spacing w:val="20"/>
          <w:sz w:val="32"/>
          <w:szCs w:val="32"/>
          <w:u w:val="single"/>
          <w:lang w:val="en-US" w:eastAsia="zh-CN"/>
        </w:rPr>
        <w:t>66.87</w:t>
      </w:r>
      <w:r>
        <w:rPr>
          <w:rFonts w:hint="eastAsia" w:ascii="仿宋" w:hAnsi="仿宋" w:eastAsia="仿宋" w:cs="仿宋"/>
          <w:spacing w:val="20"/>
          <w:sz w:val="32"/>
          <w:szCs w:val="32"/>
        </w:rPr>
        <w:t>万元，主要用于缴纳单位职工匹配住房公积金。与上年相比</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u w:val="single"/>
          <w:lang w:val="en-US" w:eastAsia="zh-CN"/>
        </w:rPr>
        <w:t>3.86</w:t>
      </w:r>
      <w:r>
        <w:rPr>
          <w:rFonts w:hint="eastAsia" w:ascii="仿宋" w:hAnsi="仿宋" w:eastAsia="仿宋" w:cs="仿宋"/>
          <w:spacing w:val="20"/>
          <w:sz w:val="32"/>
          <w:szCs w:val="32"/>
        </w:rPr>
        <w:t xml:space="preserve"> 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lang w:val="en-US" w:eastAsia="zh-CN"/>
        </w:rPr>
        <w:t>下降</w:t>
      </w:r>
      <w:r>
        <w:rPr>
          <w:rFonts w:hint="eastAsia" w:ascii="仿宋" w:hAnsi="仿宋" w:eastAsia="仿宋" w:cs="仿宋"/>
          <w:spacing w:val="20"/>
          <w:sz w:val="32"/>
          <w:szCs w:val="32"/>
          <w:u w:val="single"/>
          <w:lang w:val="en-US" w:eastAsia="zh-CN"/>
        </w:rPr>
        <w:t>5.46%</w:t>
      </w:r>
      <w:r>
        <w:rPr>
          <w:rFonts w:hint="eastAsia" w:ascii="仿宋" w:hAnsi="仿宋" w:eastAsia="仿宋" w:cs="仿宋"/>
          <w:spacing w:val="20"/>
          <w:sz w:val="32"/>
          <w:szCs w:val="32"/>
          <w:u w:val="none"/>
          <w:lang w:val="en-US" w:eastAsia="zh-CN"/>
        </w:rPr>
        <w:t>。</w:t>
      </w:r>
      <w:r>
        <w:rPr>
          <w:rFonts w:hint="eastAsia" w:ascii="仿宋" w:hAnsi="仿宋" w:eastAsia="仿宋" w:cs="仿宋"/>
          <w:spacing w:val="20"/>
          <w:sz w:val="32"/>
          <w:szCs w:val="32"/>
        </w:rPr>
        <w:t>主要原因是</w:t>
      </w:r>
      <w:r>
        <w:rPr>
          <w:rFonts w:hint="eastAsia" w:ascii="仿宋" w:hAnsi="仿宋" w:eastAsia="仿宋" w:cs="仿宋"/>
          <w:b/>
          <w:bCs/>
          <w:spacing w:val="20"/>
          <w:sz w:val="32"/>
          <w:szCs w:val="32"/>
          <w:lang w:val="en-US" w:eastAsia="zh-CN"/>
        </w:rPr>
        <w:t>在职人员变动，单位职工匹配住房公积金减少</w:t>
      </w:r>
      <w:r>
        <w:rPr>
          <w:rFonts w:hint="eastAsia" w:ascii="仿宋" w:hAnsi="仿宋" w:eastAsia="仿宋" w:cs="仿宋"/>
          <w:spacing w:val="20"/>
          <w:sz w:val="32"/>
          <w:szCs w:val="32"/>
        </w:rPr>
        <w:t>。</w:t>
      </w:r>
    </w:p>
    <w:p w14:paraId="63BBDD3F">
      <w:pPr>
        <w:keepNext w:val="0"/>
        <w:keepLines w:val="0"/>
        <w:pageBreakBefore w:val="0"/>
        <w:widowControl/>
        <w:kinsoku w:val="0"/>
        <w:wordWrap/>
        <w:overflowPunct/>
        <w:topLinePunct w:val="0"/>
        <w:autoSpaceDE w:val="0"/>
        <w:autoSpaceDN w:val="0"/>
        <w:bidi w:val="0"/>
        <w:adjustRightInd w:val="0"/>
        <w:snapToGrid w:val="0"/>
        <w:spacing w:line="580" w:lineRule="exact"/>
        <w:ind w:firstLine="624" w:firstLineChars="200"/>
        <w:jc w:val="both"/>
        <w:textAlignment w:val="baseline"/>
        <w:rPr>
          <w:rFonts w:ascii="仿宋" w:hAnsi="仿宋" w:eastAsia="仿宋" w:cs="仿宋"/>
          <w:sz w:val="31"/>
          <w:szCs w:val="31"/>
        </w:rPr>
      </w:pPr>
      <w:r>
        <w:rPr>
          <w:rFonts w:ascii="Times New Roman" w:hAnsi="Times New Roman" w:eastAsia="Times New Roman" w:cs="Times New Roman"/>
          <w:spacing w:val="1"/>
          <w:sz w:val="31"/>
          <w:szCs w:val="31"/>
        </w:rPr>
        <w:t>2</w:t>
      </w:r>
      <w:r>
        <w:rPr>
          <w:rFonts w:ascii="仿宋" w:hAnsi="仿宋" w:eastAsia="仿宋" w:cs="仿宋"/>
          <w:spacing w:val="1"/>
          <w:sz w:val="31"/>
          <w:szCs w:val="31"/>
        </w:rPr>
        <w:t>．年终结转结余</w:t>
      </w:r>
      <w:r>
        <w:rPr>
          <w:rFonts w:ascii="仿宋" w:hAnsi="仿宋" w:eastAsia="仿宋" w:cs="仿宋"/>
          <w:spacing w:val="-63"/>
          <w:sz w:val="31"/>
          <w:szCs w:val="31"/>
        </w:rPr>
        <w:t xml:space="preserve"> </w:t>
      </w:r>
      <w:r>
        <w:rPr>
          <w:rFonts w:ascii="Times New Roman" w:hAnsi="Times New Roman" w:eastAsia="Times New Roman" w:cs="Times New Roman"/>
          <w:spacing w:val="1"/>
          <w:sz w:val="31"/>
          <w:szCs w:val="31"/>
          <w:u w:val="single" w:color="auto"/>
        </w:rPr>
        <w:t>0</w:t>
      </w:r>
      <w:r>
        <w:rPr>
          <w:rFonts w:ascii="Times New Roman" w:hAnsi="Times New Roman" w:eastAsia="Times New Roman" w:cs="Times New Roman"/>
          <w:spacing w:val="26"/>
          <w:w w:val="101"/>
          <w:sz w:val="31"/>
          <w:szCs w:val="31"/>
          <w:u w:val="single" w:color="auto"/>
        </w:rPr>
        <w:t xml:space="preserve"> </w:t>
      </w:r>
      <w:r>
        <w:rPr>
          <w:rFonts w:ascii="仿宋" w:hAnsi="仿宋" w:eastAsia="仿宋" w:cs="仿宋"/>
          <w:spacing w:val="1"/>
          <w:sz w:val="31"/>
          <w:szCs w:val="31"/>
        </w:rPr>
        <w:t>万元，</w:t>
      </w:r>
      <w:r>
        <w:rPr>
          <w:rFonts w:ascii="仿宋" w:hAnsi="仿宋" w:eastAsia="仿宋" w:cs="仿宋"/>
          <w:spacing w:val="-41"/>
          <w:sz w:val="31"/>
          <w:szCs w:val="31"/>
        </w:rPr>
        <w:t xml:space="preserve"> </w:t>
      </w:r>
      <w:r>
        <w:rPr>
          <w:rFonts w:ascii="仿宋" w:hAnsi="仿宋" w:eastAsia="仿宋" w:cs="仿宋"/>
          <w:spacing w:val="1"/>
          <w:sz w:val="31"/>
          <w:szCs w:val="31"/>
        </w:rPr>
        <w:t>主要原因是</w:t>
      </w:r>
      <w:r>
        <w:rPr>
          <w:rFonts w:hint="eastAsia" w:ascii="仿宋" w:hAnsi="仿宋" w:eastAsia="仿宋" w:cs="仿宋"/>
          <w:b/>
          <w:bCs/>
          <w:spacing w:val="20"/>
          <w:sz w:val="32"/>
          <w:szCs w:val="32"/>
          <w:lang w:val="en-US" w:eastAsia="zh-CN"/>
        </w:rPr>
        <w:t>本年无年终结转结余预算。</w:t>
      </w:r>
    </w:p>
    <w:p w14:paraId="2F2DDC70">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二、收入预算情况说明</w:t>
      </w:r>
    </w:p>
    <w:p w14:paraId="7FBF5B54">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莫力达瓦达斡尔族自治旗巴彦鄂温克民族乡人民政府202</w:t>
      </w:r>
      <w:r>
        <w:rPr>
          <w:rFonts w:hint="eastAsia" w:ascii="仿宋" w:hAnsi="仿宋" w:eastAsia="仿宋" w:cs="仿宋"/>
          <w:spacing w:val="20"/>
          <w:sz w:val="32"/>
          <w:szCs w:val="32"/>
          <w:lang w:val="en-US" w:eastAsia="zh-CN"/>
        </w:rPr>
        <w:t>5</w:t>
      </w:r>
      <w:r>
        <w:rPr>
          <w:rFonts w:hint="eastAsia" w:ascii="仿宋" w:hAnsi="仿宋" w:eastAsia="仿宋" w:cs="仿宋"/>
          <w:spacing w:val="20"/>
          <w:sz w:val="32"/>
          <w:szCs w:val="32"/>
        </w:rPr>
        <w:t>年度收入预算总计</w:t>
      </w:r>
      <w:r>
        <w:rPr>
          <w:rFonts w:hint="eastAsia" w:ascii="仿宋" w:hAnsi="仿宋" w:eastAsia="仿宋" w:cs="仿宋"/>
          <w:spacing w:val="20"/>
          <w:sz w:val="32"/>
          <w:szCs w:val="32"/>
          <w:u w:val="single"/>
          <w:lang w:val="en-US" w:eastAsia="zh-CN"/>
        </w:rPr>
        <w:t>2279.42</w:t>
      </w:r>
      <w:r>
        <w:rPr>
          <w:rFonts w:hint="eastAsia" w:ascii="仿宋" w:hAnsi="仿宋" w:eastAsia="仿宋" w:cs="仿宋"/>
          <w:spacing w:val="20"/>
          <w:sz w:val="32"/>
          <w:szCs w:val="32"/>
        </w:rPr>
        <w:t>万元，包括本年收</w:t>
      </w:r>
      <w:r>
        <w:rPr>
          <w:rFonts w:hint="eastAsia" w:ascii="仿宋" w:hAnsi="仿宋" w:eastAsia="仿宋" w:cs="仿宋"/>
          <w:spacing w:val="20"/>
          <w:sz w:val="32"/>
          <w:szCs w:val="32"/>
          <w:u w:val="single"/>
        </w:rPr>
        <w:t>入</w:t>
      </w:r>
      <w:r>
        <w:rPr>
          <w:rFonts w:hint="eastAsia" w:ascii="仿宋" w:hAnsi="仿宋" w:eastAsia="仿宋" w:cs="仿宋"/>
          <w:spacing w:val="20"/>
          <w:sz w:val="32"/>
          <w:szCs w:val="32"/>
          <w:u w:val="single"/>
          <w:lang w:val="en-US" w:eastAsia="zh-CN"/>
        </w:rPr>
        <w:t>2279.42</w:t>
      </w:r>
      <w:r>
        <w:rPr>
          <w:rFonts w:hint="eastAsia" w:ascii="仿宋" w:hAnsi="仿宋" w:eastAsia="仿宋" w:cs="仿宋"/>
          <w:spacing w:val="20"/>
          <w:sz w:val="32"/>
          <w:szCs w:val="32"/>
        </w:rPr>
        <w:t xml:space="preserve"> 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其中：</w:t>
      </w:r>
    </w:p>
    <w:p w14:paraId="37ABB1C7">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本年一般公共预算收入</w:t>
      </w:r>
      <w:r>
        <w:rPr>
          <w:rFonts w:hint="eastAsia" w:ascii="仿宋" w:hAnsi="仿宋" w:eastAsia="仿宋" w:cs="仿宋"/>
          <w:spacing w:val="20"/>
          <w:sz w:val="32"/>
          <w:szCs w:val="32"/>
          <w:u w:val="single"/>
          <w:lang w:val="en-US" w:eastAsia="zh-CN"/>
        </w:rPr>
        <w:t>2106.43</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92.41%</w:t>
      </w:r>
      <w:r>
        <w:rPr>
          <w:rFonts w:hint="eastAsia" w:ascii="仿宋" w:hAnsi="仿宋" w:eastAsia="仿宋" w:cs="仿宋"/>
          <w:spacing w:val="20"/>
          <w:sz w:val="32"/>
          <w:szCs w:val="32"/>
        </w:rPr>
        <w:t>；</w:t>
      </w:r>
    </w:p>
    <w:p w14:paraId="39986785">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default" w:ascii="仿宋" w:hAnsi="仿宋" w:eastAsia="仿宋" w:cs="仿宋"/>
          <w:spacing w:val="20"/>
          <w:sz w:val="32"/>
          <w:szCs w:val="32"/>
          <w:lang w:val="en-US" w:eastAsia="zh-CN"/>
        </w:rPr>
      </w:pPr>
      <w:r>
        <w:rPr>
          <w:rFonts w:hint="eastAsia" w:ascii="仿宋" w:hAnsi="仿宋" w:eastAsia="仿宋" w:cs="仿宋"/>
          <w:spacing w:val="20"/>
          <w:sz w:val="32"/>
          <w:szCs w:val="32"/>
        </w:rPr>
        <w:t>本年政府性基金预算收入</w:t>
      </w:r>
      <w:r>
        <w:rPr>
          <w:rFonts w:hint="eastAsia" w:ascii="仿宋" w:hAnsi="仿宋" w:eastAsia="仿宋" w:cs="仿宋"/>
          <w:spacing w:val="20"/>
          <w:sz w:val="32"/>
          <w:szCs w:val="32"/>
          <w:u w:val="single"/>
          <w:lang w:val="en-US" w:eastAsia="zh-CN"/>
        </w:rPr>
        <w:t>103.86</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占</w:t>
      </w:r>
      <w:r>
        <w:rPr>
          <w:rFonts w:hint="eastAsia" w:ascii="仿宋" w:hAnsi="仿宋" w:eastAsia="仿宋" w:cs="仿宋"/>
          <w:spacing w:val="20"/>
          <w:sz w:val="32"/>
          <w:szCs w:val="32"/>
          <w:u w:val="single"/>
          <w:lang w:val="en-US" w:eastAsia="zh-CN"/>
        </w:rPr>
        <w:t>4.56%</w:t>
      </w:r>
      <w:r>
        <w:rPr>
          <w:rFonts w:hint="eastAsia" w:ascii="仿宋" w:hAnsi="仿宋" w:eastAsia="仿宋" w:cs="仿宋"/>
          <w:spacing w:val="20"/>
          <w:sz w:val="32"/>
          <w:szCs w:val="32"/>
          <w:lang w:val="en-US" w:eastAsia="zh-CN"/>
        </w:rPr>
        <w:t>；</w:t>
      </w:r>
    </w:p>
    <w:p w14:paraId="61DAA96F">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本年国有资本经营预算收入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w:t>
      </w:r>
    </w:p>
    <w:p w14:paraId="76475EF2">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本年财政专户管理资金</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w:t>
      </w:r>
    </w:p>
    <w:p w14:paraId="31787B3D">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本年事业收入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w:t>
      </w:r>
    </w:p>
    <w:p w14:paraId="0642C49D">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本年事业单位经营收入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w:t>
      </w:r>
    </w:p>
    <w:p w14:paraId="7326FF41">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本年上级补助收入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w:t>
      </w:r>
    </w:p>
    <w:p w14:paraId="5995416A">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本年附属单位上缴收入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w:t>
      </w:r>
    </w:p>
    <w:p w14:paraId="652FC676">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default" w:ascii="仿宋" w:hAnsi="仿宋" w:eastAsia="仿宋" w:cs="仿宋"/>
          <w:spacing w:val="20"/>
          <w:sz w:val="32"/>
          <w:szCs w:val="32"/>
          <w:lang w:val="en-US" w:eastAsia="zh-CN"/>
        </w:rPr>
      </w:pPr>
      <w:r>
        <w:rPr>
          <w:rFonts w:hint="eastAsia" w:ascii="仿宋" w:hAnsi="仿宋" w:eastAsia="仿宋" w:cs="仿宋"/>
          <w:spacing w:val="20"/>
          <w:sz w:val="32"/>
          <w:szCs w:val="32"/>
        </w:rPr>
        <w:t>本年其他收入</w:t>
      </w:r>
      <w:r>
        <w:rPr>
          <w:rFonts w:hint="eastAsia" w:ascii="仿宋" w:hAnsi="仿宋" w:eastAsia="仿宋" w:cs="仿宋"/>
          <w:spacing w:val="20"/>
          <w:sz w:val="32"/>
          <w:szCs w:val="32"/>
          <w:u w:val="single" w:color="auto"/>
          <w:lang w:val="en-US" w:eastAsia="zh-CN"/>
        </w:rPr>
        <w:t>69.13</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3.03</w:t>
      </w:r>
      <w:r>
        <w:rPr>
          <w:rFonts w:hint="eastAsia" w:ascii="仿宋" w:hAnsi="仿宋" w:eastAsia="仿宋" w:cs="仿宋"/>
          <w:spacing w:val="20"/>
          <w:sz w:val="32"/>
          <w:szCs w:val="32"/>
          <w:lang w:val="en-US" w:eastAsia="zh-CN"/>
        </w:rPr>
        <w:t>%；</w:t>
      </w:r>
    </w:p>
    <w:p w14:paraId="5ABF56B4">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上年结转结余的一般公共预算收入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w:t>
      </w:r>
    </w:p>
    <w:p w14:paraId="44020C2C">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上年结转结余的政府性基金预算收入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w:t>
      </w:r>
    </w:p>
    <w:p w14:paraId="186B777C">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上年结转结余的国有资本经营预算收入</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u w:val="none"/>
          <w:lang w:val="en-US" w:eastAsia="zh-CN"/>
        </w:rPr>
        <w:t>；</w:t>
      </w:r>
    </w:p>
    <w:p w14:paraId="786D22E2">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上年结转结余的财政专户管理资金</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w:t>
      </w:r>
    </w:p>
    <w:p w14:paraId="3220194A">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上年结转结余的单位资金</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万元，占</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w:t>
      </w:r>
    </w:p>
    <w:p w14:paraId="2EED24A2">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0" w:firstLineChars="0"/>
        <w:jc w:val="center"/>
        <w:textAlignment w:val="baseline"/>
        <w:rPr>
          <w:rFonts w:hint="default"/>
          <w:b/>
          <w:bCs/>
          <w:sz w:val="21"/>
          <w:szCs w:val="21"/>
          <w:lang w:val="en-US"/>
        </w:rPr>
      </w:pPr>
      <w:r>
        <w:rPr>
          <w:rFonts w:hint="eastAsia" w:ascii="仿宋" w:hAnsi="仿宋" w:eastAsia="仿宋" w:cs="仿宋"/>
          <w:spacing w:val="20"/>
          <w:position w:val="0"/>
          <w:sz w:val="32"/>
          <w:szCs w:val="32"/>
          <w:lang w:eastAsia="zh-CN"/>
        </w:rPr>
        <w:drawing>
          <wp:anchor distT="0" distB="0" distL="114300" distR="114300" simplePos="0" relativeHeight="251659264" behindDoc="0" locked="0" layoutInCell="1" allowOverlap="1">
            <wp:simplePos x="0" y="0"/>
            <wp:positionH relativeFrom="column">
              <wp:posOffset>273685</wp:posOffset>
            </wp:positionH>
            <wp:positionV relativeFrom="paragraph">
              <wp:posOffset>-57150</wp:posOffset>
            </wp:positionV>
            <wp:extent cx="4777105" cy="3642360"/>
            <wp:effectExtent l="4445" t="4445" r="19050" b="41275"/>
            <wp:wrapTopAndBottom/>
            <wp:docPr id="1" name="图表 1" descr="7b0a202020202263686172745265734964223a20223230343735393537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Pr>
          <w:rFonts w:hint="eastAsia" w:ascii="仿宋" w:hAnsi="仿宋" w:eastAsia="仿宋" w:cs="仿宋"/>
          <w:spacing w:val="20"/>
          <w:position w:val="0"/>
          <w:sz w:val="32"/>
          <w:szCs w:val="32"/>
          <w:lang w:val="en-US" w:eastAsia="zh-CN"/>
        </w:rPr>
        <w:t>图1 收入预算图</w:t>
      </w:r>
    </w:p>
    <w:p w14:paraId="4FDA2F0F">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三、支出预算情况说明</w:t>
      </w:r>
    </w:p>
    <w:p w14:paraId="63157395">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0"/>
          <w:position w:val="0"/>
          <w:sz w:val="32"/>
          <w:szCs w:val="32"/>
        </w:rPr>
      </w:pPr>
      <w:r>
        <w:rPr>
          <w:rFonts w:hint="eastAsia" w:ascii="仿宋" w:hAnsi="仿宋" w:eastAsia="仿宋" w:cs="仿宋"/>
          <w:spacing w:val="20"/>
          <w:position w:val="0"/>
          <w:sz w:val="32"/>
          <w:szCs w:val="32"/>
        </w:rPr>
        <w:t>莫力达瓦达斡尔族自治旗巴彦鄂温克民族乡人民政府202</w:t>
      </w:r>
      <w:r>
        <w:rPr>
          <w:rFonts w:hint="eastAsia" w:ascii="仿宋" w:hAnsi="仿宋" w:eastAsia="仿宋" w:cs="仿宋"/>
          <w:spacing w:val="20"/>
          <w:position w:val="0"/>
          <w:sz w:val="32"/>
          <w:szCs w:val="32"/>
          <w:lang w:val="en-US" w:eastAsia="zh-CN"/>
        </w:rPr>
        <w:t>5</w:t>
      </w:r>
      <w:r>
        <w:rPr>
          <w:rFonts w:hint="eastAsia" w:ascii="仿宋" w:hAnsi="仿宋" w:eastAsia="仿宋" w:cs="仿宋"/>
          <w:spacing w:val="20"/>
          <w:position w:val="0"/>
          <w:sz w:val="32"/>
          <w:szCs w:val="32"/>
        </w:rPr>
        <w:t>年度支出预算合计</w:t>
      </w:r>
      <w:r>
        <w:rPr>
          <w:rFonts w:hint="eastAsia" w:ascii="仿宋" w:hAnsi="仿宋" w:eastAsia="仿宋" w:cs="仿宋"/>
          <w:spacing w:val="20"/>
          <w:position w:val="0"/>
          <w:sz w:val="32"/>
          <w:szCs w:val="32"/>
          <w:u w:val="single" w:color="auto"/>
          <w:lang w:val="en-US" w:eastAsia="zh-CN"/>
        </w:rPr>
        <w:t>2279.42</w:t>
      </w:r>
      <w:r>
        <w:rPr>
          <w:rFonts w:hint="eastAsia" w:ascii="仿宋" w:hAnsi="仿宋" w:eastAsia="仿宋" w:cs="仿宋"/>
          <w:spacing w:val="20"/>
          <w:position w:val="0"/>
          <w:sz w:val="32"/>
          <w:szCs w:val="32"/>
        </w:rPr>
        <w:t>万元，其中：</w:t>
      </w:r>
    </w:p>
    <w:p w14:paraId="79467126">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0"/>
          <w:position w:val="0"/>
          <w:sz w:val="32"/>
          <w:szCs w:val="32"/>
        </w:rPr>
      </w:pPr>
      <w:r>
        <w:rPr>
          <w:rFonts w:hint="eastAsia" w:ascii="仿宋" w:hAnsi="仿宋" w:eastAsia="仿宋" w:cs="仿宋"/>
          <w:spacing w:val="20"/>
          <w:position w:val="0"/>
          <w:sz w:val="32"/>
          <w:szCs w:val="32"/>
        </w:rPr>
        <w:t>基本支出</w:t>
      </w:r>
      <w:r>
        <w:rPr>
          <w:rFonts w:hint="eastAsia" w:ascii="仿宋" w:hAnsi="仿宋" w:eastAsia="仿宋" w:cs="仿宋"/>
          <w:spacing w:val="20"/>
          <w:position w:val="0"/>
          <w:sz w:val="32"/>
          <w:szCs w:val="32"/>
          <w:u w:val="single" w:color="auto"/>
          <w:lang w:val="en-US" w:eastAsia="zh-CN"/>
        </w:rPr>
        <w:t>1104</w:t>
      </w:r>
      <w:r>
        <w:rPr>
          <w:rFonts w:hint="eastAsia" w:ascii="仿宋" w:hAnsi="仿宋" w:eastAsia="仿宋" w:cs="仿宋"/>
          <w:spacing w:val="20"/>
          <w:position w:val="0"/>
          <w:sz w:val="32"/>
          <w:szCs w:val="32"/>
        </w:rPr>
        <w:t xml:space="preserve"> 万元，占</w:t>
      </w:r>
      <w:r>
        <w:rPr>
          <w:rFonts w:hint="eastAsia" w:ascii="仿宋" w:hAnsi="仿宋" w:eastAsia="仿宋" w:cs="仿宋"/>
          <w:spacing w:val="20"/>
          <w:position w:val="0"/>
          <w:sz w:val="32"/>
          <w:szCs w:val="32"/>
          <w:u w:val="single"/>
          <w:lang w:val="en-US" w:eastAsia="zh-CN"/>
        </w:rPr>
        <w:t>48.43%</w:t>
      </w:r>
      <w:r>
        <w:rPr>
          <w:rFonts w:hint="eastAsia" w:ascii="仿宋" w:hAnsi="仿宋" w:eastAsia="仿宋" w:cs="仿宋"/>
          <w:spacing w:val="20"/>
          <w:position w:val="0"/>
          <w:sz w:val="32"/>
          <w:szCs w:val="32"/>
        </w:rPr>
        <w:t>；</w:t>
      </w:r>
    </w:p>
    <w:p w14:paraId="279D5FA7">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0"/>
          <w:position w:val="0"/>
          <w:sz w:val="32"/>
          <w:szCs w:val="32"/>
        </w:rPr>
      </w:pPr>
      <w:r>
        <w:rPr>
          <w:rFonts w:hint="eastAsia" w:ascii="仿宋" w:hAnsi="仿宋" w:eastAsia="仿宋" w:cs="仿宋"/>
          <w:spacing w:val="20"/>
          <w:position w:val="0"/>
          <w:sz w:val="32"/>
          <w:szCs w:val="32"/>
        </w:rPr>
        <w:t>项目支出</w:t>
      </w:r>
      <w:r>
        <w:rPr>
          <w:rFonts w:hint="eastAsia" w:ascii="仿宋" w:hAnsi="仿宋" w:eastAsia="仿宋" w:cs="仿宋"/>
          <w:spacing w:val="20"/>
          <w:position w:val="0"/>
          <w:sz w:val="32"/>
          <w:szCs w:val="32"/>
          <w:u w:val="single" w:color="auto"/>
          <w:lang w:val="en-US" w:eastAsia="zh-CN"/>
        </w:rPr>
        <w:t>1175.42</w:t>
      </w:r>
      <w:r>
        <w:rPr>
          <w:rFonts w:hint="eastAsia" w:ascii="仿宋" w:hAnsi="仿宋" w:eastAsia="仿宋" w:cs="仿宋"/>
          <w:spacing w:val="20"/>
          <w:position w:val="0"/>
          <w:sz w:val="32"/>
          <w:szCs w:val="32"/>
        </w:rPr>
        <w:t xml:space="preserve"> 万元，占</w:t>
      </w:r>
      <w:r>
        <w:rPr>
          <w:rFonts w:hint="eastAsia" w:ascii="仿宋" w:hAnsi="仿宋" w:eastAsia="仿宋" w:cs="仿宋"/>
          <w:spacing w:val="20"/>
          <w:position w:val="0"/>
          <w:sz w:val="32"/>
          <w:szCs w:val="32"/>
          <w:u w:val="single"/>
          <w:lang w:val="en-US" w:eastAsia="zh-CN"/>
        </w:rPr>
        <w:t>51.57%</w:t>
      </w:r>
      <w:r>
        <w:rPr>
          <w:rFonts w:hint="eastAsia" w:ascii="仿宋" w:hAnsi="仿宋" w:eastAsia="仿宋" w:cs="仿宋"/>
          <w:spacing w:val="20"/>
          <w:position w:val="0"/>
          <w:sz w:val="32"/>
          <w:szCs w:val="32"/>
        </w:rPr>
        <w:t>；</w:t>
      </w:r>
    </w:p>
    <w:p w14:paraId="6E2DF0B3">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0"/>
          <w:position w:val="0"/>
          <w:sz w:val="32"/>
          <w:szCs w:val="32"/>
        </w:rPr>
      </w:pPr>
      <w:r>
        <w:rPr>
          <w:rFonts w:hint="eastAsia" w:ascii="仿宋" w:hAnsi="仿宋" w:eastAsia="仿宋" w:cs="仿宋"/>
          <w:spacing w:val="20"/>
          <w:position w:val="0"/>
          <w:sz w:val="32"/>
          <w:szCs w:val="32"/>
        </w:rPr>
        <w:t>事业单位经营支出</w:t>
      </w:r>
      <w:r>
        <w:rPr>
          <w:rFonts w:hint="eastAsia" w:ascii="仿宋" w:hAnsi="仿宋" w:eastAsia="仿宋" w:cs="仿宋"/>
          <w:spacing w:val="20"/>
          <w:position w:val="0"/>
          <w:sz w:val="32"/>
          <w:szCs w:val="32"/>
          <w:u w:val="single"/>
          <w:lang w:val="en-US" w:eastAsia="zh-CN"/>
        </w:rPr>
        <w:t>0</w:t>
      </w:r>
      <w:r>
        <w:rPr>
          <w:rFonts w:hint="eastAsia" w:ascii="仿宋" w:hAnsi="仿宋" w:eastAsia="仿宋" w:cs="仿宋"/>
          <w:spacing w:val="20"/>
          <w:position w:val="0"/>
          <w:sz w:val="32"/>
          <w:szCs w:val="32"/>
        </w:rPr>
        <w:t>万元，占</w:t>
      </w:r>
      <w:r>
        <w:rPr>
          <w:rFonts w:hint="eastAsia" w:ascii="仿宋" w:hAnsi="仿宋" w:eastAsia="仿宋" w:cs="仿宋"/>
          <w:spacing w:val="20"/>
          <w:position w:val="0"/>
          <w:sz w:val="32"/>
          <w:szCs w:val="32"/>
          <w:u w:val="single"/>
          <w:lang w:val="en-US" w:eastAsia="zh-CN"/>
        </w:rPr>
        <w:t>0%</w:t>
      </w:r>
      <w:r>
        <w:rPr>
          <w:rFonts w:hint="eastAsia" w:ascii="仿宋" w:hAnsi="仿宋" w:eastAsia="仿宋" w:cs="仿宋"/>
          <w:spacing w:val="20"/>
          <w:position w:val="0"/>
          <w:sz w:val="32"/>
          <w:szCs w:val="32"/>
        </w:rPr>
        <w:t>；</w:t>
      </w:r>
    </w:p>
    <w:p w14:paraId="6CD37436">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0"/>
          <w:position w:val="0"/>
          <w:sz w:val="32"/>
          <w:szCs w:val="32"/>
        </w:rPr>
      </w:pPr>
      <w:r>
        <w:rPr>
          <w:rFonts w:hint="eastAsia" w:ascii="仿宋" w:hAnsi="仿宋" w:eastAsia="仿宋" w:cs="仿宋"/>
          <w:spacing w:val="20"/>
          <w:position w:val="0"/>
          <w:sz w:val="32"/>
          <w:szCs w:val="32"/>
        </w:rPr>
        <w:t>上缴上级支出</w:t>
      </w:r>
      <w:r>
        <w:rPr>
          <w:rFonts w:hint="eastAsia" w:ascii="仿宋" w:hAnsi="仿宋" w:eastAsia="仿宋" w:cs="仿宋"/>
          <w:spacing w:val="20"/>
          <w:position w:val="0"/>
          <w:sz w:val="32"/>
          <w:szCs w:val="32"/>
          <w:u w:val="single"/>
          <w:lang w:val="en-US" w:eastAsia="zh-CN"/>
        </w:rPr>
        <w:t>0</w:t>
      </w:r>
      <w:r>
        <w:rPr>
          <w:rFonts w:hint="eastAsia" w:ascii="仿宋" w:hAnsi="仿宋" w:eastAsia="仿宋" w:cs="仿宋"/>
          <w:spacing w:val="20"/>
          <w:position w:val="0"/>
          <w:sz w:val="32"/>
          <w:szCs w:val="32"/>
        </w:rPr>
        <w:t>万元，占</w:t>
      </w:r>
      <w:r>
        <w:rPr>
          <w:rFonts w:hint="eastAsia" w:ascii="仿宋" w:hAnsi="仿宋" w:eastAsia="仿宋" w:cs="仿宋"/>
          <w:spacing w:val="20"/>
          <w:position w:val="0"/>
          <w:sz w:val="32"/>
          <w:szCs w:val="32"/>
          <w:u w:val="single"/>
          <w:lang w:val="en-US" w:eastAsia="zh-CN"/>
        </w:rPr>
        <w:t>0%</w:t>
      </w:r>
      <w:r>
        <w:rPr>
          <w:rFonts w:hint="eastAsia" w:ascii="仿宋" w:hAnsi="仿宋" w:eastAsia="仿宋" w:cs="仿宋"/>
          <w:spacing w:val="20"/>
          <w:position w:val="0"/>
          <w:sz w:val="32"/>
          <w:szCs w:val="32"/>
        </w:rPr>
        <w:t>；</w:t>
      </w:r>
    </w:p>
    <w:p w14:paraId="39E08778">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0"/>
          <w:position w:val="0"/>
          <w:sz w:val="32"/>
          <w:szCs w:val="32"/>
        </w:rPr>
      </w:pPr>
      <w:r>
        <w:rPr>
          <w:rFonts w:hint="eastAsia" w:ascii="仿宋" w:hAnsi="仿宋" w:eastAsia="仿宋" w:cs="仿宋"/>
          <w:spacing w:val="20"/>
          <w:position w:val="0"/>
          <w:sz w:val="32"/>
          <w:szCs w:val="32"/>
        </w:rPr>
        <w:t>对附属单位补助支出</w:t>
      </w:r>
      <w:r>
        <w:rPr>
          <w:rFonts w:hint="eastAsia" w:ascii="仿宋" w:hAnsi="仿宋" w:eastAsia="仿宋" w:cs="仿宋"/>
          <w:spacing w:val="20"/>
          <w:position w:val="0"/>
          <w:sz w:val="32"/>
          <w:szCs w:val="32"/>
          <w:u w:val="single"/>
          <w:lang w:val="en-US" w:eastAsia="zh-CN"/>
        </w:rPr>
        <w:t>0</w:t>
      </w:r>
      <w:r>
        <w:rPr>
          <w:rFonts w:hint="eastAsia" w:ascii="仿宋" w:hAnsi="仿宋" w:eastAsia="仿宋" w:cs="仿宋"/>
          <w:spacing w:val="20"/>
          <w:position w:val="0"/>
          <w:sz w:val="32"/>
          <w:szCs w:val="32"/>
        </w:rPr>
        <w:t>万元，占</w:t>
      </w:r>
      <w:r>
        <w:rPr>
          <w:rFonts w:hint="eastAsia" w:ascii="仿宋" w:hAnsi="仿宋" w:eastAsia="仿宋" w:cs="仿宋"/>
          <w:spacing w:val="20"/>
          <w:position w:val="0"/>
          <w:sz w:val="32"/>
          <w:szCs w:val="32"/>
          <w:u w:val="single"/>
          <w:lang w:val="en-US" w:eastAsia="zh-CN"/>
        </w:rPr>
        <w:t>0%</w:t>
      </w:r>
      <w:r>
        <w:rPr>
          <w:rFonts w:hint="eastAsia" w:ascii="仿宋" w:hAnsi="仿宋" w:eastAsia="仿宋" w:cs="仿宋"/>
          <w:spacing w:val="20"/>
          <w:position w:val="0"/>
          <w:sz w:val="32"/>
          <w:szCs w:val="32"/>
        </w:rPr>
        <w:t>。</w:t>
      </w:r>
    </w:p>
    <w:p w14:paraId="3D025B14">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0"/>
          <w:position w:val="0"/>
          <w:sz w:val="32"/>
          <w:szCs w:val="32"/>
          <w:lang w:eastAsia="zh-CN"/>
        </w:rPr>
      </w:pPr>
      <w:r>
        <w:rPr>
          <w:rFonts w:hint="eastAsia" w:ascii="仿宋" w:hAnsi="仿宋" w:eastAsia="仿宋" w:cs="仿宋"/>
          <w:spacing w:val="20"/>
          <w:position w:val="0"/>
          <w:sz w:val="32"/>
          <w:szCs w:val="32"/>
          <w:lang w:eastAsia="zh-CN"/>
        </w:rPr>
        <w:drawing>
          <wp:anchor distT="0" distB="0" distL="114300" distR="114300" simplePos="0" relativeHeight="251660288" behindDoc="0" locked="0" layoutInCell="1" allowOverlap="1">
            <wp:simplePos x="0" y="0"/>
            <wp:positionH relativeFrom="column">
              <wp:posOffset>534035</wp:posOffset>
            </wp:positionH>
            <wp:positionV relativeFrom="paragraph">
              <wp:posOffset>154305</wp:posOffset>
            </wp:positionV>
            <wp:extent cx="4808220" cy="3447415"/>
            <wp:effectExtent l="4445" t="4445" r="18415" b="53340"/>
            <wp:wrapSquare wrapText="bothSides"/>
            <wp:docPr id="2" name="图表 2" descr="7b0a202020202263686172745265734964223a20223230343735393537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3A095C16">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0"/>
          <w:position w:val="0"/>
          <w:sz w:val="32"/>
          <w:szCs w:val="32"/>
        </w:rPr>
      </w:pPr>
    </w:p>
    <w:p w14:paraId="6950A687">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center"/>
        <w:textAlignment w:val="baseline"/>
        <w:rPr>
          <w:rFonts w:hint="eastAsia" w:ascii="仿宋" w:hAnsi="仿宋" w:eastAsia="仿宋" w:cs="仿宋"/>
          <w:spacing w:val="20"/>
          <w:sz w:val="32"/>
          <w:szCs w:val="32"/>
        </w:rPr>
      </w:pPr>
    </w:p>
    <w:p w14:paraId="461A4ECF">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center"/>
        <w:textAlignment w:val="baseline"/>
        <w:rPr>
          <w:rFonts w:hint="eastAsia" w:ascii="仿宋" w:hAnsi="仿宋" w:eastAsia="仿宋" w:cs="仿宋"/>
          <w:spacing w:val="20"/>
          <w:sz w:val="32"/>
          <w:szCs w:val="32"/>
        </w:rPr>
      </w:pPr>
    </w:p>
    <w:p w14:paraId="66329AA6">
      <w:pPr>
        <w:keepNext w:val="0"/>
        <w:keepLines w:val="0"/>
        <w:pageBreakBefore w:val="0"/>
        <w:widowControl/>
        <w:kinsoku w:val="0"/>
        <w:wordWrap/>
        <w:overflowPunct/>
        <w:topLinePunct w:val="0"/>
        <w:autoSpaceDE w:val="0"/>
        <w:autoSpaceDN w:val="0"/>
        <w:bidi w:val="0"/>
        <w:adjustRightInd w:val="0"/>
        <w:snapToGrid w:val="0"/>
        <w:spacing w:after="0" w:line="580" w:lineRule="exact"/>
        <w:jc w:val="both"/>
        <w:textAlignment w:val="baseline"/>
        <w:rPr>
          <w:rFonts w:hint="eastAsia" w:ascii="仿宋" w:hAnsi="仿宋" w:eastAsia="仿宋" w:cs="仿宋"/>
          <w:spacing w:val="20"/>
          <w:sz w:val="32"/>
          <w:szCs w:val="32"/>
          <w:lang w:val="en-US" w:eastAsia="zh-CN"/>
        </w:rPr>
      </w:pPr>
    </w:p>
    <w:p w14:paraId="176BF7EA">
      <w:pPr>
        <w:keepNext w:val="0"/>
        <w:keepLines w:val="0"/>
        <w:pageBreakBefore w:val="0"/>
        <w:widowControl/>
        <w:kinsoku w:val="0"/>
        <w:wordWrap/>
        <w:overflowPunct/>
        <w:topLinePunct w:val="0"/>
        <w:autoSpaceDE w:val="0"/>
        <w:autoSpaceDN w:val="0"/>
        <w:bidi w:val="0"/>
        <w:adjustRightInd w:val="0"/>
        <w:snapToGrid w:val="0"/>
        <w:spacing w:after="0" w:line="580" w:lineRule="exact"/>
        <w:jc w:val="center"/>
        <w:textAlignment w:val="baseline"/>
        <w:rPr>
          <w:rFonts w:hint="eastAsia"/>
          <w:b/>
          <w:bCs/>
          <w:sz w:val="21"/>
          <w:szCs w:val="21"/>
          <w:lang w:val="en-US" w:eastAsia="zh-CN"/>
        </w:rPr>
      </w:pPr>
    </w:p>
    <w:p w14:paraId="2BA7D73A">
      <w:pPr>
        <w:keepNext w:val="0"/>
        <w:keepLines w:val="0"/>
        <w:pageBreakBefore w:val="0"/>
        <w:widowControl/>
        <w:kinsoku w:val="0"/>
        <w:wordWrap/>
        <w:overflowPunct/>
        <w:topLinePunct w:val="0"/>
        <w:autoSpaceDE w:val="0"/>
        <w:autoSpaceDN w:val="0"/>
        <w:bidi w:val="0"/>
        <w:adjustRightInd w:val="0"/>
        <w:snapToGrid w:val="0"/>
        <w:spacing w:after="0" w:line="580" w:lineRule="exact"/>
        <w:jc w:val="center"/>
        <w:textAlignment w:val="baseline"/>
        <w:rPr>
          <w:rFonts w:hint="eastAsia"/>
          <w:b/>
          <w:bCs/>
          <w:sz w:val="21"/>
          <w:szCs w:val="21"/>
          <w:lang w:val="en-US" w:eastAsia="zh-CN"/>
        </w:rPr>
      </w:pPr>
      <w:r>
        <w:rPr>
          <w:rFonts w:hint="eastAsia"/>
          <w:b/>
          <w:bCs/>
          <w:sz w:val="21"/>
          <w:szCs w:val="21"/>
          <w:lang w:val="en-US" w:eastAsia="zh-CN"/>
        </w:rPr>
        <w:t xml:space="preserve">  </w:t>
      </w:r>
    </w:p>
    <w:p w14:paraId="14523BDD">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p>
    <w:p w14:paraId="18F062A3">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p>
    <w:p w14:paraId="443DDA94">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p>
    <w:p w14:paraId="4A17AF26">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0" w:firstLineChars="0"/>
        <w:jc w:val="center"/>
        <w:textAlignment w:val="baseline"/>
        <w:rPr>
          <w:rFonts w:hint="eastAsia" w:ascii="黑体" w:hAnsi="黑体" w:eastAsia="黑体" w:cs="黑体"/>
          <w:spacing w:val="23"/>
          <w:position w:val="0"/>
          <w:sz w:val="32"/>
          <w:szCs w:val="32"/>
          <w:lang w:val="en-US" w:eastAsia="zh-CN"/>
        </w:rPr>
      </w:pPr>
      <w:r>
        <w:rPr>
          <w:rFonts w:hint="eastAsia" w:ascii="仿宋" w:hAnsi="仿宋" w:eastAsia="仿宋" w:cs="仿宋"/>
          <w:spacing w:val="20"/>
          <w:position w:val="0"/>
          <w:sz w:val="32"/>
          <w:szCs w:val="32"/>
          <w:lang w:val="en-US" w:eastAsia="zh-CN"/>
        </w:rPr>
        <w:t>图2 支出预算图</w:t>
      </w:r>
    </w:p>
    <w:p w14:paraId="457A19C8">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四、财政拨款收支预算总体情况说明</w:t>
      </w:r>
    </w:p>
    <w:p w14:paraId="4842E595">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676" w:firstLineChars="200"/>
        <w:jc w:val="both"/>
        <w:textAlignment w:val="baseline"/>
      </w:pPr>
      <w:r>
        <w:rPr>
          <w:rFonts w:hint="eastAsia" w:ascii="仿宋" w:hAnsi="仿宋" w:eastAsia="仿宋" w:cs="仿宋"/>
          <w:spacing w:val="9"/>
          <w:sz w:val="32"/>
          <w:szCs w:val="32"/>
        </w:rPr>
        <w:t>莫力达瓦达斡尔族自治旗巴彦鄂温克民族乡人</w:t>
      </w:r>
      <w:r>
        <w:rPr>
          <w:rFonts w:hint="eastAsia" w:ascii="仿宋" w:hAnsi="仿宋" w:eastAsia="仿宋" w:cs="仿宋"/>
          <w:spacing w:val="8"/>
          <w:sz w:val="32"/>
          <w:szCs w:val="32"/>
        </w:rPr>
        <w:t>民政府</w:t>
      </w:r>
      <w:r>
        <w:rPr>
          <w:rFonts w:hint="eastAsia" w:ascii="仿宋" w:hAnsi="仿宋" w:eastAsia="仿宋" w:cs="仿宋"/>
          <w:spacing w:val="8"/>
          <w:sz w:val="32"/>
          <w:szCs w:val="32"/>
          <w:lang w:val="en-US" w:eastAsia="zh-CN"/>
        </w:rPr>
        <w:t>2025</w:t>
      </w:r>
      <w:r>
        <w:rPr>
          <w:rFonts w:hint="eastAsia" w:ascii="仿宋" w:hAnsi="仿宋" w:eastAsia="仿宋" w:cs="仿宋"/>
          <w:spacing w:val="8"/>
          <w:sz w:val="32"/>
          <w:szCs w:val="32"/>
        </w:rPr>
        <w:t>年</w:t>
      </w:r>
      <w:r>
        <w:rPr>
          <w:rFonts w:hint="eastAsia" w:ascii="仿宋" w:hAnsi="仿宋" w:eastAsia="仿宋" w:cs="仿宋"/>
          <w:spacing w:val="1"/>
          <w:sz w:val="32"/>
          <w:szCs w:val="32"/>
        </w:rPr>
        <w:t>度财政拨款收、支总预</w:t>
      </w:r>
      <w:r>
        <w:rPr>
          <w:rFonts w:hint="eastAsia" w:ascii="仿宋" w:hAnsi="仿宋" w:eastAsia="仿宋" w:cs="仿宋"/>
          <w:spacing w:val="1"/>
          <w:sz w:val="32"/>
          <w:szCs w:val="32"/>
          <w:lang w:val="en-US" w:eastAsia="zh-CN"/>
        </w:rPr>
        <w:t>算</w:t>
      </w:r>
      <w:r>
        <w:rPr>
          <w:rFonts w:hint="eastAsia" w:ascii="仿宋" w:hAnsi="仿宋" w:eastAsia="仿宋" w:cs="仿宋"/>
          <w:spacing w:val="1"/>
          <w:sz w:val="32"/>
          <w:szCs w:val="32"/>
          <w:u w:val="single"/>
          <w:lang w:val="en-US" w:eastAsia="zh-CN"/>
        </w:rPr>
        <w:t>2279.42</w:t>
      </w:r>
      <w:r>
        <w:rPr>
          <w:rFonts w:hint="eastAsia" w:ascii="仿宋" w:hAnsi="仿宋" w:eastAsia="仿宋" w:cs="仿宋"/>
          <w:spacing w:val="1"/>
          <w:sz w:val="32"/>
          <w:szCs w:val="32"/>
        </w:rPr>
        <w:t>万元。与</w:t>
      </w:r>
      <w:r>
        <w:rPr>
          <w:rFonts w:hint="eastAsia" w:ascii="仿宋" w:hAnsi="仿宋" w:eastAsia="仿宋" w:cs="仿宋"/>
          <w:sz w:val="32"/>
          <w:szCs w:val="32"/>
        </w:rPr>
        <w:t>上年相比</w:t>
      </w:r>
      <w:r>
        <w:rPr>
          <w:rFonts w:hint="eastAsia" w:ascii="仿宋" w:hAnsi="仿宋" w:eastAsia="仿宋" w:cs="仿宋"/>
          <w:sz w:val="32"/>
          <w:szCs w:val="32"/>
          <w:lang w:eastAsia="zh-CN"/>
        </w:rPr>
        <w:t>，</w:t>
      </w:r>
      <w:r>
        <w:rPr>
          <w:rFonts w:hint="eastAsia" w:ascii="仿宋" w:hAnsi="仿宋" w:eastAsia="仿宋" w:cs="仿宋"/>
          <w:sz w:val="32"/>
          <w:szCs w:val="32"/>
        </w:rPr>
        <w:t>财政拨款</w:t>
      </w:r>
      <w:r>
        <w:rPr>
          <w:rFonts w:hint="eastAsia" w:ascii="仿宋" w:hAnsi="仿宋" w:eastAsia="仿宋" w:cs="仿宋"/>
          <w:spacing w:val="3"/>
          <w:sz w:val="32"/>
          <w:szCs w:val="32"/>
        </w:rPr>
        <w:t>收</w:t>
      </w:r>
      <w:r>
        <w:rPr>
          <w:rFonts w:hint="eastAsia" w:ascii="仿宋" w:hAnsi="仿宋" w:eastAsia="仿宋" w:cs="仿宋"/>
          <w:spacing w:val="3"/>
          <w:sz w:val="32"/>
          <w:szCs w:val="32"/>
          <w:lang w:eastAsia="zh-CN"/>
        </w:rPr>
        <w:t>、</w:t>
      </w:r>
      <w:r>
        <w:rPr>
          <w:rFonts w:hint="eastAsia" w:ascii="仿宋" w:hAnsi="仿宋" w:eastAsia="仿宋" w:cs="仿宋"/>
          <w:spacing w:val="3"/>
          <w:sz w:val="32"/>
          <w:szCs w:val="32"/>
        </w:rPr>
        <w:t>支总计各</w:t>
      </w:r>
      <w:r>
        <w:rPr>
          <w:rFonts w:hint="eastAsia" w:ascii="仿宋" w:hAnsi="仿宋" w:eastAsia="仿宋" w:cs="仿宋"/>
          <w:spacing w:val="3"/>
          <w:sz w:val="32"/>
          <w:szCs w:val="32"/>
          <w:lang w:val="en-US" w:eastAsia="zh-CN"/>
        </w:rPr>
        <w:t>增加124.51</w:t>
      </w:r>
      <w:r>
        <w:rPr>
          <w:rFonts w:hint="eastAsia" w:ascii="仿宋" w:hAnsi="仿宋" w:eastAsia="仿宋" w:cs="仿宋"/>
          <w:spacing w:val="3"/>
          <w:sz w:val="32"/>
          <w:szCs w:val="32"/>
        </w:rPr>
        <w:t>万元，</w:t>
      </w:r>
      <w:r>
        <w:rPr>
          <w:rFonts w:hint="eastAsia" w:ascii="仿宋" w:hAnsi="仿宋" w:eastAsia="仿宋" w:cs="仿宋"/>
          <w:spacing w:val="3"/>
          <w:sz w:val="32"/>
          <w:szCs w:val="32"/>
          <w:lang w:val="en-US" w:eastAsia="zh-CN"/>
        </w:rPr>
        <w:t>增长</w:t>
      </w:r>
      <w:r>
        <w:rPr>
          <w:rFonts w:hint="eastAsia" w:ascii="仿宋" w:hAnsi="仿宋" w:eastAsia="仿宋" w:cs="仿宋"/>
          <w:spacing w:val="3"/>
          <w:sz w:val="32"/>
          <w:szCs w:val="32"/>
          <w:u w:val="single"/>
          <w:lang w:val="en-US" w:eastAsia="zh-CN"/>
        </w:rPr>
        <w:t>5.78%</w:t>
      </w:r>
      <w:r>
        <w:rPr>
          <w:rFonts w:hint="eastAsia" w:ascii="仿宋" w:hAnsi="仿宋" w:eastAsia="仿宋" w:cs="仿宋"/>
          <w:spacing w:val="3"/>
          <w:sz w:val="32"/>
          <w:szCs w:val="32"/>
        </w:rPr>
        <w:t>。主要原因</w:t>
      </w:r>
      <w:r>
        <w:rPr>
          <w:rFonts w:hint="eastAsia" w:ascii="仿宋" w:hAnsi="仿宋" w:eastAsia="仿宋" w:cs="仿宋"/>
          <w:spacing w:val="7"/>
          <w:sz w:val="32"/>
          <w:szCs w:val="32"/>
        </w:rPr>
        <w:t>是本年财政拨款收</w:t>
      </w:r>
      <w:r>
        <w:rPr>
          <w:rFonts w:hint="eastAsia" w:ascii="仿宋" w:hAnsi="仿宋" w:eastAsia="仿宋" w:cs="仿宋"/>
          <w:spacing w:val="7"/>
          <w:sz w:val="32"/>
          <w:szCs w:val="32"/>
          <w:lang w:eastAsia="zh-CN"/>
        </w:rPr>
        <w:t>、</w:t>
      </w:r>
      <w:r>
        <w:rPr>
          <w:rFonts w:hint="eastAsia" w:ascii="仿宋" w:hAnsi="仿宋" w:eastAsia="仿宋" w:cs="仿宋"/>
          <w:spacing w:val="7"/>
          <w:sz w:val="32"/>
          <w:szCs w:val="32"/>
        </w:rPr>
        <w:t>支总预算</w:t>
      </w:r>
      <w:r>
        <w:rPr>
          <w:rFonts w:hint="eastAsia" w:ascii="仿宋" w:hAnsi="仿宋" w:eastAsia="仿宋" w:cs="仿宋"/>
          <w:spacing w:val="7"/>
          <w:sz w:val="32"/>
          <w:szCs w:val="32"/>
          <w:lang w:val="en-US" w:eastAsia="zh-CN"/>
        </w:rPr>
        <w:t>增加</w:t>
      </w:r>
      <w:r>
        <w:rPr>
          <w:rFonts w:hint="eastAsia" w:ascii="仿宋" w:hAnsi="仿宋" w:eastAsia="仿宋" w:cs="仿宋"/>
          <w:spacing w:val="7"/>
          <w:sz w:val="32"/>
          <w:szCs w:val="32"/>
        </w:rPr>
        <w:t>。</w:t>
      </w:r>
    </w:p>
    <w:p w14:paraId="761EE4FD">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五、一般公共预算支出预算情况说明</w:t>
      </w:r>
    </w:p>
    <w:p w14:paraId="25E0A4E0">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莫力达瓦达斡尔族自治旗巴彦鄂温克民族乡人民政府202</w:t>
      </w:r>
      <w:r>
        <w:rPr>
          <w:rFonts w:hint="eastAsia" w:ascii="仿宋" w:hAnsi="仿宋" w:eastAsia="仿宋" w:cs="仿宋"/>
          <w:spacing w:val="20"/>
          <w:sz w:val="32"/>
          <w:szCs w:val="32"/>
          <w:lang w:val="en-US" w:eastAsia="zh-CN"/>
        </w:rPr>
        <w:t>5</w:t>
      </w:r>
      <w:r>
        <w:rPr>
          <w:rFonts w:hint="eastAsia" w:ascii="仿宋" w:hAnsi="仿宋" w:eastAsia="仿宋" w:cs="仿宋"/>
          <w:spacing w:val="20"/>
          <w:sz w:val="32"/>
          <w:szCs w:val="32"/>
        </w:rPr>
        <w:t>年度一般公共预算财政拨款支出预算</w:t>
      </w:r>
      <w:r>
        <w:rPr>
          <w:rFonts w:hint="eastAsia" w:ascii="仿宋" w:hAnsi="仿宋" w:eastAsia="仿宋" w:cs="仿宋"/>
          <w:spacing w:val="20"/>
          <w:sz w:val="32"/>
          <w:szCs w:val="32"/>
          <w:u w:val="single"/>
          <w:lang w:val="en-US" w:eastAsia="zh-CN"/>
        </w:rPr>
        <w:t>2279.42</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与上年相比</w:t>
      </w:r>
      <w:r>
        <w:rPr>
          <w:rFonts w:hint="eastAsia" w:ascii="仿宋" w:hAnsi="仿宋" w:eastAsia="仿宋" w:cs="仿宋"/>
          <w:spacing w:val="20"/>
          <w:sz w:val="32"/>
          <w:szCs w:val="32"/>
          <w:lang w:val="en-US" w:eastAsia="zh-CN"/>
        </w:rPr>
        <w:t>增加</w:t>
      </w:r>
      <w:r>
        <w:rPr>
          <w:rFonts w:hint="eastAsia" w:ascii="仿宋" w:hAnsi="仿宋" w:eastAsia="仿宋" w:cs="仿宋"/>
          <w:spacing w:val="20"/>
          <w:sz w:val="32"/>
          <w:szCs w:val="32"/>
          <w:u w:val="single"/>
          <w:lang w:val="en-US" w:eastAsia="zh-CN"/>
        </w:rPr>
        <w:t>124.51</w:t>
      </w:r>
      <w:r>
        <w:rPr>
          <w:rFonts w:hint="eastAsia" w:ascii="仿宋" w:hAnsi="仿宋" w:eastAsia="仿宋" w:cs="仿宋"/>
          <w:spacing w:val="20"/>
          <w:sz w:val="32"/>
          <w:szCs w:val="32"/>
        </w:rPr>
        <w:t>万元，</w:t>
      </w:r>
      <w:r>
        <w:rPr>
          <w:rFonts w:hint="eastAsia" w:ascii="仿宋" w:hAnsi="仿宋" w:eastAsia="仿宋" w:cs="仿宋"/>
          <w:spacing w:val="20"/>
          <w:sz w:val="32"/>
          <w:szCs w:val="32"/>
          <w:lang w:val="en-US" w:eastAsia="zh-CN"/>
        </w:rPr>
        <w:t>增长</w:t>
      </w:r>
      <w:r>
        <w:rPr>
          <w:rFonts w:hint="eastAsia" w:ascii="仿宋" w:hAnsi="仿宋" w:eastAsia="仿宋" w:cs="仿宋"/>
          <w:spacing w:val="20"/>
          <w:sz w:val="32"/>
          <w:szCs w:val="32"/>
          <w:u w:val="single"/>
          <w:lang w:val="en-US" w:eastAsia="zh-CN"/>
        </w:rPr>
        <w:t>5.78%</w:t>
      </w:r>
      <w:r>
        <w:rPr>
          <w:rFonts w:hint="eastAsia" w:ascii="仿宋" w:hAnsi="仿宋" w:eastAsia="仿宋" w:cs="仿宋"/>
          <w:spacing w:val="20"/>
          <w:sz w:val="32"/>
          <w:szCs w:val="32"/>
        </w:rPr>
        <w:t>。具体情况如下</w:t>
      </w:r>
      <w:r>
        <w:rPr>
          <w:rFonts w:hint="eastAsia" w:ascii="仿宋" w:hAnsi="仿宋" w:eastAsia="仿宋" w:cs="仿宋"/>
          <w:spacing w:val="20"/>
          <w:sz w:val="32"/>
          <w:szCs w:val="32"/>
          <w:lang w:eastAsia="zh-CN"/>
        </w:rPr>
        <w:t>：</w:t>
      </w:r>
    </w:p>
    <w:p w14:paraId="3F9E48A2">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640" w:firstLineChars="200"/>
        <w:jc w:val="left"/>
        <w:textAlignment w:val="baseline"/>
        <w:rPr>
          <w:rFonts w:ascii="楷体" w:hAnsi="楷体" w:eastAsia="楷体" w:cs="楷体"/>
          <w:sz w:val="31"/>
          <w:szCs w:val="31"/>
        </w:rPr>
        <w:sectPr>
          <w:footerReference r:id="rId10" w:type="default"/>
          <w:pgSz w:w="11912" w:h="16841"/>
          <w:pgMar w:top="1984" w:right="1701" w:bottom="1984" w:left="1701" w:header="907" w:footer="992" w:gutter="0"/>
          <w:pgNumType w:fmt="numberInDash"/>
          <w:cols w:space="720" w:num="1"/>
        </w:sectPr>
      </w:pPr>
      <w:r>
        <w:rPr>
          <w:rFonts w:hint="eastAsia" w:ascii="黑体" w:hAnsi="黑体" w:eastAsia="黑体" w:cs="黑体"/>
          <w:spacing w:val="0"/>
          <w:position w:val="0"/>
          <w:sz w:val="32"/>
          <w:szCs w:val="32"/>
          <w:lang w:val="en-US" w:eastAsia="zh-CN"/>
        </w:rPr>
        <w:t>（一）一般公共服务（类）</w:t>
      </w:r>
    </w:p>
    <w:p w14:paraId="5DE4070F">
      <w:pPr>
        <w:pStyle w:val="2"/>
        <w:spacing w:line="252" w:lineRule="auto"/>
      </w:pPr>
    </w:p>
    <w:p w14:paraId="6CDAFFFE">
      <w:pPr>
        <w:keepNext w:val="0"/>
        <w:keepLines w:val="0"/>
        <w:pageBreakBefore w:val="0"/>
        <w:widowControl/>
        <w:kinsoku w:val="0"/>
        <w:wordWrap/>
        <w:overflowPunct/>
        <w:topLinePunct w:val="0"/>
        <w:autoSpaceDE w:val="0"/>
        <w:autoSpaceDN w:val="0"/>
        <w:bidi w:val="0"/>
        <w:adjustRightInd w:val="0"/>
        <w:snapToGrid w:val="0"/>
        <w:spacing w:line="580" w:lineRule="exact"/>
        <w:ind w:firstLine="732" w:firstLineChars="200"/>
        <w:jc w:val="both"/>
        <w:textAlignment w:val="baseline"/>
        <w:rPr>
          <w:rFonts w:hint="eastAsia" w:ascii="仿宋" w:hAnsi="仿宋" w:eastAsia="仿宋" w:cs="仿宋"/>
          <w:spacing w:val="23"/>
          <w:sz w:val="32"/>
          <w:szCs w:val="32"/>
        </w:rPr>
      </w:pPr>
      <w:r>
        <w:rPr>
          <w:rFonts w:hint="eastAsia" w:ascii="仿宋" w:hAnsi="仿宋" w:eastAsia="仿宋" w:cs="仿宋"/>
          <w:spacing w:val="23"/>
          <w:sz w:val="32"/>
          <w:szCs w:val="32"/>
        </w:rPr>
        <w:t>一般公共服务类年初预算数为</w:t>
      </w:r>
      <w:r>
        <w:rPr>
          <w:rFonts w:hint="eastAsia" w:ascii="仿宋" w:hAnsi="仿宋" w:eastAsia="仿宋" w:cs="仿宋"/>
          <w:spacing w:val="23"/>
          <w:sz w:val="32"/>
          <w:szCs w:val="32"/>
          <w:u w:val="single"/>
          <w:lang w:val="en-US" w:eastAsia="zh-CN"/>
        </w:rPr>
        <w:t>958.35</w:t>
      </w:r>
      <w:r>
        <w:rPr>
          <w:rFonts w:hint="eastAsia" w:ascii="仿宋" w:hAnsi="仿宋" w:eastAsia="仿宋" w:cs="仿宋"/>
          <w:spacing w:val="23"/>
          <w:sz w:val="32"/>
          <w:szCs w:val="32"/>
        </w:rPr>
        <w:t>万元，与上年相比</w:t>
      </w:r>
      <w:r>
        <w:rPr>
          <w:rFonts w:hint="eastAsia" w:ascii="仿宋" w:hAnsi="仿宋" w:eastAsia="仿宋" w:cs="仿宋"/>
          <w:spacing w:val="23"/>
          <w:sz w:val="32"/>
          <w:szCs w:val="32"/>
          <w:lang w:val="en-US" w:eastAsia="zh-CN"/>
        </w:rPr>
        <w:t>减少</w:t>
      </w:r>
      <w:r>
        <w:rPr>
          <w:rFonts w:hint="eastAsia" w:ascii="仿宋" w:hAnsi="仿宋" w:eastAsia="仿宋" w:cs="仿宋"/>
          <w:spacing w:val="23"/>
          <w:sz w:val="32"/>
          <w:szCs w:val="32"/>
          <w:u w:val="single"/>
          <w:lang w:val="en-US" w:eastAsia="zh-CN"/>
        </w:rPr>
        <w:t>12.51</w:t>
      </w:r>
      <w:r>
        <w:rPr>
          <w:rFonts w:hint="eastAsia" w:ascii="仿宋" w:hAnsi="仿宋" w:eastAsia="仿宋" w:cs="仿宋"/>
          <w:spacing w:val="23"/>
          <w:sz w:val="32"/>
          <w:szCs w:val="32"/>
        </w:rPr>
        <w:t>万元。其中：</w:t>
      </w:r>
    </w:p>
    <w:p w14:paraId="3A50BA74">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3"/>
          <w:sz w:val="32"/>
          <w:szCs w:val="32"/>
        </w:rPr>
      </w:pPr>
      <w:r>
        <w:rPr>
          <w:rFonts w:hint="eastAsia" w:ascii="仿宋" w:hAnsi="仿宋" w:eastAsia="仿宋" w:cs="仿宋"/>
          <w:spacing w:val="20"/>
          <w:sz w:val="32"/>
          <w:szCs w:val="32"/>
          <w:lang w:val="en-US" w:eastAsia="zh-CN"/>
        </w:rPr>
        <w:t>1.</w:t>
      </w:r>
      <w:r>
        <w:rPr>
          <w:rFonts w:hint="eastAsia" w:ascii="仿宋" w:hAnsi="仿宋" w:eastAsia="仿宋" w:cs="仿宋"/>
          <w:spacing w:val="20"/>
          <w:sz w:val="32"/>
          <w:szCs w:val="32"/>
        </w:rPr>
        <w:t xml:space="preserve"> </w:t>
      </w:r>
      <w:r>
        <w:rPr>
          <w:rFonts w:hint="eastAsia" w:ascii="仿宋" w:hAnsi="仿宋" w:eastAsia="仿宋" w:cs="仿宋"/>
          <w:spacing w:val="23"/>
          <w:sz w:val="32"/>
          <w:szCs w:val="32"/>
        </w:rPr>
        <w:t>人大事务（款）行政运行（项</w:t>
      </w:r>
      <w:r>
        <w:rPr>
          <w:rFonts w:hint="eastAsia" w:ascii="仿宋" w:hAnsi="仿宋" w:eastAsia="仿宋" w:cs="仿宋"/>
          <w:spacing w:val="23"/>
          <w:sz w:val="32"/>
          <w:szCs w:val="32"/>
          <w:lang w:val="en-US" w:eastAsia="zh-CN"/>
        </w:rPr>
        <w:t>)。</w:t>
      </w:r>
      <w:r>
        <w:rPr>
          <w:rFonts w:hint="eastAsia" w:ascii="仿宋" w:hAnsi="仿宋" w:eastAsia="仿宋" w:cs="仿宋"/>
          <w:spacing w:val="23"/>
          <w:sz w:val="32"/>
          <w:szCs w:val="32"/>
        </w:rPr>
        <w:t>年初预</w:t>
      </w:r>
      <w:r>
        <w:rPr>
          <w:rFonts w:hint="eastAsia" w:ascii="仿宋" w:hAnsi="仿宋" w:eastAsia="仿宋" w:cs="仿宋"/>
          <w:spacing w:val="23"/>
          <w:sz w:val="32"/>
          <w:szCs w:val="32"/>
          <w:lang w:val="en-US" w:eastAsia="zh-CN"/>
        </w:rPr>
        <w:t>算</w:t>
      </w:r>
      <w:r>
        <w:rPr>
          <w:rFonts w:hint="eastAsia" w:ascii="仿宋" w:hAnsi="仿宋" w:eastAsia="仿宋" w:cs="仿宋"/>
          <w:spacing w:val="23"/>
          <w:sz w:val="32"/>
          <w:szCs w:val="32"/>
          <w:u w:val="single"/>
          <w:lang w:val="en-US" w:eastAsia="zh-CN"/>
        </w:rPr>
        <w:t>5</w:t>
      </w:r>
      <w:r>
        <w:rPr>
          <w:rFonts w:hint="eastAsia" w:ascii="仿宋" w:hAnsi="仿宋" w:eastAsia="仿宋" w:cs="仿宋"/>
          <w:spacing w:val="23"/>
          <w:sz w:val="32"/>
          <w:szCs w:val="32"/>
          <w:lang w:val="en-US" w:eastAsia="zh-CN"/>
        </w:rPr>
        <w:t>万</w:t>
      </w:r>
      <w:r>
        <w:rPr>
          <w:rFonts w:hint="eastAsia" w:ascii="仿宋" w:hAnsi="仿宋" w:eastAsia="仿宋" w:cs="仿宋"/>
          <w:spacing w:val="23"/>
          <w:sz w:val="32"/>
          <w:szCs w:val="32"/>
        </w:rPr>
        <w:t>元</w:t>
      </w:r>
      <w:r>
        <w:rPr>
          <w:rFonts w:hint="eastAsia" w:ascii="仿宋" w:hAnsi="仿宋" w:eastAsia="仿宋" w:cs="仿宋"/>
          <w:spacing w:val="23"/>
          <w:sz w:val="32"/>
          <w:szCs w:val="32"/>
          <w:lang w:eastAsia="zh-CN"/>
        </w:rPr>
        <w:t>，</w:t>
      </w:r>
      <w:r>
        <w:rPr>
          <w:rFonts w:hint="eastAsia" w:ascii="仿宋" w:hAnsi="仿宋" w:eastAsia="仿宋" w:cs="仿宋"/>
          <w:spacing w:val="23"/>
          <w:sz w:val="32"/>
          <w:szCs w:val="32"/>
        </w:rPr>
        <w:t>与上年相比增加（减少</w:t>
      </w:r>
      <w:r>
        <w:rPr>
          <w:rFonts w:hint="eastAsia" w:ascii="仿宋" w:hAnsi="仿宋" w:eastAsia="仿宋" w:cs="仿宋"/>
          <w:spacing w:val="23"/>
          <w:sz w:val="32"/>
          <w:szCs w:val="32"/>
          <w:lang w:val="en-US" w:eastAsia="zh-CN"/>
        </w:rPr>
        <w:t>)</w:t>
      </w:r>
      <w:r>
        <w:rPr>
          <w:rFonts w:hint="eastAsia" w:ascii="仿宋" w:hAnsi="仿宋" w:eastAsia="仿宋" w:cs="仿宋"/>
          <w:spacing w:val="23"/>
          <w:sz w:val="32"/>
          <w:szCs w:val="32"/>
          <w:u w:val="single"/>
          <w:lang w:val="en-US" w:eastAsia="zh-CN"/>
        </w:rPr>
        <w:t>0</w:t>
      </w:r>
      <w:r>
        <w:rPr>
          <w:rFonts w:hint="eastAsia" w:ascii="仿宋" w:hAnsi="仿宋" w:eastAsia="仿宋" w:cs="仿宋"/>
          <w:spacing w:val="23"/>
          <w:sz w:val="32"/>
          <w:szCs w:val="32"/>
        </w:rPr>
        <w:t>万元，增长（减少）</w:t>
      </w:r>
      <w:r>
        <w:rPr>
          <w:rFonts w:hint="eastAsia" w:ascii="仿宋" w:hAnsi="仿宋" w:eastAsia="仿宋" w:cs="仿宋"/>
          <w:spacing w:val="23"/>
          <w:sz w:val="32"/>
          <w:szCs w:val="32"/>
          <w:u w:val="single"/>
          <w:lang w:val="en-US" w:eastAsia="zh-CN"/>
        </w:rPr>
        <w:t>0%</w:t>
      </w:r>
      <w:r>
        <w:rPr>
          <w:rFonts w:hint="eastAsia" w:ascii="仿宋" w:hAnsi="仿宋" w:eastAsia="仿宋" w:cs="仿宋"/>
          <w:spacing w:val="23"/>
          <w:sz w:val="32"/>
          <w:szCs w:val="32"/>
        </w:rPr>
        <w:t>。变动原因：本年人大事务（款）行政运行（项）</w:t>
      </w:r>
      <w:r>
        <w:rPr>
          <w:rFonts w:hint="eastAsia" w:ascii="仿宋" w:hAnsi="仿宋" w:eastAsia="仿宋" w:cs="仿宋"/>
          <w:spacing w:val="23"/>
          <w:sz w:val="32"/>
          <w:szCs w:val="32"/>
          <w:lang w:val="en-US" w:eastAsia="zh-CN"/>
        </w:rPr>
        <w:t>年初</w:t>
      </w:r>
      <w:r>
        <w:rPr>
          <w:rFonts w:hint="eastAsia" w:ascii="仿宋" w:hAnsi="仿宋" w:eastAsia="仿宋" w:cs="仿宋"/>
          <w:spacing w:val="23"/>
          <w:sz w:val="32"/>
          <w:szCs w:val="32"/>
        </w:rPr>
        <w:t>预算与上年相同。</w:t>
      </w:r>
    </w:p>
    <w:p w14:paraId="53D27E6A">
      <w:pPr>
        <w:keepNext w:val="0"/>
        <w:keepLines w:val="0"/>
        <w:pageBreakBefore w:val="0"/>
        <w:widowControl/>
        <w:kinsoku w:val="0"/>
        <w:wordWrap/>
        <w:overflowPunct/>
        <w:topLinePunct w:val="0"/>
        <w:autoSpaceDE w:val="0"/>
        <w:autoSpaceDN w:val="0"/>
        <w:bidi w:val="0"/>
        <w:adjustRightInd w:val="0"/>
        <w:snapToGrid w:val="0"/>
        <w:spacing w:before="40" w:line="580" w:lineRule="exact"/>
        <w:ind w:righ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2.政府办公厅(室)及相关机构事务（款）行政运行（项）</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年初预算</w:t>
      </w:r>
      <w:r>
        <w:rPr>
          <w:rFonts w:hint="eastAsia" w:ascii="仿宋" w:hAnsi="仿宋" w:eastAsia="仿宋" w:cs="仿宋"/>
          <w:spacing w:val="20"/>
          <w:sz w:val="32"/>
          <w:szCs w:val="32"/>
          <w:u w:val="single"/>
          <w:lang w:val="en-US" w:eastAsia="zh-CN"/>
        </w:rPr>
        <w:t>422.73</w:t>
      </w:r>
      <w:r>
        <w:rPr>
          <w:rFonts w:hint="eastAsia" w:ascii="仿宋" w:hAnsi="仿宋" w:eastAsia="仿宋" w:cs="仿宋"/>
          <w:spacing w:val="20"/>
          <w:sz w:val="32"/>
          <w:szCs w:val="32"/>
        </w:rPr>
        <w:t>万元，与上年相比</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u w:val="single"/>
          <w:lang w:val="en-US" w:eastAsia="zh-CN"/>
        </w:rPr>
        <w:t>377.19</w:t>
      </w:r>
      <w:r>
        <w:rPr>
          <w:rFonts w:hint="eastAsia" w:ascii="仿宋" w:hAnsi="仿宋" w:eastAsia="仿宋" w:cs="仿宋"/>
          <w:spacing w:val="20"/>
          <w:sz w:val="32"/>
          <w:szCs w:val="32"/>
        </w:rPr>
        <w:t>万元，</w:t>
      </w:r>
      <w:r>
        <w:rPr>
          <w:rFonts w:hint="eastAsia" w:ascii="仿宋" w:hAnsi="仿宋" w:eastAsia="仿宋" w:cs="仿宋"/>
          <w:spacing w:val="20"/>
          <w:sz w:val="32"/>
          <w:szCs w:val="32"/>
          <w:lang w:val="en-US" w:eastAsia="zh-CN"/>
        </w:rPr>
        <w:t>下降</w:t>
      </w:r>
      <w:r>
        <w:rPr>
          <w:rFonts w:hint="eastAsia" w:ascii="仿宋" w:hAnsi="仿宋" w:eastAsia="仿宋" w:cs="仿宋"/>
          <w:spacing w:val="20"/>
          <w:sz w:val="32"/>
          <w:szCs w:val="32"/>
          <w:u w:val="single" w:color="auto"/>
          <w:lang w:val="en-US" w:eastAsia="zh-CN"/>
        </w:rPr>
        <w:t>47.15%</w:t>
      </w:r>
      <w:r>
        <w:rPr>
          <w:rFonts w:hint="eastAsia" w:ascii="仿宋" w:hAnsi="仿宋" w:eastAsia="仿宋" w:cs="仿宋"/>
          <w:spacing w:val="20"/>
          <w:sz w:val="32"/>
          <w:szCs w:val="32"/>
        </w:rPr>
        <w:t>。变动原因：本年政府办公厅(室)及相关机构事务（款）行政运行（项）预算</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rPr>
        <w:t>。</w:t>
      </w:r>
    </w:p>
    <w:p w14:paraId="6DBB9B75">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32" w:firstLineChars="200"/>
        <w:jc w:val="both"/>
        <w:textAlignment w:val="baseline"/>
        <w:rPr>
          <w:rFonts w:hint="eastAsia" w:ascii="仿宋" w:hAnsi="仿宋" w:eastAsia="仿宋" w:cs="仿宋"/>
          <w:spacing w:val="23"/>
          <w:sz w:val="32"/>
          <w:szCs w:val="32"/>
        </w:rPr>
      </w:pPr>
      <w:r>
        <w:rPr>
          <w:rFonts w:hint="eastAsia" w:ascii="仿宋" w:hAnsi="仿宋" w:eastAsia="仿宋" w:cs="仿宋"/>
          <w:spacing w:val="23"/>
          <w:sz w:val="32"/>
          <w:szCs w:val="32"/>
        </w:rPr>
        <w:t>3.政府办公厅(室)及相关机构事务（款）一般行政管理事务（项）</w:t>
      </w:r>
      <w:r>
        <w:rPr>
          <w:rFonts w:hint="eastAsia" w:ascii="仿宋" w:hAnsi="仿宋" w:eastAsia="仿宋" w:cs="仿宋"/>
          <w:spacing w:val="23"/>
          <w:sz w:val="32"/>
          <w:szCs w:val="32"/>
          <w:lang w:eastAsia="zh-CN"/>
        </w:rPr>
        <w:t>。</w:t>
      </w:r>
      <w:r>
        <w:rPr>
          <w:rFonts w:hint="eastAsia" w:ascii="仿宋" w:hAnsi="仿宋" w:eastAsia="仿宋" w:cs="仿宋"/>
          <w:spacing w:val="23"/>
          <w:sz w:val="32"/>
          <w:szCs w:val="32"/>
        </w:rPr>
        <w:t>年初预算</w:t>
      </w:r>
      <w:r>
        <w:rPr>
          <w:rFonts w:hint="eastAsia" w:ascii="仿宋" w:hAnsi="仿宋" w:eastAsia="仿宋" w:cs="仿宋"/>
          <w:spacing w:val="23"/>
          <w:sz w:val="32"/>
          <w:szCs w:val="32"/>
          <w:u w:val="single"/>
          <w:lang w:val="en-US" w:eastAsia="zh-CN"/>
        </w:rPr>
        <w:t>366.61</w:t>
      </w:r>
      <w:r>
        <w:rPr>
          <w:rFonts w:hint="eastAsia" w:ascii="仿宋" w:hAnsi="仿宋" w:eastAsia="仿宋" w:cs="仿宋"/>
          <w:spacing w:val="23"/>
          <w:sz w:val="32"/>
          <w:szCs w:val="32"/>
        </w:rPr>
        <w:t>万元，与上年相比</w:t>
      </w:r>
      <w:r>
        <w:rPr>
          <w:rFonts w:hint="eastAsia" w:ascii="仿宋" w:hAnsi="仿宋" w:eastAsia="仿宋" w:cs="仿宋"/>
          <w:spacing w:val="23"/>
          <w:sz w:val="32"/>
          <w:szCs w:val="32"/>
          <w:lang w:val="en-US" w:eastAsia="zh-CN"/>
        </w:rPr>
        <w:t>增加</w:t>
      </w:r>
      <w:r>
        <w:rPr>
          <w:rFonts w:hint="eastAsia" w:ascii="仿宋" w:hAnsi="仿宋" w:eastAsia="仿宋" w:cs="仿宋"/>
          <w:spacing w:val="23"/>
          <w:sz w:val="32"/>
          <w:szCs w:val="32"/>
          <w:u w:val="single"/>
          <w:lang w:val="en-US" w:eastAsia="zh-CN"/>
        </w:rPr>
        <w:t>366.61</w:t>
      </w:r>
      <w:r>
        <w:rPr>
          <w:rFonts w:hint="eastAsia" w:ascii="仿宋" w:hAnsi="仿宋" w:eastAsia="仿宋" w:cs="仿宋"/>
          <w:spacing w:val="23"/>
          <w:sz w:val="32"/>
          <w:szCs w:val="32"/>
        </w:rPr>
        <w:t>万元</w:t>
      </w:r>
      <w:r>
        <w:rPr>
          <w:rFonts w:hint="eastAsia" w:ascii="仿宋" w:hAnsi="仿宋" w:eastAsia="仿宋" w:cs="仿宋"/>
          <w:spacing w:val="23"/>
          <w:sz w:val="32"/>
          <w:szCs w:val="32"/>
          <w:lang w:eastAsia="zh-CN"/>
        </w:rPr>
        <w:t>，</w:t>
      </w:r>
      <w:r>
        <w:rPr>
          <w:rFonts w:hint="eastAsia" w:ascii="仿宋" w:hAnsi="仿宋" w:eastAsia="仿宋" w:cs="仿宋"/>
          <w:spacing w:val="23"/>
          <w:sz w:val="32"/>
          <w:szCs w:val="32"/>
        </w:rPr>
        <w:t>增长</w:t>
      </w:r>
      <w:r>
        <w:rPr>
          <w:rFonts w:hint="eastAsia" w:ascii="仿宋" w:hAnsi="仿宋" w:eastAsia="仿宋" w:cs="仿宋"/>
          <w:spacing w:val="23"/>
          <w:sz w:val="32"/>
          <w:szCs w:val="32"/>
          <w:u w:val="single"/>
          <w:lang w:val="en-US" w:eastAsia="zh-CN"/>
        </w:rPr>
        <w:t>100%</w:t>
      </w:r>
      <w:r>
        <w:rPr>
          <w:rFonts w:hint="eastAsia" w:ascii="仿宋" w:hAnsi="仿宋" w:eastAsia="仿宋" w:cs="仿宋"/>
          <w:spacing w:val="23"/>
          <w:sz w:val="32"/>
          <w:szCs w:val="32"/>
        </w:rPr>
        <w:t>。变动原因</w:t>
      </w:r>
      <w:r>
        <w:rPr>
          <w:rFonts w:hint="eastAsia" w:ascii="仿宋" w:hAnsi="仿宋" w:eastAsia="仿宋" w:cs="仿宋"/>
          <w:spacing w:val="23"/>
          <w:sz w:val="32"/>
          <w:szCs w:val="32"/>
          <w:lang w:eastAsia="zh-CN"/>
        </w:rPr>
        <w:t>：</w:t>
      </w:r>
      <w:r>
        <w:rPr>
          <w:rFonts w:hint="eastAsia" w:ascii="仿宋" w:hAnsi="仿宋" w:eastAsia="仿宋" w:cs="仿宋"/>
          <w:spacing w:val="23"/>
          <w:sz w:val="32"/>
          <w:szCs w:val="32"/>
          <w:lang w:val="en-US" w:eastAsia="zh-CN"/>
        </w:rPr>
        <w:t>本年度新增</w:t>
      </w:r>
      <w:r>
        <w:rPr>
          <w:rFonts w:hint="eastAsia" w:ascii="仿宋" w:hAnsi="仿宋" w:eastAsia="仿宋" w:cs="仿宋"/>
          <w:spacing w:val="23"/>
          <w:sz w:val="32"/>
          <w:szCs w:val="32"/>
        </w:rPr>
        <w:t>政府办公厅(室)及相关机构事务（款</w:t>
      </w:r>
      <w:r>
        <w:rPr>
          <w:rFonts w:hint="eastAsia" w:ascii="仿宋" w:hAnsi="仿宋" w:eastAsia="仿宋" w:cs="仿宋"/>
          <w:spacing w:val="23"/>
          <w:sz w:val="32"/>
          <w:szCs w:val="32"/>
          <w:lang w:eastAsia="zh-CN"/>
        </w:rPr>
        <w:t>）</w:t>
      </w:r>
      <w:r>
        <w:rPr>
          <w:rFonts w:hint="eastAsia" w:ascii="仿宋" w:hAnsi="仿宋" w:eastAsia="仿宋" w:cs="仿宋"/>
          <w:spacing w:val="23"/>
          <w:sz w:val="32"/>
          <w:szCs w:val="32"/>
        </w:rPr>
        <w:t>一般行政管理事务（项）预算支出。</w:t>
      </w:r>
    </w:p>
    <w:p w14:paraId="30EF8AB7">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32" w:firstLineChars="200"/>
        <w:jc w:val="both"/>
        <w:textAlignment w:val="baseline"/>
        <w:rPr>
          <w:rFonts w:hint="eastAsia" w:ascii="仿宋" w:hAnsi="仿宋" w:eastAsia="仿宋" w:cs="仿宋"/>
          <w:spacing w:val="23"/>
          <w:sz w:val="32"/>
          <w:szCs w:val="32"/>
        </w:rPr>
      </w:pPr>
      <w:r>
        <w:rPr>
          <w:rFonts w:hint="eastAsia" w:ascii="仿宋" w:hAnsi="仿宋" w:eastAsia="仿宋" w:cs="仿宋"/>
          <w:spacing w:val="23"/>
          <w:sz w:val="32"/>
          <w:szCs w:val="32"/>
          <w:lang w:val="en-US" w:eastAsia="zh-CN"/>
        </w:rPr>
        <w:t>4.</w:t>
      </w:r>
      <w:r>
        <w:rPr>
          <w:rFonts w:hint="eastAsia" w:ascii="仿宋" w:hAnsi="仿宋" w:eastAsia="仿宋" w:cs="仿宋"/>
          <w:spacing w:val="23"/>
          <w:sz w:val="32"/>
          <w:szCs w:val="32"/>
        </w:rPr>
        <w:t>政府办公厅(室)及相关机构事务（款）机关服务（项）</w:t>
      </w:r>
      <w:r>
        <w:rPr>
          <w:rFonts w:hint="eastAsia" w:ascii="仿宋" w:hAnsi="仿宋" w:eastAsia="仿宋" w:cs="仿宋"/>
          <w:spacing w:val="23"/>
          <w:sz w:val="32"/>
          <w:szCs w:val="32"/>
          <w:lang w:eastAsia="zh-CN"/>
        </w:rPr>
        <w:t>。</w:t>
      </w:r>
      <w:r>
        <w:rPr>
          <w:rFonts w:hint="eastAsia" w:ascii="仿宋" w:hAnsi="仿宋" w:eastAsia="仿宋" w:cs="仿宋"/>
          <w:spacing w:val="23"/>
          <w:sz w:val="32"/>
          <w:szCs w:val="32"/>
        </w:rPr>
        <w:t>年初预算</w:t>
      </w:r>
      <w:r>
        <w:rPr>
          <w:rFonts w:hint="eastAsia" w:ascii="仿宋" w:hAnsi="仿宋" w:eastAsia="仿宋" w:cs="仿宋"/>
          <w:spacing w:val="23"/>
          <w:sz w:val="32"/>
          <w:szCs w:val="32"/>
          <w:u w:val="single"/>
          <w:lang w:val="en-US" w:eastAsia="zh-CN"/>
        </w:rPr>
        <w:t>22.66</w:t>
      </w:r>
      <w:r>
        <w:rPr>
          <w:rFonts w:hint="eastAsia" w:ascii="仿宋" w:hAnsi="仿宋" w:eastAsia="仿宋" w:cs="仿宋"/>
          <w:spacing w:val="23"/>
          <w:sz w:val="32"/>
          <w:szCs w:val="32"/>
        </w:rPr>
        <w:t>万元，与上年相比</w:t>
      </w:r>
      <w:r>
        <w:rPr>
          <w:rFonts w:hint="eastAsia" w:ascii="仿宋" w:hAnsi="仿宋" w:eastAsia="仿宋" w:cs="仿宋"/>
          <w:spacing w:val="23"/>
          <w:sz w:val="32"/>
          <w:szCs w:val="32"/>
          <w:lang w:val="en-US" w:eastAsia="zh-CN"/>
        </w:rPr>
        <w:t>减少</w:t>
      </w:r>
      <w:r>
        <w:rPr>
          <w:rFonts w:hint="eastAsia" w:ascii="仿宋" w:hAnsi="仿宋" w:eastAsia="仿宋" w:cs="仿宋"/>
          <w:spacing w:val="23"/>
          <w:sz w:val="32"/>
          <w:szCs w:val="32"/>
          <w:u w:val="single"/>
          <w:lang w:val="en-US" w:eastAsia="zh-CN"/>
        </w:rPr>
        <w:t>5.48</w:t>
      </w:r>
      <w:r>
        <w:rPr>
          <w:rFonts w:hint="eastAsia" w:ascii="仿宋" w:hAnsi="仿宋" w:eastAsia="仿宋" w:cs="仿宋"/>
          <w:spacing w:val="23"/>
          <w:sz w:val="32"/>
          <w:szCs w:val="32"/>
        </w:rPr>
        <w:t>万元</w:t>
      </w:r>
      <w:r>
        <w:rPr>
          <w:rFonts w:hint="eastAsia" w:ascii="仿宋" w:hAnsi="仿宋" w:eastAsia="仿宋" w:cs="仿宋"/>
          <w:spacing w:val="23"/>
          <w:sz w:val="32"/>
          <w:szCs w:val="32"/>
          <w:lang w:eastAsia="zh-CN"/>
        </w:rPr>
        <w:t>，</w:t>
      </w:r>
      <w:r>
        <w:rPr>
          <w:rFonts w:hint="eastAsia" w:ascii="仿宋" w:hAnsi="仿宋" w:eastAsia="仿宋" w:cs="仿宋"/>
          <w:spacing w:val="23"/>
          <w:sz w:val="32"/>
          <w:szCs w:val="32"/>
          <w:lang w:val="en-US" w:eastAsia="zh-CN"/>
        </w:rPr>
        <w:t>下降</w:t>
      </w:r>
      <w:r>
        <w:rPr>
          <w:rFonts w:hint="eastAsia" w:ascii="仿宋" w:hAnsi="仿宋" w:eastAsia="仿宋" w:cs="仿宋"/>
          <w:spacing w:val="23"/>
          <w:sz w:val="32"/>
          <w:szCs w:val="32"/>
          <w:u w:val="single"/>
          <w:lang w:val="en-US" w:eastAsia="zh-CN"/>
        </w:rPr>
        <w:t>19.47%</w:t>
      </w:r>
      <w:r>
        <w:rPr>
          <w:rFonts w:hint="eastAsia" w:ascii="仿宋" w:hAnsi="仿宋" w:eastAsia="仿宋" w:cs="仿宋"/>
          <w:spacing w:val="23"/>
          <w:sz w:val="32"/>
          <w:szCs w:val="32"/>
        </w:rPr>
        <w:t>。变动原因：政府办公厅(室)及相关机构事务（款）机关服务（项）预算</w:t>
      </w:r>
      <w:r>
        <w:rPr>
          <w:rFonts w:hint="eastAsia" w:ascii="仿宋" w:hAnsi="仿宋" w:eastAsia="仿宋" w:cs="仿宋"/>
          <w:spacing w:val="23"/>
          <w:sz w:val="32"/>
          <w:szCs w:val="32"/>
          <w:lang w:val="en-US" w:eastAsia="zh-CN"/>
        </w:rPr>
        <w:t>减少</w:t>
      </w:r>
      <w:r>
        <w:rPr>
          <w:rFonts w:hint="eastAsia" w:ascii="仿宋" w:hAnsi="仿宋" w:eastAsia="仿宋" w:cs="仿宋"/>
          <w:spacing w:val="23"/>
          <w:sz w:val="32"/>
          <w:szCs w:val="32"/>
        </w:rPr>
        <w:t>。</w:t>
      </w:r>
    </w:p>
    <w:p w14:paraId="39272E95">
      <w:pPr>
        <w:spacing w:before="229" w:line="357" w:lineRule="auto"/>
        <w:ind w:left="1" w:right="132" w:firstLine="647"/>
        <w:rPr>
          <w:rFonts w:hint="eastAsia" w:ascii="仿宋" w:hAnsi="仿宋" w:eastAsia="仿宋" w:cs="仿宋"/>
          <w:spacing w:val="20"/>
          <w:sz w:val="32"/>
          <w:szCs w:val="32"/>
        </w:rPr>
      </w:pPr>
    </w:p>
    <w:p w14:paraId="0C5FD03C">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lang w:val="en-US" w:eastAsia="zh-CN"/>
        </w:rPr>
        <w:t>5.</w:t>
      </w:r>
      <w:r>
        <w:rPr>
          <w:rFonts w:hint="eastAsia" w:ascii="仿宋" w:hAnsi="仿宋" w:eastAsia="仿宋" w:cs="仿宋"/>
          <w:spacing w:val="20"/>
          <w:sz w:val="32"/>
          <w:szCs w:val="32"/>
        </w:rPr>
        <w:t>党委办公厅(室)及相关机构事务（款）机关服务（项）</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年初预算</w:t>
      </w:r>
      <w:r>
        <w:rPr>
          <w:rFonts w:hint="eastAsia" w:ascii="仿宋" w:hAnsi="仿宋" w:eastAsia="仿宋" w:cs="仿宋"/>
          <w:spacing w:val="20"/>
          <w:sz w:val="32"/>
          <w:szCs w:val="32"/>
          <w:u w:val="single"/>
          <w:lang w:val="en-US" w:eastAsia="zh-CN"/>
        </w:rPr>
        <w:t>141.34</w:t>
      </w:r>
      <w:r>
        <w:rPr>
          <w:rFonts w:hint="eastAsia" w:ascii="仿宋" w:hAnsi="仿宋" w:eastAsia="仿宋" w:cs="仿宋"/>
          <w:spacing w:val="20"/>
          <w:sz w:val="32"/>
          <w:szCs w:val="32"/>
        </w:rPr>
        <w:t>万元，与上年相比增加</w:t>
      </w:r>
      <w:r>
        <w:rPr>
          <w:rFonts w:hint="eastAsia" w:ascii="仿宋" w:hAnsi="仿宋" w:eastAsia="仿宋" w:cs="仿宋"/>
          <w:spacing w:val="20"/>
          <w:sz w:val="32"/>
          <w:szCs w:val="32"/>
          <w:u w:val="single"/>
          <w:lang w:val="en-US" w:eastAsia="zh-CN"/>
        </w:rPr>
        <w:t>3.54</w:t>
      </w:r>
      <w:r>
        <w:rPr>
          <w:rFonts w:hint="eastAsia" w:ascii="仿宋" w:hAnsi="仿宋" w:eastAsia="仿宋" w:cs="仿宋"/>
          <w:spacing w:val="20"/>
          <w:sz w:val="32"/>
          <w:szCs w:val="32"/>
        </w:rPr>
        <w:t>万元，增长</w:t>
      </w:r>
      <w:r>
        <w:rPr>
          <w:rFonts w:hint="eastAsia" w:ascii="仿宋" w:hAnsi="仿宋" w:eastAsia="仿宋" w:cs="仿宋"/>
          <w:spacing w:val="20"/>
          <w:sz w:val="32"/>
          <w:szCs w:val="32"/>
          <w:u w:val="single" w:color="auto"/>
          <w:lang w:val="en-US" w:eastAsia="zh-CN"/>
        </w:rPr>
        <w:t>2.57%</w:t>
      </w:r>
      <w:r>
        <w:rPr>
          <w:rFonts w:hint="eastAsia" w:ascii="仿宋" w:hAnsi="仿宋" w:eastAsia="仿宋" w:cs="仿宋"/>
          <w:spacing w:val="20"/>
          <w:sz w:val="32"/>
          <w:szCs w:val="32"/>
        </w:rPr>
        <w:t>。变动原因：本年党委办公厅(室)及相关机构事务（款）机关服务（项）预算增加。</w:t>
      </w:r>
    </w:p>
    <w:p w14:paraId="20D3D3E6">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640" w:firstLineChars="200"/>
        <w:jc w:val="left"/>
        <w:textAlignment w:val="baseline"/>
        <w:rPr>
          <w:rFonts w:hint="eastAsia" w:ascii="黑体" w:hAnsi="黑体" w:eastAsia="黑体" w:cs="黑体"/>
          <w:spacing w:val="0"/>
          <w:position w:val="0"/>
          <w:sz w:val="32"/>
          <w:szCs w:val="32"/>
          <w:lang w:val="en-US" w:eastAsia="zh-CN"/>
        </w:rPr>
      </w:pPr>
      <w:r>
        <w:rPr>
          <w:rFonts w:hint="eastAsia" w:ascii="黑体" w:hAnsi="黑体" w:eastAsia="黑体" w:cs="黑体"/>
          <w:spacing w:val="0"/>
          <w:position w:val="0"/>
          <w:sz w:val="32"/>
          <w:szCs w:val="32"/>
          <w:lang w:val="en-US" w:eastAsia="zh-CN"/>
        </w:rPr>
        <w:t>（二）社会保障和就业（类）</w:t>
      </w:r>
    </w:p>
    <w:p w14:paraId="0D8C0065">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32" w:firstLineChars="200"/>
        <w:jc w:val="both"/>
        <w:textAlignment w:val="baseline"/>
        <w:rPr>
          <w:rFonts w:hint="eastAsia" w:ascii="仿宋" w:hAnsi="仿宋" w:eastAsia="仿宋" w:cs="仿宋"/>
          <w:spacing w:val="23"/>
          <w:sz w:val="32"/>
          <w:szCs w:val="32"/>
        </w:rPr>
      </w:pPr>
      <w:r>
        <w:rPr>
          <w:rFonts w:hint="eastAsia" w:ascii="仿宋" w:hAnsi="仿宋" w:eastAsia="仿宋" w:cs="仿宋"/>
          <w:spacing w:val="23"/>
          <w:sz w:val="32"/>
          <w:szCs w:val="32"/>
        </w:rPr>
        <w:t>社会保障和就业类年初预算数为</w:t>
      </w:r>
      <w:r>
        <w:rPr>
          <w:rFonts w:hint="eastAsia" w:ascii="仿宋" w:hAnsi="仿宋" w:eastAsia="仿宋" w:cs="仿宋"/>
          <w:spacing w:val="23"/>
          <w:sz w:val="32"/>
          <w:szCs w:val="32"/>
          <w:u w:val="single"/>
          <w:lang w:val="en-US" w:eastAsia="zh-CN"/>
        </w:rPr>
        <w:t>119.91</w:t>
      </w:r>
      <w:r>
        <w:rPr>
          <w:rFonts w:hint="eastAsia" w:ascii="仿宋" w:hAnsi="仿宋" w:eastAsia="仿宋" w:cs="仿宋"/>
          <w:spacing w:val="23"/>
          <w:sz w:val="32"/>
          <w:szCs w:val="32"/>
        </w:rPr>
        <w:t>万元，与上年相比</w:t>
      </w:r>
      <w:r>
        <w:rPr>
          <w:rFonts w:hint="eastAsia" w:ascii="仿宋" w:hAnsi="仿宋" w:eastAsia="仿宋" w:cs="仿宋"/>
          <w:spacing w:val="23"/>
          <w:sz w:val="32"/>
          <w:szCs w:val="32"/>
          <w:lang w:val="en-US" w:eastAsia="zh-CN"/>
        </w:rPr>
        <w:t>减少</w:t>
      </w:r>
      <w:r>
        <w:rPr>
          <w:rFonts w:hint="eastAsia" w:ascii="仿宋" w:hAnsi="仿宋" w:eastAsia="仿宋" w:cs="仿宋"/>
          <w:spacing w:val="23"/>
          <w:sz w:val="32"/>
          <w:szCs w:val="32"/>
          <w:u w:val="single"/>
          <w:lang w:val="en-US" w:eastAsia="zh-CN"/>
        </w:rPr>
        <w:t>3.57</w:t>
      </w:r>
      <w:r>
        <w:rPr>
          <w:rFonts w:hint="eastAsia" w:ascii="仿宋" w:hAnsi="仿宋" w:eastAsia="仿宋" w:cs="仿宋"/>
          <w:spacing w:val="23"/>
          <w:sz w:val="32"/>
          <w:szCs w:val="32"/>
        </w:rPr>
        <w:t>万元。其中：</w:t>
      </w:r>
    </w:p>
    <w:p w14:paraId="3B53E5E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80" w:lineRule="exact"/>
        <w:ind w:right="0" w:rightChars="0" w:firstLine="720" w:firstLineChars="200"/>
        <w:jc w:val="both"/>
        <w:textAlignment w:val="baseline"/>
        <w:rPr>
          <w:rFonts w:hint="eastAsia" w:ascii="仿宋" w:hAnsi="仿宋" w:eastAsia="仿宋" w:cs="仿宋"/>
          <w:spacing w:val="20"/>
          <w:sz w:val="32"/>
          <w:szCs w:val="32"/>
          <w:lang w:eastAsia="zh-CN"/>
        </w:rPr>
      </w:pPr>
      <w:r>
        <w:rPr>
          <w:rFonts w:hint="eastAsia" w:ascii="仿宋" w:hAnsi="仿宋" w:eastAsia="仿宋" w:cs="仿宋"/>
          <w:spacing w:val="20"/>
          <w:sz w:val="32"/>
          <w:szCs w:val="32"/>
          <w:lang w:val="en-US" w:eastAsia="zh-CN"/>
        </w:rPr>
        <w:t>1.</w:t>
      </w:r>
      <w:r>
        <w:rPr>
          <w:rFonts w:hint="eastAsia" w:ascii="仿宋" w:hAnsi="仿宋" w:eastAsia="仿宋" w:cs="仿宋"/>
          <w:spacing w:val="20"/>
          <w:sz w:val="32"/>
          <w:szCs w:val="32"/>
        </w:rPr>
        <w:t>行政事业单位养老支出（款） 行政单位离退休（项）</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 xml:space="preserve">年初 预 算 </w:t>
      </w:r>
      <w:r>
        <w:rPr>
          <w:rFonts w:hint="eastAsia" w:ascii="仿宋" w:hAnsi="仿宋" w:eastAsia="仿宋" w:cs="仿宋"/>
          <w:spacing w:val="20"/>
          <w:sz w:val="32"/>
          <w:szCs w:val="32"/>
          <w:u w:val="single" w:color="auto"/>
          <w:lang w:val="en-US" w:eastAsia="zh-CN"/>
        </w:rPr>
        <w:t>27.33</w:t>
      </w:r>
      <w:r>
        <w:rPr>
          <w:rFonts w:hint="eastAsia" w:ascii="仿宋" w:hAnsi="仿宋" w:eastAsia="仿宋" w:cs="仿宋"/>
          <w:spacing w:val="20"/>
          <w:sz w:val="32"/>
          <w:szCs w:val="32"/>
        </w:rPr>
        <w:t xml:space="preserve"> 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 xml:space="preserve">与 上 年 相 比 增 加 </w:t>
      </w:r>
      <w:r>
        <w:rPr>
          <w:rFonts w:hint="eastAsia" w:ascii="仿宋" w:hAnsi="仿宋" w:eastAsia="仿宋" w:cs="仿宋"/>
          <w:spacing w:val="20"/>
          <w:sz w:val="32"/>
          <w:szCs w:val="32"/>
          <w:u w:val="single" w:color="auto"/>
          <w:lang w:val="en-US" w:eastAsia="zh-CN"/>
        </w:rPr>
        <w:t>1.01</w:t>
      </w:r>
      <w:r>
        <w:rPr>
          <w:rFonts w:hint="eastAsia" w:ascii="仿宋" w:hAnsi="仿宋" w:eastAsia="仿宋" w:cs="仿宋"/>
          <w:spacing w:val="20"/>
          <w:sz w:val="32"/>
          <w:szCs w:val="32"/>
        </w:rPr>
        <w:t xml:space="preserve"> 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增长</w:t>
      </w:r>
      <w:r>
        <w:rPr>
          <w:rFonts w:hint="eastAsia" w:ascii="仿宋" w:hAnsi="仿宋" w:eastAsia="仿宋" w:cs="仿宋"/>
          <w:spacing w:val="20"/>
          <w:sz w:val="32"/>
          <w:szCs w:val="32"/>
          <w:u w:val="single" w:color="auto"/>
          <w:lang w:val="en-US" w:eastAsia="zh-CN"/>
        </w:rPr>
        <w:t>3.84%</w:t>
      </w:r>
      <w:r>
        <w:rPr>
          <w:rFonts w:hint="eastAsia" w:ascii="仿宋" w:hAnsi="仿宋" w:eastAsia="仿宋" w:cs="仿宋"/>
          <w:spacing w:val="20"/>
          <w:sz w:val="32"/>
          <w:szCs w:val="32"/>
        </w:rPr>
        <w:t>。变动原因：行政单位离退休人员工资标准提高</w:t>
      </w:r>
      <w:r>
        <w:rPr>
          <w:rFonts w:hint="eastAsia" w:ascii="仿宋" w:hAnsi="仿宋" w:eastAsia="仿宋" w:cs="仿宋"/>
          <w:spacing w:val="20"/>
          <w:sz w:val="32"/>
          <w:szCs w:val="32"/>
          <w:lang w:eastAsia="zh-CN"/>
        </w:rPr>
        <w:t>。</w:t>
      </w:r>
    </w:p>
    <w:p w14:paraId="55281C9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80" w:lineRule="exact"/>
        <w:ind w:right="0" w:rightChars="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lang w:val="en-US" w:eastAsia="zh-CN"/>
        </w:rPr>
        <w:t>2.</w:t>
      </w:r>
      <w:r>
        <w:rPr>
          <w:rFonts w:hint="eastAsia" w:ascii="仿宋" w:hAnsi="仿宋" w:eastAsia="仿宋" w:cs="仿宋"/>
          <w:spacing w:val="20"/>
          <w:sz w:val="32"/>
          <w:szCs w:val="32"/>
        </w:rPr>
        <w:t>行政事业单位养老支出（款）事业单位离退休（项）。年 初 预 算</w:t>
      </w:r>
      <w:r>
        <w:rPr>
          <w:rFonts w:hint="eastAsia" w:ascii="仿宋" w:hAnsi="仿宋" w:eastAsia="仿宋" w:cs="仿宋"/>
          <w:spacing w:val="20"/>
          <w:sz w:val="32"/>
          <w:szCs w:val="32"/>
          <w:u w:val="single"/>
          <w:lang w:val="en-US" w:eastAsia="zh-CN"/>
        </w:rPr>
        <w:t>11.71</w:t>
      </w:r>
      <w:r>
        <w:rPr>
          <w:rFonts w:hint="eastAsia" w:ascii="仿宋" w:hAnsi="仿宋" w:eastAsia="仿宋" w:cs="仿宋"/>
          <w:spacing w:val="20"/>
          <w:sz w:val="32"/>
          <w:szCs w:val="32"/>
          <w:u w:val="single"/>
        </w:rPr>
        <w:t xml:space="preserve"> </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与 上 年 相 比 增 加</w:t>
      </w:r>
      <w:r>
        <w:rPr>
          <w:rFonts w:hint="eastAsia" w:ascii="仿宋" w:hAnsi="仿宋" w:eastAsia="仿宋" w:cs="仿宋"/>
          <w:spacing w:val="20"/>
          <w:sz w:val="32"/>
          <w:szCs w:val="32"/>
          <w:u w:val="single"/>
          <w:lang w:val="en-US" w:eastAsia="zh-CN"/>
        </w:rPr>
        <w:t>0.09</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 xml:space="preserve">增长 </w:t>
      </w:r>
      <w:r>
        <w:rPr>
          <w:rFonts w:hint="eastAsia" w:ascii="仿宋" w:hAnsi="仿宋" w:eastAsia="仿宋" w:cs="仿宋"/>
          <w:spacing w:val="20"/>
          <w:sz w:val="32"/>
          <w:szCs w:val="32"/>
          <w:u w:val="single" w:color="auto"/>
          <w:lang w:val="en-US" w:eastAsia="zh-CN"/>
        </w:rPr>
        <w:t>0.77%</w:t>
      </w:r>
      <w:r>
        <w:rPr>
          <w:rFonts w:hint="eastAsia" w:ascii="仿宋" w:hAnsi="仿宋" w:eastAsia="仿宋" w:cs="仿宋"/>
          <w:spacing w:val="20"/>
          <w:sz w:val="32"/>
          <w:szCs w:val="32"/>
        </w:rPr>
        <w:t>。变动原因：事业单位离退休人员工资标准提高</w:t>
      </w:r>
      <w:r>
        <w:rPr>
          <w:rFonts w:hint="eastAsia" w:ascii="仿宋" w:hAnsi="仿宋" w:eastAsia="仿宋" w:cs="仿宋"/>
          <w:spacing w:val="20"/>
          <w:sz w:val="32"/>
          <w:szCs w:val="32"/>
          <w:lang w:eastAsia="zh-CN"/>
        </w:rPr>
        <w:t>。</w:t>
      </w:r>
    </w:p>
    <w:p w14:paraId="1C4CA6BD">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20" w:firstLineChars="200"/>
        <w:jc w:val="both"/>
        <w:textAlignment w:val="baseline"/>
        <w:rPr>
          <w:rFonts w:hint="eastAsia" w:ascii="仿宋" w:hAnsi="仿宋" w:eastAsia="仿宋" w:cs="仿宋"/>
          <w:spacing w:val="20"/>
          <w:sz w:val="32"/>
          <w:szCs w:val="32"/>
          <w:lang w:eastAsia="zh-CN"/>
        </w:rPr>
      </w:pPr>
      <w:r>
        <w:rPr>
          <w:rFonts w:hint="eastAsia" w:ascii="仿宋" w:hAnsi="仿宋" w:eastAsia="仿宋" w:cs="仿宋"/>
          <w:spacing w:val="20"/>
          <w:sz w:val="32"/>
          <w:szCs w:val="32"/>
          <w:lang w:val="en-US" w:eastAsia="zh-CN"/>
        </w:rPr>
        <w:t>3.</w:t>
      </w:r>
      <w:r>
        <w:rPr>
          <w:rFonts w:hint="eastAsia" w:ascii="仿宋" w:hAnsi="仿宋" w:eastAsia="仿宋" w:cs="仿宋"/>
          <w:spacing w:val="20"/>
          <w:sz w:val="32"/>
          <w:szCs w:val="32"/>
        </w:rPr>
        <w:t>行政事业单位养老支出（款）机关事业单位基本养老保险缴费支出（项）。年初预算</w:t>
      </w:r>
      <w:r>
        <w:rPr>
          <w:rFonts w:hint="eastAsia" w:ascii="仿宋" w:hAnsi="仿宋" w:eastAsia="仿宋" w:cs="仿宋"/>
          <w:spacing w:val="20"/>
          <w:sz w:val="32"/>
          <w:szCs w:val="32"/>
          <w:u w:val="single" w:color="auto"/>
          <w:lang w:val="en-US" w:eastAsia="zh-CN"/>
        </w:rPr>
        <w:t>80.87</w:t>
      </w:r>
      <w:r>
        <w:rPr>
          <w:rFonts w:hint="eastAsia" w:ascii="仿宋" w:hAnsi="仿宋" w:eastAsia="仿宋" w:cs="仿宋"/>
          <w:spacing w:val="20"/>
          <w:sz w:val="32"/>
          <w:szCs w:val="32"/>
        </w:rPr>
        <w:t>万元，与上年相比</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u w:val="single" w:color="auto"/>
        </w:rPr>
        <w:t xml:space="preserve"> </w:t>
      </w:r>
      <w:r>
        <w:rPr>
          <w:rFonts w:hint="eastAsia" w:ascii="仿宋" w:hAnsi="仿宋" w:eastAsia="仿宋" w:cs="仿宋"/>
          <w:spacing w:val="20"/>
          <w:sz w:val="32"/>
          <w:szCs w:val="32"/>
          <w:u w:val="single" w:color="auto"/>
          <w:lang w:val="en-US" w:eastAsia="zh-CN"/>
        </w:rPr>
        <w:t>4.97</w:t>
      </w:r>
      <w:r>
        <w:rPr>
          <w:rFonts w:hint="eastAsia" w:ascii="仿宋" w:hAnsi="仿宋" w:eastAsia="仿宋" w:cs="仿宋"/>
          <w:spacing w:val="20"/>
          <w:sz w:val="32"/>
          <w:szCs w:val="32"/>
        </w:rPr>
        <w:t xml:space="preserve"> 万元，</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rPr>
        <w:t xml:space="preserve"> </w:t>
      </w:r>
      <w:r>
        <w:rPr>
          <w:rFonts w:hint="eastAsia" w:ascii="仿宋" w:hAnsi="仿宋" w:eastAsia="仿宋" w:cs="仿宋"/>
          <w:spacing w:val="20"/>
          <w:sz w:val="32"/>
          <w:szCs w:val="32"/>
          <w:u w:val="single" w:color="auto"/>
          <w:lang w:val="en-US" w:eastAsia="zh-CN"/>
        </w:rPr>
        <w:t>5.81%</w:t>
      </w:r>
      <w:r>
        <w:rPr>
          <w:rFonts w:hint="eastAsia" w:ascii="仿宋" w:hAnsi="仿宋" w:eastAsia="仿宋" w:cs="仿宋"/>
          <w:spacing w:val="20"/>
          <w:sz w:val="32"/>
          <w:szCs w:val="32"/>
        </w:rPr>
        <w:t>。变动原因</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机关事业单位基本养老保险缴费支出预算</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rPr>
        <w:t>。</w:t>
      </w:r>
    </w:p>
    <w:p w14:paraId="5468DE1D">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640" w:firstLineChars="200"/>
        <w:jc w:val="left"/>
        <w:textAlignment w:val="baseline"/>
        <w:rPr>
          <w:rFonts w:hint="eastAsia" w:ascii="黑体" w:hAnsi="黑体" w:eastAsia="黑体" w:cs="黑体"/>
          <w:spacing w:val="0"/>
          <w:position w:val="0"/>
          <w:sz w:val="32"/>
          <w:szCs w:val="32"/>
          <w:lang w:val="en-US" w:eastAsia="zh-CN"/>
        </w:rPr>
      </w:pPr>
      <w:r>
        <w:rPr>
          <w:rFonts w:hint="eastAsia" w:ascii="黑体" w:hAnsi="黑体" w:eastAsia="黑体" w:cs="黑体"/>
          <w:spacing w:val="0"/>
          <w:position w:val="0"/>
          <w:sz w:val="32"/>
          <w:szCs w:val="32"/>
          <w:lang w:val="en-US" w:eastAsia="zh-CN"/>
        </w:rPr>
        <w:t>（三）卫生健康（类）</w:t>
      </w:r>
    </w:p>
    <w:p w14:paraId="57D9AE86">
      <w:pPr>
        <w:pStyle w:val="2"/>
        <w:keepNext w:val="0"/>
        <w:keepLines w:val="0"/>
        <w:pageBreakBefore w:val="0"/>
        <w:widowControl/>
        <w:kinsoku w:val="0"/>
        <w:wordWrap/>
        <w:overflowPunct/>
        <w:topLinePunct w:val="0"/>
        <w:autoSpaceDE w:val="0"/>
        <w:autoSpaceDN w:val="0"/>
        <w:bidi w:val="0"/>
        <w:adjustRightInd w:val="0"/>
        <w:snapToGrid w:val="0"/>
        <w:spacing w:before="0" w:after="0" w:line="580" w:lineRule="exact"/>
        <w:ind w:firstLine="720" w:firstLineChars="200"/>
        <w:jc w:val="both"/>
        <w:textAlignment w:val="baseline"/>
        <w:rPr>
          <w:rFonts w:hint="eastAsia" w:ascii="黑体" w:hAnsi="黑体" w:eastAsia="黑体" w:cs="黑体"/>
          <w:spacing w:val="20"/>
          <w:position w:val="0"/>
          <w:sz w:val="32"/>
          <w:szCs w:val="32"/>
          <w:lang w:val="en-US" w:eastAsia="zh-CN"/>
        </w:rPr>
      </w:pPr>
      <w:r>
        <w:rPr>
          <w:rFonts w:hint="eastAsia" w:ascii="仿宋" w:hAnsi="仿宋" w:eastAsia="仿宋" w:cs="仿宋"/>
          <w:spacing w:val="20"/>
          <w:sz w:val="32"/>
          <w:szCs w:val="32"/>
        </w:rPr>
        <w:t>卫生健康类年初预算数为</w:t>
      </w:r>
      <w:r>
        <w:rPr>
          <w:rFonts w:hint="eastAsia" w:ascii="仿宋" w:hAnsi="仿宋" w:eastAsia="仿宋" w:cs="仿宋"/>
          <w:spacing w:val="20"/>
          <w:sz w:val="32"/>
          <w:szCs w:val="32"/>
          <w:u w:val="single"/>
          <w:lang w:val="en-US" w:eastAsia="zh-CN"/>
        </w:rPr>
        <w:t>46.43</w:t>
      </w:r>
      <w:r>
        <w:rPr>
          <w:rFonts w:hint="eastAsia" w:ascii="仿宋" w:hAnsi="仿宋" w:eastAsia="仿宋" w:cs="仿宋"/>
          <w:spacing w:val="20"/>
          <w:sz w:val="32"/>
          <w:szCs w:val="32"/>
        </w:rPr>
        <w:t>万元，与上年相比</w:t>
      </w:r>
      <w:r>
        <w:rPr>
          <w:rFonts w:hint="eastAsia" w:ascii="仿宋" w:hAnsi="仿宋" w:eastAsia="仿宋" w:cs="仿宋"/>
          <w:spacing w:val="20"/>
          <w:sz w:val="32"/>
          <w:szCs w:val="32"/>
          <w:lang w:val="en-US" w:eastAsia="zh-CN"/>
        </w:rPr>
        <w:t>下降</w:t>
      </w:r>
      <w:r>
        <w:rPr>
          <w:rFonts w:hint="eastAsia" w:ascii="仿宋" w:hAnsi="仿宋" w:eastAsia="仿宋" w:cs="仿宋"/>
          <w:spacing w:val="20"/>
          <w:sz w:val="32"/>
          <w:szCs w:val="32"/>
          <w:u w:val="single" w:color="auto"/>
          <w:lang w:val="en-US" w:eastAsia="zh-CN"/>
        </w:rPr>
        <w:t>3.97</w:t>
      </w:r>
      <w:r>
        <w:rPr>
          <w:rFonts w:hint="eastAsia" w:ascii="仿宋" w:hAnsi="仿宋" w:eastAsia="仿宋" w:cs="仿宋"/>
          <w:spacing w:val="20"/>
          <w:sz w:val="32"/>
          <w:szCs w:val="32"/>
        </w:rPr>
        <w:t xml:space="preserve"> 万元。其中：</w:t>
      </w:r>
    </w:p>
    <w:p w14:paraId="1A8D67A7">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lang w:val="en-US" w:eastAsia="zh-CN"/>
        </w:rPr>
        <w:t>1.</w:t>
      </w:r>
      <w:r>
        <w:rPr>
          <w:rFonts w:hint="eastAsia" w:ascii="仿宋" w:hAnsi="仿宋" w:eastAsia="仿宋" w:cs="仿宋"/>
          <w:spacing w:val="20"/>
          <w:sz w:val="32"/>
          <w:szCs w:val="32"/>
        </w:rPr>
        <w:t>行政事业单位医疗（款）行政单位医疗（项）。年初预算</w:t>
      </w:r>
      <w:r>
        <w:rPr>
          <w:rFonts w:hint="eastAsia" w:ascii="仿宋" w:hAnsi="仿宋" w:eastAsia="仿宋" w:cs="仿宋"/>
          <w:spacing w:val="20"/>
          <w:sz w:val="32"/>
          <w:szCs w:val="32"/>
          <w:u w:val="single"/>
          <w:lang w:val="en-US" w:eastAsia="zh-CN"/>
        </w:rPr>
        <w:t>17.02</w:t>
      </w:r>
      <w:r>
        <w:rPr>
          <w:rFonts w:hint="eastAsia" w:ascii="仿宋" w:hAnsi="仿宋" w:eastAsia="仿宋" w:cs="仿宋"/>
          <w:spacing w:val="20"/>
          <w:sz w:val="32"/>
          <w:szCs w:val="32"/>
        </w:rPr>
        <w:t>万元， 与上年相比</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u w:val="single" w:color="auto"/>
          <w:lang w:val="en-US" w:eastAsia="zh-CN"/>
        </w:rPr>
        <w:t>3.26</w:t>
      </w:r>
      <w:r>
        <w:rPr>
          <w:rFonts w:hint="eastAsia" w:ascii="仿宋" w:hAnsi="仿宋" w:eastAsia="仿宋" w:cs="仿宋"/>
          <w:spacing w:val="20"/>
          <w:sz w:val="32"/>
          <w:szCs w:val="32"/>
        </w:rPr>
        <w:t>万元，</w:t>
      </w:r>
      <w:r>
        <w:rPr>
          <w:rFonts w:hint="eastAsia" w:ascii="仿宋" w:hAnsi="仿宋" w:eastAsia="仿宋" w:cs="仿宋"/>
          <w:spacing w:val="20"/>
          <w:sz w:val="32"/>
          <w:szCs w:val="32"/>
          <w:lang w:val="en-US" w:eastAsia="zh-CN"/>
        </w:rPr>
        <w:t>下降</w:t>
      </w:r>
      <w:r>
        <w:rPr>
          <w:rFonts w:hint="eastAsia" w:ascii="仿宋" w:hAnsi="仿宋" w:eastAsia="仿宋" w:cs="仿宋"/>
          <w:spacing w:val="20"/>
          <w:sz w:val="32"/>
          <w:szCs w:val="32"/>
          <w:u w:val="single" w:color="auto"/>
          <w:lang w:val="en-US" w:eastAsia="zh-CN"/>
        </w:rPr>
        <w:t>16.07%</w:t>
      </w:r>
      <w:r>
        <w:rPr>
          <w:rFonts w:hint="eastAsia" w:ascii="仿宋" w:hAnsi="仿宋" w:eastAsia="仿宋" w:cs="仿宋"/>
          <w:spacing w:val="20"/>
          <w:sz w:val="32"/>
          <w:szCs w:val="32"/>
        </w:rPr>
        <w:t>。变动原因：</w:t>
      </w:r>
      <w:r>
        <w:rPr>
          <w:rFonts w:hint="eastAsia" w:ascii="仿宋" w:hAnsi="仿宋" w:eastAsia="仿宋" w:cs="仿宋"/>
          <w:spacing w:val="20"/>
          <w:sz w:val="32"/>
          <w:szCs w:val="32"/>
          <w:lang w:val="en-US" w:eastAsia="zh-CN"/>
        </w:rPr>
        <w:t>本年度</w:t>
      </w:r>
      <w:r>
        <w:rPr>
          <w:rFonts w:hint="eastAsia" w:ascii="仿宋" w:hAnsi="仿宋" w:eastAsia="仿宋" w:cs="仿宋"/>
          <w:spacing w:val="20"/>
          <w:sz w:val="32"/>
          <w:szCs w:val="32"/>
        </w:rPr>
        <w:t>人员</w:t>
      </w:r>
      <w:r>
        <w:rPr>
          <w:rFonts w:hint="eastAsia" w:ascii="仿宋" w:hAnsi="仿宋" w:eastAsia="仿宋" w:cs="仿宋"/>
          <w:spacing w:val="20"/>
          <w:sz w:val="32"/>
          <w:szCs w:val="32"/>
          <w:lang w:val="en-US" w:eastAsia="zh-CN"/>
        </w:rPr>
        <w:t>变化行政单位医疗保险减少</w:t>
      </w:r>
      <w:r>
        <w:rPr>
          <w:rFonts w:hint="eastAsia" w:ascii="仿宋" w:hAnsi="仿宋" w:eastAsia="仿宋" w:cs="仿宋"/>
          <w:spacing w:val="20"/>
          <w:sz w:val="32"/>
          <w:szCs w:val="32"/>
        </w:rPr>
        <w:t>。</w:t>
      </w:r>
    </w:p>
    <w:p w14:paraId="0AA51480">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hint="eastAsia" w:ascii="仿宋" w:hAnsi="仿宋" w:eastAsia="仿宋" w:cs="仿宋"/>
          <w:spacing w:val="20"/>
          <w:sz w:val="32"/>
          <w:szCs w:val="32"/>
          <w:lang w:eastAsia="zh-CN"/>
        </w:rPr>
      </w:pPr>
      <w:r>
        <w:rPr>
          <w:rFonts w:hint="eastAsia" w:ascii="仿宋" w:hAnsi="仿宋" w:eastAsia="仿宋" w:cs="仿宋"/>
          <w:spacing w:val="23"/>
          <w:sz w:val="32"/>
          <w:szCs w:val="32"/>
          <w:lang w:val="en-US" w:eastAsia="zh-CN"/>
        </w:rPr>
        <w:t>2.</w:t>
      </w:r>
      <w:r>
        <w:rPr>
          <w:rFonts w:hint="eastAsia" w:ascii="仿宋" w:hAnsi="仿宋" w:eastAsia="仿宋" w:cs="仿宋"/>
          <w:spacing w:val="23"/>
          <w:sz w:val="32"/>
          <w:szCs w:val="32"/>
        </w:rPr>
        <w:t>行政事业单位医疗（款）事业单位医疗（项）。年初预算</w:t>
      </w:r>
      <w:r>
        <w:rPr>
          <w:rFonts w:hint="eastAsia" w:ascii="仿宋" w:hAnsi="仿宋" w:eastAsia="仿宋" w:cs="仿宋"/>
          <w:spacing w:val="23"/>
          <w:sz w:val="32"/>
          <w:szCs w:val="32"/>
          <w:u w:val="single" w:color="auto"/>
          <w:lang w:val="en-US" w:eastAsia="zh-CN"/>
        </w:rPr>
        <w:t>29.41</w:t>
      </w:r>
      <w:r>
        <w:rPr>
          <w:rFonts w:hint="eastAsia" w:ascii="仿宋" w:hAnsi="仿宋" w:eastAsia="仿宋" w:cs="仿宋"/>
          <w:spacing w:val="23"/>
          <w:sz w:val="32"/>
          <w:szCs w:val="32"/>
        </w:rPr>
        <w:t>万元</w:t>
      </w:r>
      <w:r>
        <w:rPr>
          <w:rFonts w:hint="eastAsia" w:ascii="仿宋" w:hAnsi="仿宋" w:eastAsia="仿宋" w:cs="仿宋"/>
          <w:spacing w:val="23"/>
          <w:sz w:val="32"/>
          <w:szCs w:val="32"/>
          <w:lang w:eastAsia="zh-CN"/>
        </w:rPr>
        <w:t>，</w:t>
      </w:r>
      <w:r>
        <w:rPr>
          <w:rFonts w:hint="eastAsia" w:ascii="仿宋" w:hAnsi="仿宋" w:eastAsia="仿宋" w:cs="仿宋"/>
          <w:spacing w:val="23"/>
          <w:sz w:val="32"/>
          <w:szCs w:val="32"/>
        </w:rPr>
        <w:t>与上年相比</w:t>
      </w:r>
      <w:r>
        <w:rPr>
          <w:rFonts w:hint="eastAsia" w:ascii="仿宋" w:hAnsi="仿宋" w:eastAsia="仿宋" w:cs="仿宋"/>
          <w:spacing w:val="23"/>
          <w:sz w:val="32"/>
          <w:szCs w:val="32"/>
          <w:lang w:val="en-US" w:eastAsia="zh-CN"/>
        </w:rPr>
        <w:t>减少</w:t>
      </w:r>
      <w:r>
        <w:rPr>
          <w:rFonts w:hint="eastAsia" w:ascii="仿宋" w:hAnsi="仿宋" w:eastAsia="仿宋" w:cs="仿宋"/>
          <w:spacing w:val="23"/>
          <w:sz w:val="32"/>
          <w:szCs w:val="32"/>
          <w:u w:val="single" w:color="auto"/>
          <w:lang w:val="en-US" w:eastAsia="zh-CN"/>
        </w:rPr>
        <w:t>0.71</w:t>
      </w:r>
      <w:r>
        <w:rPr>
          <w:rFonts w:hint="eastAsia" w:ascii="仿宋" w:hAnsi="仿宋" w:eastAsia="仿宋" w:cs="仿宋"/>
          <w:spacing w:val="23"/>
          <w:sz w:val="32"/>
          <w:szCs w:val="32"/>
        </w:rPr>
        <w:t>万元，</w:t>
      </w:r>
      <w:r>
        <w:rPr>
          <w:rFonts w:hint="eastAsia" w:ascii="仿宋" w:hAnsi="仿宋" w:eastAsia="仿宋" w:cs="仿宋"/>
          <w:spacing w:val="23"/>
          <w:sz w:val="32"/>
          <w:szCs w:val="32"/>
          <w:lang w:val="en-US" w:eastAsia="zh-CN"/>
        </w:rPr>
        <w:t>下降</w:t>
      </w:r>
      <w:r>
        <w:rPr>
          <w:rFonts w:hint="eastAsia" w:ascii="仿宋" w:hAnsi="仿宋" w:eastAsia="仿宋" w:cs="仿宋"/>
          <w:spacing w:val="23"/>
          <w:sz w:val="32"/>
          <w:szCs w:val="32"/>
          <w:u w:val="single"/>
          <w:lang w:val="en-US" w:eastAsia="zh-CN"/>
        </w:rPr>
        <w:t>2.36%</w:t>
      </w:r>
      <w:r>
        <w:rPr>
          <w:rFonts w:hint="eastAsia" w:ascii="仿宋" w:hAnsi="仿宋" w:eastAsia="仿宋" w:cs="仿宋"/>
          <w:spacing w:val="23"/>
          <w:sz w:val="32"/>
          <w:szCs w:val="32"/>
        </w:rPr>
        <w:t>。变动原因：</w:t>
      </w:r>
      <w:r>
        <w:rPr>
          <w:rFonts w:hint="eastAsia" w:ascii="仿宋" w:hAnsi="仿宋" w:eastAsia="仿宋" w:cs="仿宋"/>
          <w:spacing w:val="23"/>
          <w:sz w:val="32"/>
          <w:szCs w:val="32"/>
          <w:lang w:val="en-US" w:eastAsia="zh-CN"/>
        </w:rPr>
        <w:t>本年度</w:t>
      </w:r>
      <w:r>
        <w:rPr>
          <w:rFonts w:hint="eastAsia" w:ascii="仿宋" w:hAnsi="仿宋" w:eastAsia="仿宋" w:cs="仿宋"/>
          <w:spacing w:val="23"/>
          <w:sz w:val="32"/>
          <w:szCs w:val="32"/>
        </w:rPr>
        <w:t>人员</w:t>
      </w:r>
      <w:r>
        <w:rPr>
          <w:rFonts w:hint="eastAsia" w:ascii="仿宋" w:hAnsi="仿宋" w:eastAsia="仿宋" w:cs="仿宋"/>
          <w:spacing w:val="23"/>
          <w:sz w:val="32"/>
          <w:szCs w:val="32"/>
          <w:lang w:val="en-US" w:eastAsia="zh-CN"/>
        </w:rPr>
        <w:t>变化事业单位医疗保险减少</w:t>
      </w:r>
      <w:r>
        <w:rPr>
          <w:rFonts w:hint="eastAsia" w:ascii="仿宋" w:hAnsi="仿宋" w:eastAsia="仿宋" w:cs="仿宋"/>
          <w:spacing w:val="23"/>
          <w:sz w:val="32"/>
          <w:szCs w:val="32"/>
        </w:rPr>
        <w:t>。</w:t>
      </w:r>
    </w:p>
    <w:p w14:paraId="043A06BA">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640" w:firstLineChars="200"/>
        <w:jc w:val="left"/>
        <w:textAlignment w:val="baseline"/>
        <w:rPr>
          <w:rFonts w:hint="eastAsia" w:ascii="黑体" w:hAnsi="黑体" w:eastAsia="黑体" w:cs="黑体"/>
          <w:spacing w:val="0"/>
          <w:position w:val="0"/>
          <w:sz w:val="32"/>
          <w:szCs w:val="32"/>
          <w:lang w:val="en-US" w:eastAsia="zh-CN"/>
        </w:rPr>
      </w:pPr>
      <w:r>
        <w:rPr>
          <w:rFonts w:hint="eastAsia" w:ascii="黑体" w:hAnsi="黑体" w:eastAsia="黑体" w:cs="黑体"/>
          <w:spacing w:val="0"/>
          <w:position w:val="0"/>
          <w:sz w:val="32"/>
          <w:szCs w:val="32"/>
          <w:lang w:val="en-US" w:eastAsia="zh-CN"/>
        </w:rPr>
        <w:t>（四）城乡社区（类）</w:t>
      </w:r>
    </w:p>
    <w:p w14:paraId="6FB45594">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20" w:firstLineChars="200"/>
        <w:jc w:val="both"/>
        <w:textAlignment w:val="baseline"/>
        <w:rPr>
          <w:rFonts w:ascii="仿宋" w:hAnsi="仿宋" w:eastAsia="仿宋" w:cs="仿宋"/>
          <w:spacing w:val="20"/>
          <w:sz w:val="32"/>
          <w:szCs w:val="32"/>
        </w:rPr>
      </w:pPr>
      <w:r>
        <w:rPr>
          <w:rFonts w:ascii="仿宋" w:hAnsi="仿宋" w:eastAsia="仿宋" w:cs="仿宋"/>
          <w:spacing w:val="20"/>
          <w:sz w:val="32"/>
          <w:szCs w:val="32"/>
        </w:rPr>
        <w:t>城乡社区类年初预算数为</w:t>
      </w:r>
      <w:r>
        <w:rPr>
          <w:rFonts w:hint="eastAsia" w:ascii="仿宋" w:hAnsi="仿宋" w:eastAsia="仿宋" w:cs="仿宋"/>
          <w:spacing w:val="20"/>
          <w:sz w:val="32"/>
          <w:szCs w:val="32"/>
          <w:u w:val="single"/>
          <w:lang w:val="en-US" w:eastAsia="zh-CN"/>
        </w:rPr>
        <w:t>341.05</w:t>
      </w:r>
      <w:r>
        <w:rPr>
          <w:rFonts w:ascii="仿宋" w:hAnsi="仿宋" w:eastAsia="仿宋" w:cs="仿宋"/>
          <w:spacing w:val="20"/>
          <w:sz w:val="32"/>
          <w:szCs w:val="32"/>
        </w:rPr>
        <w:t>万元，与上年相比</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u w:val="single"/>
          <w:lang w:val="en-US" w:eastAsia="zh-CN"/>
        </w:rPr>
        <w:t>22.58</w:t>
      </w:r>
      <w:r>
        <w:rPr>
          <w:rFonts w:ascii="仿宋" w:hAnsi="仿宋" w:eastAsia="仿宋" w:cs="仿宋"/>
          <w:spacing w:val="20"/>
          <w:sz w:val="32"/>
          <w:szCs w:val="32"/>
        </w:rPr>
        <w:t>万元。其中：</w:t>
      </w:r>
    </w:p>
    <w:p w14:paraId="515DC144">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lang w:val="en-US" w:eastAsia="zh-CN"/>
        </w:rPr>
        <w:t>1.</w:t>
      </w:r>
      <w:r>
        <w:rPr>
          <w:rFonts w:hint="eastAsia" w:ascii="仿宋" w:hAnsi="仿宋" w:eastAsia="仿宋" w:cs="仿宋"/>
          <w:spacing w:val="20"/>
          <w:sz w:val="32"/>
          <w:szCs w:val="32"/>
        </w:rPr>
        <w:t>城乡社区管理事务（款） 城管执法（项</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年初预算</w:t>
      </w:r>
      <w:r>
        <w:rPr>
          <w:rFonts w:hint="eastAsia" w:ascii="仿宋" w:hAnsi="仿宋" w:eastAsia="仿宋" w:cs="仿宋"/>
          <w:spacing w:val="20"/>
          <w:sz w:val="32"/>
          <w:szCs w:val="32"/>
          <w:u w:val="single" w:color="auto"/>
          <w:lang w:val="en-US" w:eastAsia="zh-CN"/>
        </w:rPr>
        <w:t>143.84</w:t>
      </w:r>
      <w:r>
        <w:rPr>
          <w:rFonts w:hint="eastAsia" w:ascii="仿宋" w:hAnsi="仿宋" w:eastAsia="仿宋" w:cs="仿宋"/>
          <w:spacing w:val="20"/>
          <w:sz w:val="32"/>
          <w:szCs w:val="32"/>
        </w:rPr>
        <w:t>万元，与上年相比</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rPr>
        <w:t xml:space="preserve"> </w:t>
      </w:r>
      <w:r>
        <w:rPr>
          <w:rFonts w:hint="eastAsia" w:ascii="仿宋" w:hAnsi="仿宋" w:eastAsia="仿宋" w:cs="仿宋"/>
          <w:spacing w:val="20"/>
          <w:sz w:val="32"/>
          <w:szCs w:val="32"/>
          <w:u w:val="single" w:color="auto"/>
          <w:lang w:val="en-US" w:eastAsia="zh-CN"/>
        </w:rPr>
        <w:t>28.51</w:t>
      </w:r>
      <w:r>
        <w:rPr>
          <w:rFonts w:hint="eastAsia" w:ascii="仿宋" w:hAnsi="仿宋" w:eastAsia="仿宋" w:cs="仿宋"/>
          <w:spacing w:val="20"/>
          <w:sz w:val="32"/>
          <w:szCs w:val="32"/>
        </w:rPr>
        <w:t>万元，</w:t>
      </w:r>
      <w:r>
        <w:rPr>
          <w:rFonts w:hint="eastAsia" w:ascii="仿宋" w:hAnsi="仿宋" w:eastAsia="仿宋" w:cs="仿宋"/>
          <w:spacing w:val="20"/>
          <w:sz w:val="32"/>
          <w:szCs w:val="32"/>
          <w:lang w:val="en-US" w:eastAsia="zh-CN"/>
        </w:rPr>
        <w:t>下降</w:t>
      </w:r>
      <w:r>
        <w:rPr>
          <w:rFonts w:hint="eastAsia" w:ascii="仿宋" w:hAnsi="仿宋" w:eastAsia="仿宋" w:cs="仿宋"/>
          <w:spacing w:val="20"/>
          <w:sz w:val="32"/>
          <w:szCs w:val="32"/>
          <w:u w:val="single"/>
          <w:lang w:val="en-US" w:eastAsia="zh-CN"/>
        </w:rPr>
        <w:t>16.54%</w:t>
      </w:r>
      <w:r>
        <w:rPr>
          <w:rFonts w:hint="eastAsia" w:ascii="仿宋" w:hAnsi="仿宋" w:eastAsia="仿宋" w:cs="仿宋"/>
          <w:spacing w:val="20"/>
          <w:sz w:val="32"/>
          <w:szCs w:val="32"/>
        </w:rPr>
        <w:t>。变动原因</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lang w:val="en-US" w:eastAsia="zh-CN"/>
        </w:rPr>
        <w:t>人员变动</w:t>
      </w:r>
      <w:r>
        <w:rPr>
          <w:rFonts w:hint="eastAsia" w:ascii="仿宋" w:hAnsi="仿宋" w:eastAsia="仿宋" w:cs="仿宋"/>
          <w:spacing w:val="20"/>
          <w:sz w:val="32"/>
          <w:szCs w:val="32"/>
        </w:rPr>
        <w:t>城管执法预算</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rPr>
        <w:t>。</w:t>
      </w:r>
    </w:p>
    <w:p w14:paraId="341CF29E">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default" w:ascii="仿宋" w:hAnsi="仿宋" w:eastAsia="仿宋" w:cs="仿宋"/>
          <w:spacing w:val="20"/>
          <w:sz w:val="32"/>
          <w:szCs w:val="32"/>
          <w:lang w:val="en-US" w:eastAsia="zh-CN"/>
        </w:rPr>
      </w:pPr>
      <w:r>
        <w:rPr>
          <w:rFonts w:hint="eastAsia" w:ascii="仿宋" w:hAnsi="仿宋" w:eastAsia="仿宋" w:cs="仿宋"/>
          <w:spacing w:val="20"/>
          <w:sz w:val="32"/>
          <w:szCs w:val="32"/>
          <w:lang w:val="en-US" w:eastAsia="zh-CN"/>
        </w:rPr>
        <w:t>2.城乡社区规划与管理（款）城乡社区规划与管理（项）。年初预算</w:t>
      </w:r>
      <w:r>
        <w:rPr>
          <w:rFonts w:hint="eastAsia" w:ascii="仿宋" w:hAnsi="仿宋" w:eastAsia="仿宋" w:cs="仿宋"/>
          <w:spacing w:val="20"/>
          <w:sz w:val="32"/>
          <w:szCs w:val="32"/>
          <w:u w:val="single"/>
          <w:lang w:val="en-US" w:eastAsia="zh-CN"/>
        </w:rPr>
        <w:t>197.21</w:t>
      </w:r>
      <w:r>
        <w:rPr>
          <w:rFonts w:hint="eastAsia" w:ascii="仿宋" w:hAnsi="仿宋" w:eastAsia="仿宋" w:cs="仿宋"/>
          <w:spacing w:val="20"/>
          <w:sz w:val="32"/>
          <w:szCs w:val="32"/>
          <w:lang w:val="en-US" w:eastAsia="zh-CN"/>
        </w:rPr>
        <w:t>万元，与上年相比增加</w:t>
      </w:r>
      <w:r>
        <w:rPr>
          <w:rFonts w:hint="eastAsia" w:ascii="仿宋" w:hAnsi="仿宋" w:eastAsia="仿宋" w:cs="仿宋"/>
          <w:spacing w:val="20"/>
          <w:sz w:val="32"/>
          <w:szCs w:val="32"/>
          <w:u w:val="single"/>
          <w:lang w:val="en-US" w:eastAsia="zh-CN"/>
        </w:rPr>
        <w:t>6</w:t>
      </w:r>
      <w:r>
        <w:rPr>
          <w:rFonts w:hint="eastAsia" w:ascii="仿宋" w:hAnsi="仿宋" w:eastAsia="仿宋" w:cs="仿宋"/>
          <w:spacing w:val="20"/>
          <w:sz w:val="32"/>
          <w:szCs w:val="32"/>
          <w:lang w:val="en-US" w:eastAsia="zh-CN"/>
        </w:rPr>
        <w:t>万元，增加</w:t>
      </w:r>
      <w:r>
        <w:rPr>
          <w:rFonts w:hint="eastAsia" w:ascii="仿宋" w:hAnsi="仿宋" w:eastAsia="仿宋" w:cs="仿宋"/>
          <w:spacing w:val="20"/>
          <w:sz w:val="32"/>
          <w:szCs w:val="32"/>
          <w:u w:val="single"/>
          <w:lang w:val="en-US" w:eastAsia="zh-CN"/>
        </w:rPr>
        <w:t>3.14%</w:t>
      </w:r>
      <w:r>
        <w:rPr>
          <w:rFonts w:hint="eastAsia" w:ascii="仿宋" w:hAnsi="仿宋" w:eastAsia="仿宋" w:cs="仿宋"/>
          <w:spacing w:val="20"/>
          <w:sz w:val="32"/>
          <w:szCs w:val="32"/>
          <w:lang w:val="en-US" w:eastAsia="zh-CN"/>
        </w:rPr>
        <w:t>。变动原因：本年度城乡社区规划与管理预算增加。</w:t>
      </w:r>
    </w:p>
    <w:p w14:paraId="0D1F53B2">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640" w:firstLineChars="200"/>
        <w:jc w:val="left"/>
        <w:textAlignment w:val="baseline"/>
        <w:rPr>
          <w:rFonts w:hint="eastAsia" w:ascii="黑体" w:hAnsi="黑体" w:eastAsia="黑体" w:cs="黑体"/>
          <w:spacing w:val="0"/>
          <w:position w:val="0"/>
          <w:sz w:val="32"/>
          <w:szCs w:val="32"/>
          <w:lang w:val="en-US" w:eastAsia="zh-CN"/>
        </w:rPr>
      </w:pPr>
      <w:r>
        <w:rPr>
          <w:rFonts w:hint="eastAsia" w:ascii="黑体" w:hAnsi="黑体" w:eastAsia="黑体" w:cs="黑体"/>
          <w:spacing w:val="0"/>
          <w:position w:val="0"/>
          <w:sz w:val="32"/>
          <w:szCs w:val="32"/>
          <w:lang w:val="en-US" w:eastAsia="zh-CN"/>
        </w:rPr>
        <w:t>（五）农林水（类）</w:t>
      </w:r>
    </w:p>
    <w:p w14:paraId="21D9ECDE">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农林水类年初预算数为</w:t>
      </w:r>
      <w:r>
        <w:rPr>
          <w:rFonts w:hint="eastAsia" w:ascii="仿宋" w:hAnsi="仿宋" w:eastAsia="仿宋" w:cs="仿宋"/>
          <w:spacing w:val="20"/>
          <w:sz w:val="32"/>
          <w:szCs w:val="32"/>
          <w:u w:val="single"/>
          <w:lang w:val="en-US" w:eastAsia="zh-CN"/>
        </w:rPr>
        <w:t>573.83</w:t>
      </w:r>
      <w:r>
        <w:rPr>
          <w:rFonts w:hint="eastAsia" w:ascii="仿宋" w:hAnsi="仿宋" w:eastAsia="仿宋" w:cs="仿宋"/>
          <w:spacing w:val="20"/>
          <w:sz w:val="32"/>
          <w:szCs w:val="32"/>
        </w:rPr>
        <w:t>万元， 与上年相比</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u w:val="single" w:color="auto"/>
          <w:lang w:val="en-US" w:eastAsia="zh-CN"/>
        </w:rPr>
        <w:t>1.98</w:t>
      </w:r>
      <w:r>
        <w:rPr>
          <w:rFonts w:hint="eastAsia" w:ascii="仿宋" w:hAnsi="仿宋" w:eastAsia="仿宋" w:cs="仿宋"/>
          <w:spacing w:val="20"/>
          <w:sz w:val="32"/>
          <w:szCs w:val="32"/>
        </w:rPr>
        <w:t>万元。其中：</w:t>
      </w:r>
    </w:p>
    <w:p w14:paraId="7E43590C">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spacing w:val="20"/>
          <w:sz w:val="32"/>
          <w:szCs w:val="32"/>
        </w:rPr>
      </w:pPr>
      <w:r>
        <w:rPr>
          <w:rFonts w:hint="eastAsia" w:ascii="仿宋" w:hAnsi="仿宋" w:eastAsia="仿宋" w:cs="仿宋"/>
          <w:spacing w:val="20"/>
          <w:sz w:val="32"/>
          <w:szCs w:val="32"/>
          <w:lang w:val="en-US" w:eastAsia="zh-CN"/>
        </w:rPr>
        <w:t>1.</w:t>
      </w:r>
      <w:r>
        <w:rPr>
          <w:rFonts w:ascii="仿宋" w:hAnsi="仿宋" w:eastAsia="仿宋" w:cs="仿宋"/>
          <w:spacing w:val="20"/>
          <w:sz w:val="32"/>
          <w:szCs w:val="32"/>
        </w:rPr>
        <w:t>农业农村（款） 事业运行（项）</w:t>
      </w:r>
      <w:r>
        <w:rPr>
          <w:rFonts w:hint="eastAsia" w:ascii="仿宋" w:hAnsi="仿宋" w:eastAsia="仿宋" w:cs="仿宋"/>
          <w:spacing w:val="20"/>
          <w:sz w:val="32"/>
          <w:szCs w:val="32"/>
          <w:lang w:eastAsia="zh-CN"/>
        </w:rPr>
        <w:t>。</w:t>
      </w:r>
      <w:r>
        <w:rPr>
          <w:rFonts w:ascii="仿宋" w:hAnsi="仿宋" w:eastAsia="仿宋" w:cs="仿宋"/>
          <w:spacing w:val="20"/>
          <w:sz w:val="32"/>
          <w:szCs w:val="32"/>
        </w:rPr>
        <w:t>年初预算</w:t>
      </w:r>
      <w:r>
        <w:rPr>
          <w:rFonts w:hint="eastAsia" w:ascii="仿宋" w:hAnsi="仿宋" w:eastAsia="仿宋" w:cs="仿宋"/>
          <w:spacing w:val="20"/>
          <w:sz w:val="32"/>
          <w:szCs w:val="32"/>
          <w:u w:val="single"/>
          <w:lang w:val="en-US" w:eastAsia="zh-CN"/>
        </w:rPr>
        <w:t>144.86</w:t>
      </w:r>
      <w:r>
        <w:rPr>
          <w:rFonts w:ascii="仿宋" w:hAnsi="仿宋" w:eastAsia="仿宋" w:cs="仿宋"/>
          <w:spacing w:val="20"/>
          <w:sz w:val="32"/>
          <w:szCs w:val="32"/>
        </w:rPr>
        <w:t>万元， 与上年相比</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u w:val="single"/>
          <w:lang w:val="en-US" w:eastAsia="zh-CN"/>
        </w:rPr>
        <w:t>5.2</w:t>
      </w:r>
      <w:r>
        <w:rPr>
          <w:rFonts w:ascii="仿宋" w:hAnsi="仿宋" w:eastAsia="仿宋" w:cs="仿宋"/>
          <w:spacing w:val="20"/>
          <w:sz w:val="32"/>
          <w:szCs w:val="32"/>
        </w:rPr>
        <w:t>万元，</w:t>
      </w:r>
      <w:r>
        <w:rPr>
          <w:rFonts w:hint="eastAsia" w:ascii="仿宋" w:hAnsi="仿宋" w:eastAsia="仿宋" w:cs="仿宋"/>
          <w:spacing w:val="20"/>
          <w:sz w:val="32"/>
          <w:szCs w:val="32"/>
          <w:lang w:val="en-US" w:eastAsia="zh-CN"/>
        </w:rPr>
        <w:t>下降</w:t>
      </w:r>
      <w:r>
        <w:rPr>
          <w:rFonts w:hint="eastAsia" w:ascii="仿宋" w:hAnsi="仿宋" w:eastAsia="仿宋" w:cs="仿宋"/>
          <w:spacing w:val="20"/>
          <w:sz w:val="32"/>
          <w:szCs w:val="32"/>
          <w:u w:val="single"/>
          <w:lang w:val="en-US" w:eastAsia="zh-CN"/>
        </w:rPr>
        <w:t>3.47%</w:t>
      </w:r>
      <w:r>
        <w:rPr>
          <w:rFonts w:ascii="仿宋" w:hAnsi="仿宋" w:eastAsia="仿宋" w:cs="仿宋"/>
          <w:spacing w:val="20"/>
          <w:sz w:val="32"/>
          <w:szCs w:val="32"/>
        </w:rPr>
        <w:t>。变动原因： 农业农村（款） 事业运行（项） 预算</w:t>
      </w:r>
      <w:r>
        <w:rPr>
          <w:rFonts w:hint="eastAsia" w:ascii="仿宋" w:hAnsi="仿宋" w:eastAsia="仿宋" w:cs="仿宋"/>
          <w:spacing w:val="20"/>
          <w:sz w:val="32"/>
          <w:szCs w:val="32"/>
          <w:lang w:val="en-US" w:eastAsia="zh-CN"/>
        </w:rPr>
        <w:t>减少</w:t>
      </w:r>
      <w:r>
        <w:rPr>
          <w:rFonts w:ascii="仿宋" w:hAnsi="仿宋" w:eastAsia="仿宋" w:cs="仿宋"/>
          <w:spacing w:val="20"/>
          <w:sz w:val="32"/>
          <w:szCs w:val="32"/>
        </w:rPr>
        <w:t>。</w:t>
      </w:r>
    </w:p>
    <w:p w14:paraId="3B7644B1">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ascii="仿宋" w:hAnsi="仿宋" w:eastAsia="仿宋" w:cs="仿宋"/>
          <w:spacing w:val="20"/>
          <w:sz w:val="32"/>
          <w:szCs w:val="32"/>
        </w:rPr>
      </w:pPr>
      <w:r>
        <w:rPr>
          <w:rFonts w:hint="eastAsia" w:ascii="仿宋" w:hAnsi="仿宋" w:eastAsia="仿宋" w:cs="仿宋"/>
          <w:spacing w:val="20"/>
          <w:sz w:val="32"/>
          <w:szCs w:val="32"/>
          <w:lang w:val="en-US" w:eastAsia="zh-CN"/>
        </w:rPr>
        <w:t>2.</w:t>
      </w:r>
      <w:r>
        <w:rPr>
          <w:rFonts w:ascii="仿宋" w:hAnsi="仿宋" w:eastAsia="仿宋" w:cs="仿宋"/>
          <w:spacing w:val="20"/>
          <w:sz w:val="32"/>
          <w:szCs w:val="32"/>
        </w:rPr>
        <w:t>农村综合改革（款）对村民委员会和村党支部的补助（项</w:t>
      </w:r>
      <w:r>
        <w:rPr>
          <w:rFonts w:hint="eastAsia" w:ascii="仿宋" w:hAnsi="仿宋" w:eastAsia="仿宋" w:cs="仿宋"/>
          <w:spacing w:val="20"/>
          <w:sz w:val="32"/>
          <w:szCs w:val="32"/>
          <w:lang w:eastAsia="zh-CN"/>
        </w:rPr>
        <w:t>）。</w:t>
      </w:r>
      <w:r>
        <w:rPr>
          <w:rFonts w:ascii="仿宋" w:hAnsi="仿宋" w:eastAsia="仿宋" w:cs="仿宋"/>
          <w:spacing w:val="20"/>
          <w:sz w:val="32"/>
          <w:szCs w:val="32"/>
        </w:rPr>
        <w:t>年初预算</w:t>
      </w:r>
      <w:r>
        <w:rPr>
          <w:rFonts w:hint="eastAsia" w:ascii="仿宋" w:hAnsi="仿宋" w:eastAsia="仿宋" w:cs="仿宋"/>
          <w:spacing w:val="20"/>
          <w:sz w:val="32"/>
          <w:szCs w:val="32"/>
          <w:u w:val="single"/>
          <w:lang w:val="en-US" w:eastAsia="zh-CN"/>
        </w:rPr>
        <w:t>292.96</w:t>
      </w:r>
      <w:r>
        <w:rPr>
          <w:rFonts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ascii="仿宋" w:hAnsi="仿宋" w:eastAsia="仿宋" w:cs="仿宋"/>
          <w:spacing w:val="20"/>
          <w:sz w:val="32"/>
          <w:szCs w:val="32"/>
        </w:rPr>
        <w:t>与上年相比</w:t>
      </w:r>
      <w:r>
        <w:rPr>
          <w:rFonts w:hint="eastAsia" w:ascii="仿宋" w:hAnsi="仿宋" w:eastAsia="仿宋" w:cs="仿宋"/>
          <w:spacing w:val="20"/>
          <w:sz w:val="32"/>
          <w:szCs w:val="32"/>
          <w:lang w:val="en-US" w:eastAsia="zh-CN"/>
        </w:rPr>
        <w:t>增加</w:t>
      </w:r>
      <w:r>
        <w:rPr>
          <w:rFonts w:hint="eastAsia" w:ascii="仿宋" w:hAnsi="仿宋" w:eastAsia="仿宋" w:cs="仿宋"/>
          <w:spacing w:val="20"/>
          <w:sz w:val="32"/>
          <w:szCs w:val="32"/>
          <w:u w:val="single"/>
          <w:lang w:val="en-US" w:eastAsia="zh-CN"/>
        </w:rPr>
        <w:t>4.52</w:t>
      </w:r>
      <w:r>
        <w:rPr>
          <w:rFonts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lang w:val="en-US" w:eastAsia="zh-CN"/>
        </w:rPr>
        <w:t>增长</w:t>
      </w:r>
      <w:r>
        <w:rPr>
          <w:rFonts w:hint="eastAsia" w:ascii="仿宋" w:hAnsi="仿宋" w:eastAsia="仿宋" w:cs="仿宋"/>
          <w:spacing w:val="20"/>
          <w:sz w:val="32"/>
          <w:szCs w:val="32"/>
          <w:u w:val="single"/>
          <w:lang w:val="en-US" w:eastAsia="zh-CN"/>
        </w:rPr>
        <w:t>1.57%</w:t>
      </w:r>
      <w:r>
        <w:rPr>
          <w:rFonts w:ascii="仿宋" w:hAnsi="仿宋" w:eastAsia="仿宋" w:cs="仿宋"/>
          <w:spacing w:val="20"/>
          <w:sz w:val="32"/>
          <w:szCs w:val="32"/>
        </w:rPr>
        <w:t>。变动原因：农村综合改革（款）对村民委员会和村党支部的补助（项）预算</w:t>
      </w:r>
      <w:r>
        <w:rPr>
          <w:rFonts w:hint="eastAsia" w:ascii="仿宋" w:hAnsi="仿宋" w:eastAsia="仿宋" w:cs="仿宋"/>
          <w:spacing w:val="20"/>
          <w:sz w:val="32"/>
          <w:szCs w:val="32"/>
          <w:lang w:val="en-US" w:eastAsia="zh-CN"/>
        </w:rPr>
        <w:t>增加</w:t>
      </w:r>
      <w:r>
        <w:rPr>
          <w:rFonts w:ascii="仿宋" w:hAnsi="仿宋" w:eastAsia="仿宋" w:cs="仿宋"/>
          <w:spacing w:val="20"/>
          <w:sz w:val="32"/>
          <w:szCs w:val="32"/>
        </w:rPr>
        <w:t>。</w:t>
      </w:r>
    </w:p>
    <w:p w14:paraId="3AD45CC3">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652" w:firstLineChars="200"/>
        <w:jc w:val="both"/>
        <w:textAlignment w:val="baseline"/>
      </w:pPr>
      <w:r>
        <w:rPr>
          <w:rFonts w:hint="eastAsia" w:ascii="仿宋" w:hAnsi="仿宋" w:eastAsia="仿宋" w:cs="仿宋"/>
          <w:spacing w:val="3"/>
          <w:sz w:val="32"/>
          <w:szCs w:val="32"/>
          <w:lang w:val="en-US" w:eastAsia="zh-CN"/>
        </w:rPr>
        <w:t>3.</w:t>
      </w:r>
      <w:r>
        <w:rPr>
          <w:rFonts w:hint="eastAsia" w:ascii="仿宋" w:hAnsi="仿宋" w:eastAsia="仿宋" w:cs="仿宋"/>
          <w:spacing w:val="3"/>
          <w:sz w:val="32"/>
          <w:szCs w:val="32"/>
        </w:rPr>
        <w:t>农村综合改革（款）对村集体经济组织的补助（项）</w:t>
      </w:r>
      <w:r>
        <w:rPr>
          <w:rFonts w:hint="eastAsia" w:ascii="仿宋" w:hAnsi="仿宋" w:eastAsia="仿宋" w:cs="仿宋"/>
          <w:spacing w:val="3"/>
          <w:sz w:val="32"/>
          <w:szCs w:val="32"/>
          <w:lang w:eastAsia="zh-CN"/>
        </w:rPr>
        <w:t>。</w:t>
      </w:r>
      <w:r>
        <w:rPr>
          <w:rFonts w:hint="eastAsia" w:ascii="仿宋" w:hAnsi="仿宋" w:eastAsia="仿宋" w:cs="仿宋"/>
          <w:spacing w:val="3"/>
          <w:sz w:val="32"/>
          <w:szCs w:val="32"/>
        </w:rPr>
        <w:t>年</w:t>
      </w:r>
      <w:r>
        <w:rPr>
          <w:rFonts w:hint="eastAsia" w:ascii="仿宋" w:hAnsi="仿宋" w:eastAsia="仿宋" w:cs="仿宋"/>
          <w:spacing w:val="-2"/>
          <w:sz w:val="32"/>
          <w:szCs w:val="32"/>
        </w:rPr>
        <w:t>初预算</w:t>
      </w:r>
      <w:r>
        <w:rPr>
          <w:rFonts w:hint="eastAsia" w:ascii="仿宋" w:hAnsi="仿宋" w:eastAsia="仿宋" w:cs="仿宋"/>
          <w:spacing w:val="-2"/>
          <w:sz w:val="32"/>
          <w:szCs w:val="32"/>
          <w:u w:val="single"/>
          <w:lang w:val="en-US" w:eastAsia="zh-CN"/>
        </w:rPr>
        <w:t>136</w:t>
      </w:r>
      <w:r>
        <w:rPr>
          <w:rFonts w:hint="eastAsia" w:ascii="仿宋" w:hAnsi="仿宋" w:eastAsia="仿宋" w:cs="仿宋"/>
          <w:spacing w:val="-2"/>
          <w:sz w:val="32"/>
          <w:szCs w:val="32"/>
        </w:rPr>
        <w:t>万元，与上年相比增加（减少）</w:t>
      </w:r>
      <w:r>
        <w:rPr>
          <w:rFonts w:hint="eastAsia" w:ascii="仿宋" w:hAnsi="仿宋" w:eastAsia="仿宋" w:cs="仿宋"/>
          <w:spacing w:val="-2"/>
          <w:sz w:val="32"/>
          <w:szCs w:val="32"/>
          <w:u w:val="single"/>
          <w:lang w:val="en-US" w:eastAsia="zh-CN"/>
        </w:rPr>
        <w:t>0</w:t>
      </w:r>
      <w:r>
        <w:rPr>
          <w:rFonts w:hint="eastAsia" w:ascii="仿宋" w:hAnsi="仿宋" w:eastAsia="仿宋" w:cs="仿宋"/>
          <w:spacing w:val="-2"/>
          <w:sz w:val="32"/>
          <w:szCs w:val="32"/>
        </w:rPr>
        <w:t>万元，增长</w:t>
      </w:r>
      <w:r>
        <w:rPr>
          <w:rFonts w:hint="eastAsia" w:ascii="仿宋" w:hAnsi="仿宋" w:eastAsia="仿宋" w:cs="仿宋"/>
          <w:sz w:val="32"/>
          <w:szCs w:val="32"/>
        </w:rPr>
        <w:t xml:space="preserve"> </w:t>
      </w:r>
      <w:r>
        <w:rPr>
          <w:rFonts w:hint="eastAsia" w:ascii="仿宋" w:hAnsi="仿宋" w:eastAsia="仿宋" w:cs="仿宋"/>
          <w:spacing w:val="10"/>
          <w:sz w:val="32"/>
          <w:szCs w:val="32"/>
        </w:rPr>
        <w:t>（减少</w:t>
      </w:r>
      <w:r>
        <w:rPr>
          <w:rFonts w:hint="eastAsia" w:ascii="仿宋" w:hAnsi="仿宋" w:eastAsia="仿宋" w:cs="仿宋"/>
          <w:spacing w:val="10"/>
          <w:sz w:val="32"/>
          <w:szCs w:val="32"/>
          <w:lang w:eastAsia="zh-CN"/>
        </w:rPr>
        <w:t>）</w:t>
      </w:r>
      <w:r>
        <w:rPr>
          <w:rFonts w:hint="eastAsia" w:ascii="仿宋" w:hAnsi="仿宋" w:eastAsia="仿宋" w:cs="仿宋"/>
          <w:spacing w:val="10"/>
          <w:sz w:val="32"/>
          <w:szCs w:val="32"/>
          <w:u w:val="single"/>
          <w:lang w:val="en-US" w:eastAsia="zh-CN"/>
        </w:rPr>
        <w:t>0%</w:t>
      </w:r>
      <w:r>
        <w:rPr>
          <w:rFonts w:hint="eastAsia" w:ascii="仿宋" w:hAnsi="仿宋" w:eastAsia="仿宋" w:cs="仿宋"/>
          <w:spacing w:val="10"/>
          <w:sz w:val="32"/>
          <w:szCs w:val="32"/>
        </w:rPr>
        <w:t>。变动原因：本年</w:t>
      </w:r>
      <w:r>
        <w:rPr>
          <w:rFonts w:hint="eastAsia" w:ascii="仿宋" w:hAnsi="仿宋" w:eastAsia="仿宋" w:cs="仿宋"/>
          <w:spacing w:val="9"/>
          <w:sz w:val="32"/>
          <w:szCs w:val="32"/>
        </w:rPr>
        <w:t>对村集体经济组织的补助预算</w:t>
      </w:r>
      <w:r>
        <w:rPr>
          <w:rFonts w:hint="eastAsia" w:ascii="仿宋" w:hAnsi="仿宋" w:eastAsia="仿宋" w:cs="仿宋"/>
          <w:spacing w:val="2"/>
          <w:sz w:val="32"/>
          <w:szCs w:val="32"/>
        </w:rPr>
        <w:t>与上年相同。</w:t>
      </w:r>
    </w:p>
    <w:p w14:paraId="19EDBC7A">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640" w:firstLineChars="200"/>
        <w:jc w:val="left"/>
        <w:textAlignment w:val="baseline"/>
        <w:rPr>
          <w:rFonts w:hint="eastAsia" w:ascii="黑体" w:hAnsi="黑体" w:eastAsia="黑体" w:cs="黑体"/>
          <w:spacing w:val="0"/>
          <w:position w:val="0"/>
          <w:sz w:val="32"/>
          <w:szCs w:val="32"/>
          <w:lang w:val="en-US" w:eastAsia="zh-CN"/>
        </w:rPr>
      </w:pPr>
      <w:r>
        <w:rPr>
          <w:rFonts w:hint="eastAsia" w:ascii="黑体" w:hAnsi="黑体" w:eastAsia="黑体" w:cs="黑体"/>
          <w:spacing w:val="0"/>
          <w:position w:val="0"/>
          <w:sz w:val="32"/>
          <w:szCs w:val="32"/>
          <w:lang w:val="en-US" w:eastAsia="zh-CN"/>
        </w:rPr>
        <w:t>（六）住房保障（类）</w:t>
      </w:r>
    </w:p>
    <w:p w14:paraId="6AFE9566">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住房保障类年初预算数为</w:t>
      </w:r>
      <w:r>
        <w:rPr>
          <w:rFonts w:hint="eastAsia" w:ascii="仿宋" w:hAnsi="仿宋" w:eastAsia="仿宋" w:cs="仿宋"/>
          <w:spacing w:val="20"/>
          <w:sz w:val="32"/>
          <w:szCs w:val="32"/>
          <w:u w:val="single"/>
          <w:lang w:val="en-US" w:eastAsia="zh-CN"/>
        </w:rPr>
        <w:t>66.87</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与上年相比</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u w:val="single" w:color="auto"/>
          <w:lang w:val="en-US" w:eastAsia="zh-CN"/>
        </w:rPr>
        <w:t>3.86</w:t>
      </w:r>
      <w:r>
        <w:rPr>
          <w:rFonts w:hint="eastAsia" w:ascii="仿宋" w:hAnsi="仿宋" w:eastAsia="仿宋" w:cs="仿宋"/>
          <w:spacing w:val="20"/>
          <w:sz w:val="32"/>
          <w:szCs w:val="32"/>
        </w:rPr>
        <w:t>万元。其中：</w:t>
      </w:r>
    </w:p>
    <w:p w14:paraId="1F80EDE7">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spacing w:val="20"/>
          <w:sz w:val="32"/>
          <w:szCs w:val="32"/>
          <w:lang w:eastAsia="zh-CN"/>
        </w:rPr>
        <w:sectPr>
          <w:footerReference r:id="rId11" w:type="default"/>
          <w:pgSz w:w="11912" w:h="16841"/>
          <w:pgMar w:top="1984" w:right="1701" w:bottom="1984" w:left="1701" w:header="907" w:footer="992" w:gutter="0"/>
          <w:pgNumType w:fmt="numberInDash"/>
          <w:cols w:space="720" w:num="1"/>
        </w:sectPr>
      </w:pPr>
      <w:r>
        <w:rPr>
          <w:rFonts w:hint="eastAsia" w:ascii="仿宋" w:hAnsi="仿宋" w:eastAsia="仿宋" w:cs="仿宋"/>
          <w:spacing w:val="20"/>
          <w:sz w:val="32"/>
          <w:szCs w:val="32"/>
          <w:lang w:val="en-US" w:eastAsia="zh-CN"/>
        </w:rPr>
        <w:t>1.</w:t>
      </w:r>
      <w:r>
        <w:rPr>
          <w:rFonts w:hint="eastAsia" w:ascii="仿宋" w:hAnsi="仿宋" w:eastAsia="仿宋" w:cs="仿宋"/>
          <w:spacing w:val="20"/>
          <w:sz w:val="32"/>
          <w:szCs w:val="32"/>
        </w:rPr>
        <w:t>住房改革支出（款）住房公积金（项）。年初预算</w:t>
      </w:r>
      <w:r>
        <w:rPr>
          <w:rFonts w:hint="eastAsia" w:ascii="仿宋" w:hAnsi="仿宋" w:eastAsia="仿宋" w:cs="仿宋"/>
          <w:spacing w:val="20"/>
          <w:sz w:val="32"/>
          <w:szCs w:val="32"/>
          <w:u w:val="single" w:color="auto"/>
          <w:lang w:val="en-US" w:eastAsia="zh-CN"/>
        </w:rPr>
        <w:t>66.87</w:t>
      </w:r>
      <w:r>
        <w:rPr>
          <w:rFonts w:hint="eastAsia" w:ascii="仿宋" w:hAnsi="仿宋" w:eastAsia="仿宋" w:cs="仿宋"/>
          <w:spacing w:val="20"/>
          <w:sz w:val="32"/>
          <w:szCs w:val="32"/>
        </w:rPr>
        <w:t>万元，与上年相比</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u w:val="single" w:color="auto"/>
          <w:lang w:val="en-US" w:eastAsia="zh-CN"/>
        </w:rPr>
        <w:t>3.86</w:t>
      </w:r>
      <w:r>
        <w:rPr>
          <w:rFonts w:hint="eastAsia" w:ascii="仿宋" w:hAnsi="仿宋" w:eastAsia="仿宋" w:cs="仿宋"/>
          <w:spacing w:val="20"/>
          <w:sz w:val="32"/>
          <w:szCs w:val="32"/>
        </w:rPr>
        <w:t>万元，</w:t>
      </w:r>
      <w:r>
        <w:rPr>
          <w:rFonts w:hint="eastAsia" w:ascii="仿宋" w:hAnsi="仿宋" w:eastAsia="仿宋" w:cs="仿宋"/>
          <w:spacing w:val="20"/>
          <w:sz w:val="32"/>
          <w:szCs w:val="32"/>
          <w:lang w:val="en-US" w:eastAsia="zh-CN"/>
        </w:rPr>
        <w:t>下降</w:t>
      </w:r>
      <w:r>
        <w:rPr>
          <w:rFonts w:hint="eastAsia" w:ascii="仿宋" w:hAnsi="仿宋" w:eastAsia="仿宋" w:cs="仿宋"/>
          <w:spacing w:val="20"/>
          <w:sz w:val="32"/>
          <w:szCs w:val="32"/>
          <w:u w:val="single"/>
          <w:lang w:val="en-US" w:eastAsia="zh-CN"/>
        </w:rPr>
        <w:t>5.46%</w:t>
      </w:r>
      <w:r>
        <w:rPr>
          <w:rFonts w:hint="eastAsia" w:ascii="仿宋" w:hAnsi="仿宋" w:eastAsia="仿宋" w:cs="仿宋"/>
          <w:spacing w:val="20"/>
          <w:sz w:val="32"/>
          <w:szCs w:val="32"/>
        </w:rPr>
        <w:t>。变动原因：</w:t>
      </w:r>
      <w:r>
        <w:rPr>
          <w:rFonts w:hint="eastAsia" w:ascii="仿宋" w:hAnsi="仿宋" w:eastAsia="仿宋" w:cs="仿宋"/>
          <w:spacing w:val="20"/>
          <w:sz w:val="32"/>
          <w:szCs w:val="32"/>
          <w:lang w:val="en-US" w:eastAsia="zh-CN"/>
        </w:rPr>
        <w:t>本年度人员变动</w:t>
      </w:r>
      <w:r>
        <w:rPr>
          <w:rFonts w:hint="eastAsia" w:ascii="仿宋" w:hAnsi="仿宋" w:eastAsia="仿宋" w:cs="仿宋"/>
          <w:spacing w:val="20"/>
          <w:sz w:val="32"/>
          <w:szCs w:val="32"/>
        </w:rPr>
        <w:t>住房公积金</w:t>
      </w:r>
      <w:r>
        <w:rPr>
          <w:rFonts w:hint="eastAsia" w:ascii="仿宋" w:hAnsi="仿宋" w:eastAsia="仿宋" w:cs="仿宋"/>
          <w:spacing w:val="20"/>
          <w:sz w:val="32"/>
          <w:szCs w:val="32"/>
          <w:lang w:val="en-US" w:eastAsia="zh-CN"/>
        </w:rPr>
        <w:t>预算减少。</w:t>
      </w:r>
    </w:p>
    <w:p w14:paraId="2C611A9F">
      <w:pPr>
        <w:pStyle w:val="2"/>
      </w:pPr>
    </w:p>
    <w:p w14:paraId="013F708A">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六、一般公共预算基本支出预算情况说明</w:t>
      </w:r>
    </w:p>
    <w:p w14:paraId="42C832A3">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32" w:firstLineChars="200"/>
        <w:jc w:val="both"/>
        <w:textAlignment w:val="baseline"/>
        <w:rPr>
          <w:rFonts w:hint="eastAsia" w:ascii="仿宋" w:hAnsi="仿宋" w:eastAsia="仿宋" w:cs="仿宋"/>
          <w:spacing w:val="23"/>
          <w:position w:val="0"/>
          <w:sz w:val="32"/>
          <w:szCs w:val="32"/>
        </w:rPr>
      </w:pPr>
      <w:r>
        <w:rPr>
          <w:rFonts w:hint="eastAsia" w:ascii="仿宋" w:hAnsi="仿宋" w:eastAsia="仿宋" w:cs="仿宋"/>
          <w:spacing w:val="23"/>
          <w:position w:val="0"/>
          <w:sz w:val="32"/>
          <w:szCs w:val="32"/>
        </w:rPr>
        <w:t>莫力达瓦达斡尔族自治旗巴彦鄂温克民族乡人民政府202</w:t>
      </w:r>
      <w:r>
        <w:rPr>
          <w:rFonts w:hint="eastAsia" w:ascii="仿宋" w:hAnsi="仿宋" w:eastAsia="仿宋" w:cs="仿宋"/>
          <w:spacing w:val="23"/>
          <w:position w:val="0"/>
          <w:sz w:val="32"/>
          <w:szCs w:val="32"/>
          <w:lang w:val="en-US" w:eastAsia="zh-CN"/>
        </w:rPr>
        <w:t>5</w:t>
      </w:r>
      <w:r>
        <w:rPr>
          <w:rFonts w:hint="eastAsia" w:ascii="仿宋" w:hAnsi="仿宋" w:eastAsia="仿宋" w:cs="仿宋"/>
          <w:spacing w:val="23"/>
          <w:position w:val="0"/>
          <w:sz w:val="32"/>
          <w:szCs w:val="32"/>
        </w:rPr>
        <w:t>年度一般公共预算财政拨款基本支出预算</w:t>
      </w:r>
      <w:r>
        <w:rPr>
          <w:rFonts w:hint="eastAsia" w:ascii="仿宋" w:hAnsi="仿宋" w:eastAsia="仿宋" w:cs="仿宋"/>
          <w:spacing w:val="23"/>
          <w:position w:val="0"/>
          <w:sz w:val="32"/>
          <w:szCs w:val="32"/>
          <w:u w:val="single" w:color="auto"/>
          <w:lang w:val="en-US" w:eastAsia="zh-CN"/>
        </w:rPr>
        <w:t>1104</w:t>
      </w:r>
      <w:r>
        <w:rPr>
          <w:rFonts w:hint="eastAsia" w:ascii="仿宋" w:hAnsi="仿宋" w:eastAsia="仿宋" w:cs="仿宋"/>
          <w:spacing w:val="23"/>
          <w:position w:val="0"/>
          <w:sz w:val="32"/>
          <w:szCs w:val="32"/>
        </w:rPr>
        <w:t>万元，其中：</w:t>
      </w:r>
    </w:p>
    <w:p w14:paraId="29A0E09C">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14:textOutline w14:w="5791" w14:cap="flat" w14:cmpd="sng">
            <w14:solidFill>
              <w14:srgbClr w14:val="000000"/>
            </w14:solidFill>
            <w14:prstDash w14:val="solid"/>
            <w14:miter w14:val="0"/>
          </w14:textOutline>
        </w:rPr>
        <w:t>（一）人员经费</w:t>
      </w:r>
      <w:r>
        <w:rPr>
          <w:rFonts w:hint="eastAsia" w:ascii="仿宋" w:hAnsi="仿宋" w:eastAsia="仿宋" w:cs="仿宋"/>
          <w:spacing w:val="20"/>
          <w:sz w:val="32"/>
          <w:szCs w:val="32"/>
          <w:u w:val="single"/>
          <w:lang w:val="en-US" w:eastAsia="zh-CN"/>
          <w14:textOutline w14:w="5791" w14:cap="flat" w14:cmpd="sng">
            <w14:solidFill>
              <w14:srgbClr w14:val="000000"/>
            </w14:solidFill>
            <w14:prstDash w14:val="solid"/>
            <w14:miter w14:val="0"/>
          </w14:textOutline>
        </w:rPr>
        <w:t>965.3</w:t>
      </w:r>
      <w:r>
        <w:rPr>
          <w:rFonts w:hint="eastAsia" w:ascii="仿宋" w:hAnsi="仿宋" w:eastAsia="仿宋" w:cs="仿宋"/>
          <w:spacing w:val="20"/>
          <w:sz w:val="32"/>
          <w:szCs w:val="32"/>
          <w14:textOutline w14:w="5791" w14:cap="flat" w14:cmpd="sng">
            <w14:solidFill>
              <w14:srgbClr w14:val="000000"/>
            </w14:solidFill>
            <w14:prstDash w14:val="solid"/>
            <w14:miter w14:val="0"/>
          </w14:textOutline>
        </w:rPr>
        <w:t>万元</w:t>
      </w:r>
      <w:r>
        <w:rPr>
          <w:rFonts w:hint="eastAsia" w:ascii="仿宋" w:hAnsi="仿宋" w:eastAsia="仿宋" w:cs="仿宋"/>
          <w:spacing w:val="20"/>
          <w:sz w:val="32"/>
          <w:szCs w:val="32"/>
        </w:rPr>
        <w:t>。主要包括：基本工资、津贴 补贴、奖金、绩效工资、住房公积金、医疗费、其他工资福利支出、退休费、抚恤金、其他对个人和家庭的补助等。</w:t>
      </w:r>
    </w:p>
    <w:p w14:paraId="21CC2047">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14:textOutline w14:w="5791" w14:cap="flat" w14:cmpd="sng">
            <w14:solidFill>
              <w14:srgbClr w14:val="000000"/>
            </w14:solidFill>
            <w14:prstDash w14:val="solid"/>
            <w14:miter w14:val="0"/>
          </w14:textOutline>
        </w:rPr>
        <w:t>（二）公用经费</w:t>
      </w:r>
      <w:r>
        <w:rPr>
          <w:rFonts w:hint="eastAsia" w:ascii="仿宋" w:hAnsi="仿宋" w:eastAsia="仿宋" w:cs="仿宋"/>
          <w:spacing w:val="20"/>
          <w:sz w:val="32"/>
          <w:szCs w:val="32"/>
          <w:u w:val="single"/>
          <w:lang w:val="en-US" w:eastAsia="zh-CN"/>
          <w14:textOutline w14:w="5791" w14:cap="flat" w14:cmpd="sng">
            <w14:solidFill>
              <w14:srgbClr w14:val="000000"/>
            </w14:solidFill>
            <w14:prstDash w14:val="solid"/>
            <w14:miter w14:val="0"/>
          </w14:textOutline>
        </w:rPr>
        <w:t>138.7</w:t>
      </w:r>
      <w:r>
        <w:rPr>
          <w:rFonts w:hint="eastAsia" w:ascii="仿宋" w:hAnsi="仿宋" w:eastAsia="仿宋" w:cs="仿宋"/>
          <w:spacing w:val="20"/>
          <w:sz w:val="32"/>
          <w:szCs w:val="32"/>
          <w14:textOutline w14:w="5791" w14:cap="flat" w14:cmpd="sng">
            <w14:solidFill>
              <w14:srgbClr w14:val="000000"/>
            </w14:solidFill>
            <w14:prstDash w14:val="solid"/>
            <w14:miter w14:val="0"/>
          </w14:textOutline>
        </w:rPr>
        <w:t>万元</w:t>
      </w:r>
      <w:r>
        <w:rPr>
          <w:rFonts w:hint="eastAsia" w:ascii="仿宋" w:hAnsi="仿宋" w:eastAsia="仿宋" w:cs="仿宋"/>
          <w:spacing w:val="20"/>
          <w:sz w:val="32"/>
          <w:szCs w:val="32"/>
        </w:rPr>
        <w:t>。主要包括：办公费、印刷费、 咨询费、手续费、水费、电费、邮电费、取暖费、差旅费、维修 （护）费、租赁费、会议费、培训费、专用材料费、劳务费、委 托业务费、工会经费、福利费、公务用车运行维护费、其他交通 费用、其他商品和服务支出、办公设备购置、专用设备购置、信息网络及软件购置更新、其他资本性支出等。</w:t>
      </w:r>
    </w:p>
    <w:p w14:paraId="799276BD">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七、一般公共预算“三公”经费支出预算情况说明</w:t>
      </w:r>
    </w:p>
    <w:p w14:paraId="77904C5F">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w w:val="100"/>
          <w:sz w:val="32"/>
          <w:szCs w:val="32"/>
        </w:rPr>
      </w:pPr>
      <w:r>
        <w:rPr>
          <w:rFonts w:hint="eastAsia" w:ascii="仿宋" w:hAnsi="仿宋" w:eastAsia="仿宋" w:cs="仿宋"/>
          <w:spacing w:val="20"/>
          <w:w w:val="100"/>
          <w:sz w:val="32"/>
          <w:szCs w:val="32"/>
        </w:rPr>
        <w:t>莫力达瓦达斡尔族自治旗巴彦鄂温克民族乡人民政府202</w:t>
      </w:r>
      <w:r>
        <w:rPr>
          <w:rFonts w:hint="eastAsia" w:ascii="仿宋" w:hAnsi="仿宋" w:eastAsia="仿宋" w:cs="仿宋"/>
          <w:spacing w:val="20"/>
          <w:w w:val="100"/>
          <w:sz w:val="32"/>
          <w:szCs w:val="32"/>
          <w:lang w:val="en-US" w:eastAsia="zh-CN"/>
        </w:rPr>
        <w:t>5</w:t>
      </w:r>
      <w:r>
        <w:rPr>
          <w:rFonts w:hint="eastAsia" w:ascii="仿宋" w:hAnsi="仿宋" w:eastAsia="仿宋" w:cs="仿宋"/>
          <w:spacing w:val="20"/>
          <w:w w:val="100"/>
          <w:sz w:val="32"/>
          <w:szCs w:val="32"/>
        </w:rPr>
        <w:t xml:space="preserve">年度一般公共预算拨款安排的“三公”经费预算支出 </w:t>
      </w:r>
      <w:r>
        <w:rPr>
          <w:rFonts w:hint="eastAsia" w:ascii="仿宋" w:hAnsi="仿宋" w:eastAsia="仿宋" w:cs="仿宋"/>
          <w:spacing w:val="20"/>
          <w:w w:val="100"/>
          <w:sz w:val="32"/>
          <w:szCs w:val="32"/>
          <w:u w:val="single" w:color="auto"/>
          <w:lang w:val="en-US" w:eastAsia="zh-CN"/>
        </w:rPr>
        <w:t>30</w:t>
      </w:r>
      <w:r>
        <w:rPr>
          <w:rFonts w:hint="eastAsia" w:ascii="仿宋" w:hAnsi="仿宋" w:eastAsia="仿宋" w:cs="仿宋"/>
          <w:spacing w:val="20"/>
          <w:w w:val="100"/>
          <w:sz w:val="32"/>
          <w:szCs w:val="32"/>
        </w:rPr>
        <w:t>万元，其中因公出国（境）费支出</w:t>
      </w:r>
      <w:r>
        <w:rPr>
          <w:rFonts w:hint="eastAsia" w:ascii="仿宋" w:hAnsi="仿宋" w:eastAsia="仿宋" w:cs="仿宋"/>
          <w:spacing w:val="20"/>
          <w:w w:val="100"/>
          <w:sz w:val="32"/>
          <w:szCs w:val="32"/>
          <w:u w:val="single"/>
          <w:lang w:val="en-US" w:eastAsia="zh-CN"/>
        </w:rPr>
        <w:t>0</w:t>
      </w:r>
      <w:r>
        <w:rPr>
          <w:rFonts w:hint="eastAsia" w:ascii="仿宋" w:hAnsi="仿宋" w:eastAsia="仿宋" w:cs="仿宋"/>
          <w:spacing w:val="20"/>
          <w:w w:val="100"/>
          <w:sz w:val="32"/>
          <w:szCs w:val="32"/>
        </w:rPr>
        <w:t>万元</w:t>
      </w:r>
      <w:r>
        <w:rPr>
          <w:rFonts w:hint="eastAsia" w:ascii="仿宋" w:hAnsi="仿宋" w:eastAsia="仿宋" w:cs="仿宋"/>
          <w:spacing w:val="20"/>
          <w:w w:val="100"/>
          <w:sz w:val="32"/>
          <w:szCs w:val="32"/>
          <w:lang w:val="en-US" w:eastAsia="zh-CN"/>
        </w:rPr>
        <w:t>,</w:t>
      </w:r>
      <w:r>
        <w:rPr>
          <w:rFonts w:hint="eastAsia" w:ascii="仿宋" w:hAnsi="仿宋" w:eastAsia="仿宋" w:cs="仿宋"/>
          <w:spacing w:val="20"/>
          <w:w w:val="100"/>
          <w:sz w:val="32"/>
          <w:szCs w:val="32"/>
        </w:rPr>
        <w:t>占</w:t>
      </w:r>
      <w:r>
        <w:rPr>
          <w:rFonts w:hint="eastAsia" w:ascii="仿宋" w:hAnsi="仿宋" w:eastAsia="仿宋" w:cs="仿宋"/>
          <w:spacing w:val="20"/>
          <w:w w:val="100"/>
          <w:sz w:val="32"/>
          <w:szCs w:val="32"/>
          <w:u w:val="single"/>
          <w:lang w:val="en-US" w:eastAsia="zh-CN"/>
        </w:rPr>
        <w:t>0%</w:t>
      </w:r>
      <w:r>
        <w:rPr>
          <w:rFonts w:hint="eastAsia" w:ascii="仿宋" w:hAnsi="仿宋" w:eastAsia="仿宋" w:cs="仿宋"/>
          <w:spacing w:val="20"/>
          <w:w w:val="100"/>
          <w:sz w:val="32"/>
          <w:szCs w:val="32"/>
        </w:rPr>
        <w:t>；公务用车购置及运行维护费支出</w:t>
      </w:r>
      <w:r>
        <w:rPr>
          <w:rFonts w:hint="eastAsia" w:ascii="仿宋" w:hAnsi="仿宋" w:eastAsia="仿宋" w:cs="仿宋"/>
          <w:spacing w:val="20"/>
          <w:w w:val="100"/>
          <w:sz w:val="32"/>
          <w:szCs w:val="32"/>
          <w:u w:val="single"/>
          <w:lang w:val="en-US" w:eastAsia="zh-CN"/>
        </w:rPr>
        <w:t>30</w:t>
      </w:r>
      <w:r>
        <w:rPr>
          <w:rFonts w:hint="eastAsia" w:ascii="仿宋" w:hAnsi="仿宋" w:eastAsia="仿宋" w:cs="仿宋"/>
          <w:spacing w:val="20"/>
          <w:w w:val="100"/>
          <w:sz w:val="32"/>
          <w:szCs w:val="32"/>
        </w:rPr>
        <w:t>万元</w:t>
      </w:r>
      <w:r>
        <w:rPr>
          <w:rFonts w:hint="eastAsia" w:ascii="仿宋" w:hAnsi="仿宋" w:eastAsia="仿宋" w:cs="仿宋"/>
          <w:spacing w:val="20"/>
          <w:w w:val="100"/>
          <w:sz w:val="32"/>
          <w:szCs w:val="32"/>
          <w:lang w:val="en-US" w:eastAsia="zh-CN"/>
        </w:rPr>
        <w:t>,占</w:t>
      </w:r>
      <w:r>
        <w:rPr>
          <w:rFonts w:hint="eastAsia" w:ascii="仿宋" w:hAnsi="仿宋" w:eastAsia="仿宋" w:cs="仿宋"/>
          <w:spacing w:val="20"/>
          <w:w w:val="100"/>
          <w:sz w:val="32"/>
          <w:szCs w:val="32"/>
          <w:u w:val="single"/>
          <w:lang w:val="en-US" w:eastAsia="zh-CN"/>
        </w:rPr>
        <w:t>100%</w:t>
      </w:r>
      <w:r>
        <w:rPr>
          <w:rFonts w:hint="eastAsia" w:ascii="仿宋" w:hAnsi="仿宋" w:eastAsia="仿宋" w:cs="仿宋"/>
          <w:spacing w:val="20"/>
          <w:w w:val="100"/>
          <w:sz w:val="32"/>
          <w:szCs w:val="32"/>
        </w:rPr>
        <w:t>；公务接待费支出</w:t>
      </w:r>
      <w:r>
        <w:rPr>
          <w:rFonts w:hint="eastAsia" w:ascii="仿宋" w:hAnsi="仿宋" w:eastAsia="仿宋" w:cs="仿宋"/>
          <w:spacing w:val="20"/>
          <w:w w:val="100"/>
          <w:sz w:val="32"/>
          <w:szCs w:val="32"/>
          <w:u w:val="single"/>
          <w:lang w:val="en-US" w:eastAsia="zh-CN"/>
        </w:rPr>
        <w:t>0</w:t>
      </w:r>
      <w:r>
        <w:rPr>
          <w:rFonts w:hint="eastAsia" w:ascii="仿宋" w:hAnsi="仿宋" w:eastAsia="仿宋" w:cs="仿宋"/>
          <w:spacing w:val="20"/>
          <w:w w:val="100"/>
          <w:sz w:val="32"/>
          <w:szCs w:val="32"/>
        </w:rPr>
        <w:t>万元</w:t>
      </w:r>
      <w:r>
        <w:rPr>
          <w:rFonts w:hint="eastAsia" w:ascii="仿宋" w:hAnsi="仿宋" w:eastAsia="仿宋" w:cs="仿宋"/>
          <w:spacing w:val="20"/>
          <w:w w:val="100"/>
          <w:sz w:val="32"/>
          <w:szCs w:val="32"/>
          <w:lang w:eastAsia="zh-CN"/>
        </w:rPr>
        <w:t>，</w:t>
      </w:r>
      <w:r>
        <w:rPr>
          <w:rFonts w:hint="eastAsia" w:ascii="仿宋" w:hAnsi="仿宋" w:eastAsia="仿宋" w:cs="仿宋"/>
          <w:spacing w:val="20"/>
          <w:w w:val="100"/>
          <w:sz w:val="32"/>
          <w:szCs w:val="32"/>
        </w:rPr>
        <w:t>占</w:t>
      </w:r>
      <w:r>
        <w:rPr>
          <w:rFonts w:hint="eastAsia" w:ascii="仿宋" w:hAnsi="仿宋" w:eastAsia="仿宋" w:cs="仿宋"/>
          <w:spacing w:val="20"/>
          <w:w w:val="100"/>
          <w:sz w:val="32"/>
          <w:szCs w:val="32"/>
          <w:u w:val="single"/>
          <w:lang w:val="en-US" w:eastAsia="zh-CN"/>
        </w:rPr>
        <w:t>0%</w:t>
      </w:r>
      <w:r>
        <w:rPr>
          <w:rFonts w:hint="eastAsia" w:ascii="仿宋" w:hAnsi="仿宋" w:eastAsia="仿宋" w:cs="仿宋"/>
          <w:spacing w:val="20"/>
          <w:w w:val="100"/>
          <w:sz w:val="32"/>
          <w:szCs w:val="32"/>
        </w:rPr>
        <w:t>。具体情况如下：</w:t>
      </w:r>
    </w:p>
    <w:p w14:paraId="2DBBB24A">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sectPr>
          <w:headerReference r:id="rId12" w:type="default"/>
          <w:footerReference r:id="rId13" w:type="default"/>
          <w:pgSz w:w="11907" w:h="16839"/>
          <w:pgMar w:top="1984" w:right="1701" w:bottom="1984" w:left="1701" w:header="907" w:footer="992" w:gutter="0"/>
          <w:pgNumType w:fmt="numberInDash"/>
          <w:cols w:space="720" w:num="1"/>
        </w:sectPr>
      </w:pPr>
    </w:p>
    <w:p w14:paraId="0B43B196">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一般公共预算拨款安排的“三公”经费预算支出</w:t>
      </w:r>
      <w:r>
        <w:rPr>
          <w:rFonts w:hint="eastAsia" w:ascii="仿宋" w:hAnsi="仿宋" w:eastAsia="仿宋" w:cs="仿宋"/>
          <w:spacing w:val="20"/>
          <w:sz w:val="32"/>
          <w:szCs w:val="32"/>
          <w:u w:val="single"/>
          <w:lang w:val="en-US" w:eastAsia="zh-CN"/>
        </w:rPr>
        <w:t>30</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比上年预算增加</w:t>
      </w:r>
      <w:r>
        <w:rPr>
          <w:rFonts w:hint="eastAsia" w:ascii="仿宋" w:hAnsi="仿宋" w:eastAsia="仿宋" w:cs="仿宋"/>
          <w:spacing w:val="20"/>
          <w:sz w:val="32"/>
          <w:szCs w:val="32"/>
          <w:u w:val="single" w:color="auto"/>
          <w:lang w:val="en-US" w:eastAsia="zh-CN"/>
        </w:rPr>
        <w:t>0</w:t>
      </w:r>
      <w:r>
        <w:rPr>
          <w:rFonts w:hint="eastAsia"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增长</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；其中：</w:t>
      </w:r>
    </w:p>
    <w:p w14:paraId="2A19E9A1">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ascii="仿宋" w:hAnsi="仿宋" w:eastAsia="仿宋" w:cs="仿宋"/>
          <w:color w:val="auto"/>
          <w:sz w:val="31"/>
          <w:szCs w:val="31"/>
          <w:shd w:val="clear" w:color="auto" w:fill="auto"/>
        </w:rPr>
      </w:pPr>
      <w:r>
        <w:rPr>
          <w:rFonts w:hint="eastAsia" w:ascii="仿宋" w:hAnsi="仿宋" w:eastAsia="仿宋" w:cs="仿宋"/>
          <w:color w:val="auto"/>
          <w:spacing w:val="20"/>
          <w:sz w:val="32"/>
          <w:szCs w:val="32"/>
          <w:shd w:val="clear" w:color="auto" w:fill="auto"/>
          <w:lang w:val="en-US" w:eastAsia="zh-CN"/>
        </w:rPr>
        <w:t>1.</w:t>
      </w:r>
      <w:r>
        <w:rPr>
          <w:rFonts w:ascii="仿宋" w:hAnsi="仿宋" w:eastAsia="仿宋" w:cs="仿宋"/>
          <w:color w:val="auto"/>
          <w:spacing w:val="20"/>
          <w:sz w:val="32"/>
          <w:szCs w:val="32"/>
          <w:shd w:val="clear" w:color="auto" w:fill="auto"/>
        </w:rPr>
        <w:t>因公出国（境）费预算支出</w:t>
      </w:r>
      <w:r>
        <w:rPr>
          <w:rFonts w:hint="eastAsia" w:ascii="仿宋" w:hAnsi="仿宋" w:eastAsia="仿宋" w:cs="仿宋"/>
          <w:color w:val="auto"/>
          <w:spacing w:val="20"/>
          <w:sz w:val="32"/>
          <w:szCs w:val="32"/>
          <w:u w:val="single"/>
          <w:shd w:val="clear" w:color="auto" w:fill="auto"/>
          <w:lang w:val="en-US" w:eastAsia="zh-CN"/>
        </w:rPr>
        <w:t>0</w:t>
      </w:r>
      <w:r>
        <w:rPr>
          <w:rFonts w:ascii="仿宋" w:hAnsi="仿宋" w:eastAsia="仿宋" w:cs="仿宋"/>
          <w:color w:val="auto"/>
          <w:spacing w:val="20"/>
          <w:sz w:val="32"/>
          <w:szCs w:val="32"/>
          <w:shd w:val="clear" w:color="auto" w:fill="auto"/>
        </w:rPr>
        <w:t>万元，比上年预算增加（减少</w:t>
      </w:r>
      <w:r>
        <w:rPr>
          <w:rFonts w:hint="eastAsia" w:ascii="仿宋" w:hAnsi="仿宋" w:eastAsia="仿宋" w:cs="仿宋"/>
          <w:color w:val="auto"/>
          <w:spacing w:val="20"/>
          <w:sz w:val="32"/>
          <w:szCs w:val="32"/>
          <w:shd w:val="clear" w:color="auto" w:fill="auto"/>
          <w:lang w:eastAsia="zh-CN"/>
        </w:rPr>
        <w:t>）</w:t>
      </w:r>
      <w:r>
        <w:rPr>
          <w:rFonts w:hint="eastAsia" w:ascii="仿宋" w:hAnsi="仿宋" w:eastAsia="仿宋" w:cs="仿宋"/>
          <w:color w:val="auto"/>
          <w:spacing w:val="20"/>
          <w:sz w:val="32"/>
          <w:szCs w:val="32"/>
          <w:u w:val="single"/>
          <w:shd w:val="clear" w:color="auto" w:fill="auto"/>
          <w:lang w:val="en-US" w:eastAsia="zh-CN"/>
        </w:rPr>
        <w:t>0</w:t>
      </w:r>
      <w:r>
        <w:rPr>
          <w:rFonts w:ascii="仿宋" w:hAnsi="仿宋" w:eastAsia="仿宋" w:cs="仿宋"/>
          <w:color w:val="auto"/>
          <w:spacing w:val="20"/>
          <w:sz w:val="32"/>
          <w:szCs w:val="32"/>
          <w:shd w:val="clear" w:color="auto" w:fill="auto"/>
        </w:rPr>
        <w:t>万元，主要原因</w:t>
      </w:r>
      <w:r>
        <w:rPr>
          <w:rFonts w:hint="eastAsia" w:ascii="仿宋" w:hAnsi="仿宋" w:eastAsia="仿宋" w:cs="仿宋"/>
          <w:b/>
          <w:bCs/>
          <w:color w:val="auto"/>
          <w:spacing w:val="20"/>
          <w:sz w:val="32"/>
          <w:szCs w:val="32"/>
          <w:shd w:val="clear" w:color="auto" w:fill="auto"/>
          <w:lang w:val="en-US" w:eastAsia="zh-CN"/>
        </w:rPr>
        <w:t>不存在此项内容</w:t>
      </w:r>
      <w:r>
        <w:rPr>
          <w:rFonts w:ascii="仿宋" w:hAnsi="仿宋" w:eastAsia="仿宋" w:cs="仿宋"/>
          <w:color w:val="auto"/>
          <w:spacing w:val="20"/>
          <w:sz w:val="32"/>
          <w:szCs w:val="32"/>
          <w:shd w:val="clear" w:color="auto" w:fill="auto"/>
        </w:rPr>
        <w:t>。</w:t>
      </w:r>
    </w:p>
    <w:p w14:paraId="3650C7B8">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ascii="仿宋" w:hAnsi="仿宋" w:eastAsia="仿宋" w:cs="仿宋"/>
          <w:spacing w:val="20"/>
          <w:sz w:val="32"/>
          <w:szCs w:val="32"/>
        </w:rPr>
      </w:pPr>
      <w:r>
        <w:rPr>
          <w:rFonts w:hint="eastAsia" w:ascii="仿宋" w:hAnsi="仿宋" w:eastAsia="仿宋" w:cs="仿宋"/>
          <w:spacing w:val="20"/>
          <w:sz w:val="32"/>
          <w:szCs w:val="32"/>
          <w:lang w:val="en-US" w:eastAsia="zh-CN"/>
        </w:rPr>
        <w:t>2.</w:t>
      </w:r>
      <w:r>
        <w:rPr>
          <w:rFonts w:ascii="仿宋" w:hAnsi="仿宋" w:eastAsia="仿宋" w:cs="仿宋"/>
          <w:spacing w:val="20"/>
          <w:sz w:val="32"/>
          <w:szCs w:val="32"/>
        </w:rPr>
        <w:t>公务用车购置及运行维护费预算支出</w:t>
      </w:r>
      <w:r>
        <w:rPr>
          <w:rFonts w:hint="eastAsia" w:ascii="仿宋" w:hAnsi="仿宋" w:eastAsia="仿宋" w:cs="仿宋"/>
          <w:spacing w:val="20"/>
          <w:sz w:val="32"/>
          <w:szCs w:val="32"/>
          <w:u w:val="single"/>
          <w:lang w:val="en-US" w:eastAsia="zh-CN"/>
        </w:rPr>
        <w:t>30</w:t>
      </w:r>
      <w:r>
        <w:rPr>
          <w:rFonts w:ascii="仿宋" w:hAnsi="仿宋" w:eastAsia="仿宋" w:cs="仿宋"/>
          <w:spacing w:val="20"/>
          <w:sz w:val="32"/>
          <w:szCs w:val="32"/>
        </w:rPr>
        <w:t>万元。其中：</w:t>
      </w:r>
    </w:p>
    <w:p w14:paraId="62463EA0">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（1）公务用车购置预算支出</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万元，比上年预算增加（减少</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万元，主要原因</w:t>
      </w:r>
      <w:r>
        <w:rPr>
          <w:rFonts w:hint="eastAsia" w:ascii="仿宋" w:hAnsi="仿宋" w:eastAsia="仿宋" w:cs="仿宋"/>
          <w:b/>
          <w:bCs/>
          <w:spacing w:val="20"/>
          <w:sz w:val="32"/>
          <w:szCs w:val="32"/>
          <w:lang w:val="en-US" w:eastAsia="zh-CN"/>
        </w:rPr>
        <w:t>不存在此项内容</w:t>
      </w:r>
      <w:r>
        <w:rPr>
          <w:rFonts w:hint="eastAsia" w:ascii="仿宋" w:hAnsi="仿宋" w:eastAsia="仿宋" w:cs="仿宋"/>
          <w:spacing w:val="20"/>
          <w:sz w:val="32"/>
          <w:szCs w:val="32"/>
        </w:rPr>
        <w:t>。</w:t>
      </w:r>
    </w:p>
    <w:p w14:paraId="4F123AA4">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（2）公务用车运行维护费预算支出</w:t>
      </w:r>
      <w:r>
        <w:rPr>
          <w:rFonts w:hint="eastAsia" w:ascii="仿宋" w:hAnsi="仿宋" w:eastAsia="仿宋" w:cs="仿宋"/>
          <w:spacing w:val="20"/>
          <w:sz w:val="32"/>
          <w:szCs w:val="32"/>
          <w:u w:val="single"/>
          <w:lang w:val="en-US" w:eastAsia="zh-CN"/>
        </w:rPr>
        <w:t>30</w:t>
      </w:r>
      <w:r>
        <w:rPr>
          <w:rFonts w:hint="eastAsia" w:ascii="仿宋" w:hAnsi="仿宋" w:eastAsia="仿宋" w:cs="仿宋"/>
          <w:spacing w:val="20"/>
          <w:sz w:val="32"/>
          <w:szCs w:val="32"/>
        </w:rPr>
        <w:t>万元，比上年预算增加</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lang w:val="en-US" w:eastAsia="zh-CN"/>
        </w:rPr>
        <w:t>减少</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万元，主要原因</w:t>
      </w:r>
      <w:r>
        <w:rPr>
          <w:rFonts w:hint="eastAsia" w:ascii="仿宋" w:hAnsi="仿宋" w:eastAsia="仿宋" w:cs="仿宋"/>
          <w:b/>
          <w:bCs/>
          <w:spacing w:val="20"/>
          <w:sz w:val="32"/>
          <w:szCs w:val="32"/>
          <w:lang w:val="en-US" w:eastAsia="zh-CN"/>
        </w:rPr>
        <w:t>不存在此项内容</w:t>
      </w:r>
      <w:r>
        <w:rPr>
          <w:rFonts w:hint="eastAsia" w:ascii="仿宋" w:hAnsi="仿宋" w:eastAsia="仿宋" w:cs="仿宋"/>
          <w:spacing w:val="20"/>
          <w:sz w:val="32"/>
          <w:szCs w:val="32"/>
        </w:rPr>
        <w:t>。</w:t>
      </w:r>
    </w:p>
    <w:p w14:paraId="6F82F159">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ascii="仿宋" w:hAnsi="仿宋" w:eastAsia="仿宋" w:cs="仿宋"/>
          <w:spacing w:val="20"/>
          <w:sz w:val="32"/>
          <w:szCs w:val="32"/>
        </w:rPr>
      </w:pPr>
      <w:r>
        <w:rPr>
          <w:rFonts w:hint="eastAsia" w:ascii="仿宋" w:hAnsi="仿宋" w:eastAsia="仿宋" w:cs="仿宋"/>
          <w:spacing w:val="20"/>
          <w:sz w:val="32"/>
          <w:szCs w:val="32"/>
          <w:lang w:val="en-US" w:eastAsia="zh-CN"/>
        </w:rPr>
        <w:t>3.</w:t>
      </w:r>
      <w:r>
        <w:rPr>
          <w:rFonts w:ascii="仿宋" w:hAnsi="仿宋" w:eastAsia="仿宋" w:cs="仿宋"/>
          <w:spacing w:val="20"/>
          <w:sz w:val="32"/>
          <w:szCs w:val="32"/>
        </w:rPr>
        <w:t>公务接待费预算支出</w:t>
      </w:r>
      <w:r>
        <w:rPr>
          <w:rFonts w:hint="eastAsia" w:ascii="仿宋" w:hAnsi="仿宋" w:eastAsia="仿宋" w:cs="仿宋"/>
          <w:spacing w:val="20"/>
          <w:sz w:val="32"/>
          <w:szCs w:val="32"/>
          <w:u w:val="single"/>
          <w:lang w:val="en-US" w:eastAsia="zh-CN"/>
        </w:rPr>
        <w:t>0</w:t>
      </w:r>
      <w:r>
        <w:rPr>
          <w:rFonts w:ascii="仿宋" w:hAnsi="仿宋" w:eastAsia="仿宋" w:cs="仿宋"/>
          <w:spacing w:val="20"/>
          <w:sz w:val="32"/>
          <w:szCs w:val="32"/>
        </w:rPr>
        <w:t>万元，比上年预算增加（减少</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u w:val="single"/>
          <w:lang w:val="en-US" w:eastAsia="zh-CN"/>
        </w:rPr>
        <w:t>0</w:t>
      </w:r>
      <w:r>
        <w:rPr>
          <w:rFonts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ascii="仿宋" w:hAnsi="仿宋" w:eastAsia="仿宋" w:cs="仿宋"/>
          <w:spacing w:val="20"/>
          <w:sz w:val="32"/>
          <w:szCs w:val="32"/>
        </w:rPr>
        <w:t>主要原因</w:t>
      </w:r>
      <w:r>
        <w:rPr>
          <w:rFonts w:hint="eastAsia" w:ascii="仿宋" w:hAnsi="仿宋" w:eastAsia="仿宋" w:cs="仿宋"/>
          <w:b/>
          <w:bCs/>
          <w:spacing w:val="20"/>
          <w:sz w:val="32"/>
          <w:szCs w:val="32"/>
          <w:lang w:val="en-US" w:eastAsia="zh-CN"/>
        </w:rPr>
        <w:t>不存在此项内容</w:t>
      </w:r>
      <w:r>
        <w:rPr>
          <w:rFonts w:ascii="仿宋" w:hAnsi="仿宋" w:eastAsia="仿宋" w:cs="仿宋"/>
          <w:spacing w:val="20"/>
          <w:sz w:val="32"/>
          <w:szCs w:val="32"/>
        </w:rPr>
        <w:t>。</w:t>
      </w:r>
    </w:p>
    <w:p w14:paraId="7D895BA0">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八、政府性基金预算支出预算情况说明</w:t>
      </w:r>
    </w:p>
    <w:p w14:paraId="7B2192CB">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ascii="仿宋" w:hAnsi="仿宋" w:eastAsia="仿宋" w:cs="仿宋"/>
          <w:spacing w:val="20"/>
          <w:sz w:val="32"/>
          <w:szCs w:val="32"/>
        </w:rPr>
      </w:pPr>
      <w:r>
        <w:rPr>
          <w:rFonts w:ascii="仿宋" w:hAnsi="仿宋" w:eastAsia="仿宋" w:cs="仿宋"/>
          <w:spacing w:val="20"/>
          <w:sz w:val="32"/>
          <w:szCs w:val="32"/>
        </w:rPr>
        <w:t>莫力达瓦达斡尔族自治旗巴彦鄂温克民族乡人民政府</w:t>
      </w:r>
      <w:r>
        <w:rPr>
          <w:rFonts w:hint="eastAsia" w:ascii="仿宋" w:hAnsi="仿宋" w:eastAsia="仿宋" w:cs="仿宋"/>
          <w:spacing w:val="20"/>
          <w:sz w:val="32"/>
          <w:szCs w:val="32"/>
          <w:lang w:val="en-US" w:eastAsia="zh-CN"/>
        </w:rPr>
        <w:t>2025</w:t>
      </w:r>
      <w:r>
        <w:rPr>
          <w:rFonts w:ascii="仿宋" w:hAnsi="仿宋" w:eastAsia="仿宋" w:cs="仿宋"/>
          <w:spacing w:val="20"/>
          <w:sz w:val="32"/>
          <w:szCs w:val="32"/>
        </w:rPr>
        <w:t>年度政府性基金支出预算支出</w:t>
      </w:r>
      <w:r>
        <w:rPr>
          <w:rFonts w:hint="eastAsia" w:ascii="仿宋" w:hAnsi="仿宋" w:eastAsia="仿宋" w:cs="仿宋"/>
          <w:spacing w:val="20"/>
          <w:sz w:val="32"/>
          <w:szCs w:val="32"/>
          <w:u w:val="single"/>
          <w:lang w:val="en-US" w:eastAsia="zh-CN"/>
        </w:rPr>
        <w:t>103.86</w:t>
      </w:r>
      <w:r>
        <w:rPr>
          <w:rFonts w:ascii="仿宋" w:hAnsi="仿宋" w:eastAsia="仿宋" w:cs="仿宋"/>
          <w:spacing w:val="20"/>
          <w:sz w:val="32"/>
          <w:szCs w:val="32"/>
        </w:rPr>
        <w:t>万元。与上年相比</w:t>
      </w:r>
      <w:r>
        <w:rPr>
          <w:rFonts w:hint="eastAsia" w:ascii="仿宋" w:hAnsi="仿宋" w:eastAsia="仿宋" w:cs="仿宋"/>
          <w:spacing w:val="20"/>
          <w:sz w:val="32"/>
          <w:szCs w:val="32"/>
          <w:lang w:val="en-US" w:eastAsia="zh-CN"/>
        </w:rPr>
        <w:t>增加</w:t>
      </w:r>
      <w:r>
        <w:rPr>
          <w:rFonts w:hint="eastAsia" w:ascii="仿宋" w:hAnsi="仿宋" w:eastAsia="仿宋" w:cs="仿宋"/>
          <w:spacing w:val="20"/>
          <w:sz w:val="32"/>
          <w:szCs w:val="32"/>
          <w:u w:val="single"/>
          <w:lang w:val="en-US" w:eastAsia="zh-CN"/>
        </w:rPr>
        <w:t>103.86</w:t>
      </w:r>
      <w:r>
        <w:rPr>
          <w:rFonts w:ascii="仿宋" w:hAnsi="仿宋" w:eastAsia="仿宋" w:cs="仿宋"/>
          <w:spacing w:val="20"/>
          <w:sz w:val="32"/>
          <w:szCs w:val="32"/>
        </w:rPr>
        <w:t>万元，</w:t>
      </w:r>
      <w:r>
        <w:rPr>
          <w:rFonts w:hint="eastAsia" w:ascii="仿宋" w:hAnsi="仿宋" w:eastAsia="仿宋" w:cs="仿宋"/>
          <w:spacing w:val="20"/>
          <w:sz w:val="32"/>
          <w:szCs w:val="32"/>
          <w:lang w:val="en-US" w:eastAsia="zh-CN"/>
        </w:rPr>
        <w:t>增加</w:t>
      </w:r>
      <w:r>
        <w:rPr>
          <w:rFonts w:hint="eastAsia" w:ascii="仿宋" w:hAnsi="仿宋" w:eastAsia="仿宋" w:cs="仿宋"/>
          <w:spacing w:val="20"/>
          <w:sz w:val="32"/>
          <w:szCs w:val="32"/>
          <w:u w:val="single"/>
          <w:lang w:val="en-US" w:eastAsia="zh-CN"/>
        </w:rPr>
        <w:t>100%</w:t>
      </w:r>
      <w:r>
        <w:rPr>
          <w:rFonts w:ascii="仿宋" w:hAnsi="仿宋" w:eastAsia="仿宋" w:cs="仿宋"/>
          <w:spacing w:val="20"/>
          <w:sz w:val="32"/>
          <w:szCs w:val="32"/>
        </w:rPr>
        <w:t>。主要原因</w:t>
      </w:r>
      <w:r>
        <w:rPr>
          <w:rFonts w:ascii="仿宋" w:hAnsi="仿宋" w:eastAsia="仿宋" w:cs="仿宋"/>
          <w:spacing w:val="20"/>
          <w:sz w:val="32"/>
          <w:szCs w:val="32"/>
          <w14:textOutline w14:w="5791" w14:cap="flat" w14:cmpd="sng">
            <w14:solidFill>
              <w14:srgbClr w14:val="000000"/>
            </w14:solidFill>
            <w14:prstDash w14:val="solid"/>
            <w14:miter w14:val="0"/>
          </w14:textOutline>
        </w:rPr>
        <w:t>本年</w:t>
      </w:r>
      <w:r>
        <w:rPr>
          <w:rFonts w:hint="eastAsia" w:ascii="仿宋" w:hAnsi="仿宋" w:eastAsia="仿宋" w:cs="仿宋"/>
          <w:spacing w:val="20"/>
          <w:sz w:val="32"/>
          <w:szCs w:val="32"/>
          <w:lang w:val="en-US" w:eastAsia="zh-CN"/>
          <w14:textOutline w14:w="5791" w14:cap="flat" w14:cmpd="sng">
            <w14:solidFill>
              <w14:srgbClr w14:val="000000"/>
            </w14:solidFill>
            <w14:prstDash w14:val="solid"/>
            <w14:miter w14:val="0"/>
          </w14:textOutline>
        </w:rPr>
        <w:t>度新增</w:t>
      </w:r>
      <w:r>
        <w:rPr>
          <w:rFonts w:ascii="仿宋" w:hAnsi="仿宋" w:eastAsia="仿宋" w:cs="仿宋"/>
          <w:spacing w:val="20"/>
          <w:sz w:val="32"/>
          <w:szCs w:val="32"/>
          <w14:textOutline w14:w="5791" w14:cap="flat" w14:cmpd="sng">
            <w14:solidFill>
              <w14:srgbClr w14:val="000000"/>
            </w14:solidFill>
            <w14:prstDash w14:val="solid"/>
            <w14:miter w14:val="0"/>
          </w14:textOutline>
        </w:rPr>
        <w:t>政府性基金预算支出</w:t>
      </w:r>
      <w:r>
        <w:rPr>
          <w:rFonts w:ascii="仿宋" w:hAnsi="仿宋" w:eastAsia="仿宋" w:cs="仿宋"/>
          <w:spacing w:val="20"/>
          <w:sz w:val="32"/>
          <w:szCs w:val="32"/>
        </w:rPr>
        <w:t>。其中：</w:t>
      </w:r>
    </w:p>
    <w:p w14:paraId="5EDF0CA5">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ascii="仿宋" w:hAnsi="仿宋" w:eastAsia="仿宋" w:cs="仿宋"/>
          <w:spacing w:val="20"/>
          <w:sz w:val="32"/>
          <w:szCs w:val="32"/>
        </w:rPr>
      </w:pPr>
      <w:r>
        <w:rPr>
          <w:rFonts w:hint="eastAsia" w:ascii="仿宋" w:hAnsi="仿宋" w:eastAsia="仿宋" w:cs="仿宋"/>
          <w:spacing w:val="20"/>
          <w:sz w:val="32"/>
          <w:szCs w:val="32"/>
          <w:lang w:val="en-US" w:eastAsia="zh-CN"/>
        </w:rPr>
        <w:t>1.</w:t>
      </w:r>
      <w:r>
        <w:rPr>
          <w:rFonts w:ascii="仿宋" w:hAnsi="仿宋" w:eastAsia="仿宋" w:cs="仿宋"/>
          <w:spacing w:val="20"/>
          <w:sz w:val="32"/>
          <w:szCs w:val="32"/>
        </w:rPr>
        <w:t>城乡社区支出（类）国有土地使用权出让收入安排的支出（款）</w:t>
      </w:r>
      <w:r>
        <w:rPr>
          <w:rFonts w:hint="eastAsia" w:ascii="仿宋" w:hAnsi="仿宋" w:eastAsia="仿宋" w:cs="仿宋"/>
          <w:spacing w:val="20"/>
          <w:sz w:val="32"/>
          <w:szCs w:val="32"/>
        </w:rPr>
        <w:t>农村基础设施建设支出</w:t>
      </w:r>
      <w:r>
        <w:rPr>
          <w:rFonts w:ascii="仿宋" w:hAnsi="仿宋" w:eastAsia="仿宋" w:cs="仿宋"/>
          <w:spacing w:val="20"/>
          <w:sz w:val="32"/>
          <w:szCs w:val="32"/>
        </w:rPr>
        <w:t>（项）支出</w:t>
      </w:r>
      <w:r>
        <w:rPr>
          <w:rFonts w:hint="eastAsia" w:ascii="仿宋" w:hAnsi="仿宋" w:eastAsia="仿宋" w:cs="仿宋"/>
          <w:spacing w:val="20"/>
          <w:sz w:val="32"/>
          <w:szCs w:val="32"/>
          <w:u w:val="single"/>
          <w:lang w:val="en-US" w:eastAsia="zh-CN"/>
        </w:rPr>
        <w:t>103.86</w:t>
      </w:r>
      <w:r>
        <w:rPr>
          <w:rFonts w:ascii="仿宋" w:hAnsi="仿宋" w:eastAsia="仿宋" w:cs="仿宋"/>
          <w:spacing w:val="20"/>
          <w:sz w:val="32"/>
          <w:szCs w:val="32"/>
        </w:rPr>
        <w:t>万元，主要是用于</w:t>
      </w:r>
      <w:r>
        <w:rPr>
          <w:rFonts w:hint="eastAsia" w:ascii="仿宋" w:hAnsi="仿宋" w:eastAsia="仿宋" w:cs="仿宋"/>
          <w:spacing w:val="20"/>
          <w:sz w:val="32"/>
          <w:szCs w:val="32"/>
        </w:rPr>
        <w:t>乡村公路日常养护</w:t>
      </w:r>
      <w:r>
        <w:rPr>
          <w:rFonts w:ascii="仿宋" w:hAnsi="仿宋" w:eastAsia="仿宋" w:cs="仿宋"/>
          <w:spacing w:val="20"/>
          <w:sz w:val="32"/>
          <w:szCs w:val="32"/>
        </w:rPr>
        <w:t>。</w:t>
      </w:r>
    </w:p>
    <w:p w14:paraId="2777EC5A">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九、国有资本经营预算支出预算情况说明</w:t>
      </w:r>
    </w:p>
    <w:p w14:paraId="03A01207">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20" w:firstLineChars="200"/>
        <w:jc w:val="both"/>
        <w:textAlignment w:val="baseline"/>
        <w:rPr>
          <w:rFonts w:ascii="仿宋" w:hAnsi="仿宋" w:eastAsia="仿宋" w:cs="仿宋"/>
          <w:spacing w:val="20"/>
          <w:sz w:val="32"/>
          <w:szCs w:val="32"/>
        </w:rPr>
      </w:pPr>
      <w:r>
        <w:rPr>
          <w:rFonts w:ascii="仿宋" w:hAnsi="仿宋" w:eastAsia="仿宋" w:cs="仿宋"/>
          <w:spacing w:val="20"/>
          <w:sz w:val="32"/>
          <w:szCs w:val="32"/>
        </w:rPr>
        <w:t>莫力达瓦达斡尔族自治旗巴彦鄂温克民族乡人民政府202</w:t>
      </w:r>
      <w:r>
        <w:rPr>
          <w:rFonts w:hint="eastAsia" w:ascii="仿宋" w:hAnsi="仿宋" w:eastAsia="仿宋" w:cs="仿宋"/>
          <w:spacing w:val="20"/>
          <w:sz w:val="32"/>
          <w:szCs w:val="32"/>
          <w:lang w:val="en-US" w:eastAsia="zh-CN"/>
        </w:rPr>
        <w:t>5</w:t>
      </w:r>
      <w:r>
        <w:rPr>
          <w:rFonts w:ascii="仿宋" w:hAnsi="仿宋" w:eastAsia="仿宋" w:cs="仿宋"/>
          <w:spacing w:val="20"/>
          <w:sz w:val="32"/>
          <w:szCs w:val="32"/>
        </w:rPr>
        <w:t>年度国有资本经营预算支出</w:t>
      </w:r>
      <w:r>
        <w:rPr>
          <w:rFonts w:hint="eastAsia" w:ascii="仿宋" w:hAnsi="仿宋" w:eastAsia="仿宋" w:cs="仿宋"/>
          <w:spacing w:val="20"/>
          <w:sz w:val="32"/>
          <w:szCs w:val="32"/>
          <w:u w:val="single"/>
          <w:lang w:val="en-US" w:eastAsia="zh-CN"/>
        </w:rPr>
        <w:t>0</w:t>
      </w:r>
      <w:r>
        <w:rPr>
          <w:rFonts w:ascii="仿宋" w:hAnsi="仿宋" w:eastAsia="仿宋" w:cs="仿宋"/>
          <w:spacing w:val="20"/>
          <w:sz w:val="32"/>
          <w:szCs w:val="32"/>
        </w:rPr>
        <w:t>万元。与上年相比增加（减少</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u w:val="single"/>
          <w:lang w:val="en-US" w:eastAsia="zh-CN"/>
        </w:rPr>
        <w:t>0</w:t>
      </w:r>
      <w:r>
        <w:rPr>
          <w:rFonts w:ascii="仿宋" w:hAnsi="仿宋" w:eastAsia="仿宋" w:cs="仿宋"/>
          <w:spacing w:val="20"/>
          <w:sz w:val="32"/>
          <w:szCs w:val="32"/>
        </w:rPr>
        <w:t>万元，增长（减少</w:t>
      </w:r>
      <w:r>
        <w:rPr>
          <w:rFonts w:ascii="仿宋" w:hAnsi="仿宋" w:eastAsia="仿宋" w:cs="仿宋"/>
          <w:spacing w:val="20"/>
          <w:sz w:val="32"/>
          <w:szCs w:val="32"/>
          <w:u w:val="single"/>
        </w:rPr>
        <w:t>）</w:t>
      </w:r>
      <w:r>
        <w:rPr>
          <w:rFonts w:hint="eastAsia" w:ascii="仿宋" w:hAnsi="仿宋" w:eastAsia="仿宋" w:cs="仿宋"/>
          <w:spacing w:val="20"/>
          <w:sz w:val="32"/>
          <w:szCs w:val="32"/>
          <w:u w:val="single"/>
          <w:lang w:val="en-US" w:eastAsia="zh-CN"/>
        </w:rPr>
        <w:t>0%</w:t>
      </w:r>
      <w:r>
        <w:rPr>
          <w:rFonts w:ascii="仿宋" w:hAnsi="仿宋" w:eastAsia="仿宋" w:cs="仿宋"/>
          <w:spacing w:val="20"/>
          <w:sz w:val="32"/>
          <w:szCs w:val="32"/>
        </w:rPr>
        <w:t>。主要原因</w:t>
      </w:r>
      <w:r>
        <w:rPr>
          <w:rFonts w:hint="eastAsia" w:ascii="仿宋" w:hAnsi="仿宋" w:eastAsia="仿宋" w:cs="仿宋"/>
          <w:b/>
          <w:bCs/>
          <w:spacing w:val="20"/>
          <w:sz w:val="32"/>
          <w:szCs w:val="32"/>
          <w:lang w:val="en-US" w:eastAsia="zh-CN"/>
        </w:rPr>
        <w:t>不存在此项内容。</w:t>
      </w:r>
    </w:p>
    <w:p w14:paraId="47D9111C">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十、项目支出预算情况说明</w:t>
      </w:r>
    </w:p>
    <w:p w14:paraId="263E7960">
      <w:pPr>
        <w:keepNext w:val="0"/>
        <w:keepLines w:val="0"/>
        <w:pageBreakBefore w:val="0"/>
        <w:widowControl/>
        <w:kinsoku w:val="0"/>
        <w:wordWrap/>
        <w:overflowPunct/>
        <w:topLinePunct w:val="0"/>
        <w:autoSpaceDE w:val="0"/>
        <w:autoSpaceDN w:val="0"/>
        <w:bidi w:val="0"/>
        <w:adjustRightInd w:val="0"/>
        <w:snapToGrid w:val="0"/>
        <w:spacing w:line="580" w:lineRule="exact"/>
        <w:ind w:left="0" w:firstLine="720" w:firstLineChars="200"/>
        <w:jc w:val="both"/>
        <w:textAlignment w:val="baseline"/>
        <w:rPr>
          <w:rFonts w:hint="eastAsia" w:ascii="仿宋" w:hAnsi="仿宋" w:eastAsia="仿宋" w:cs="仿宋"/>
          <w:spacing w:val="20"/>
          <w:sz w:val="32"/>
          <w:szCs w:val="32"/>
        </w:rPr>
      </w:pPr>
      <w:r>
        <w:rPr>
          <w:rFonts w:hint="eastAsia" w:ascii="仿宋" w:hAnsi="仿宋" w:eastAsia="仿宋" w:cs="仿宋"/>
          <w:spacing w:val="20"/>
          <w:sz w:val="32"/>
          <w:szCs w:val="32"/>
        </w:rPr>
        <w:t>莫力达瓦达斡尔族自治旗巴彦鄂温克民族乡人民政府202</w:t>
      </w:r>
      <w:r>
        <w:rPr>
          <w:rFonts w:hint="eastAsia" w:ascii="仿宋" w:hAnsi="仿宋" w:eastAsia="仿宋" w:cs="仿宋"/>
          <w:spacing w:val="20"/>
          <w:sz w:val="32"/>
          <w:szCs w:val="32"/>
          <w:lang w:val="en-US" w:eastAsia="zh-CN"/>
        </w:rPr>
        <w:t>5</w:t>
      </w:r>
      <w:r>
        <w:rPr>
          <w:rFonts w:hint="eastAsia" w:ascii="仿宋" w:hAnsi="仿宋" w:eastAsia="仿宋" w:cs="仿宋"/>
          <w:spacing w:val="20"/>
          <w:sz w:val="32"/>
          <w:szCs w:val="32"/>
        </w:rPr>
        <w:t>年度预算安排项目</w:t>
      </w:r>
      <w:r>
        <w:rPr>
          <w:rFonts w:hint="eastAsia" w:ascii="仿宋" w:hAnsi="仿宋" w:eastAsia="仿宋" w:cs="仿宋"/>
          <w:spacing w:val="20"/>
          <w:sz w:val="32"/>
          <w:szCs w:val="32"/>
          <w:u w:val="single"/>
          <w:lang w:val="en-US" w:eastAsia="zh-CN"/>
        </w:rPr>
        <w:t>7</w:t>
      </w:r>
      <w:r>
        <w:rPr>
          <w:rFonts w:hint="eastAsia" w:ascii="仿宋" w:hAnsi="仿宋" w:eastAsia="仿宋" w:cs="仿宋"/>
          <w:spacing w:val="20"/>
          <w:sz w:val="32"/>
          <w:szCs w:val="32"/>
        </w:rPr>
        <w:t>个，项目预算总金额</w:t>
      </w:r>
      <w:r>
        <w:rPr>
          <w:rFonts w:hint="eastAsia" w:ascii="仿宋" w:hAnsi="仿宋" w:eastAsia="仿宋" w:cs="仿宋"/>
          <w:spacing w:val="20"/>
          <w:sz w:val="32"/>
          <w:szCs w:val="32"/>
          <w:u w:val="single" w:color="auto"/>
          <w:lang w:val="en-US" w:eastAsia="zh-CN"/>
        </w:rPr>
        <w:t>1175.42</w:t>
      </w:r>
      <w:r>
        <w:rPr>
          <w:rFonts w:hint="eastAsia" w:ascii="仿宋" w:hAnsi="仿宋" w:eastAsia="仿宋" w:cs="仿宋"/>
          <w:spacing w:val="20"/>
          <w:sz w:val="32"/>
          <w:szCs w:val="32"/>
        </w:rPr>
        <w:t>万元。其中</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财政本年拨款金额</w:t>
      </w:r>
      <w:r>
        <w:rPr>
          <w:rFonts w:hint="eastAsia" w:ascii="仿宋" w:hAnsi="仿宋" w:eastAsia="仿宋" w:cs="仿宋"/>
          <w:spacing w:val="20"/>
          <w:sz w:val="32"/>
          <w:szCs w:val="32"/>
          <w:u w:val="single" w:color="auto"/>
          <w:lang w:val="en-US" w:eastAsia="zh-CN"/>
        </w:rPr>
        <w:t>1106.29</w:t>
      </w:r>
      <w:r>
        <w:rPr>
          <w:rFonts w:hint="eastAsia" w:ascii="仿宋" w:hAnsi="仿宋" w:eastAsia="仿宋" w:cs="仿宋"/>
          <w:spacing w:val="20"/>
          <w:sz w:val="32"/>
          <w:szCs w:val="32"/>
        </w:rPr>
        <w:t>万元，财政拨款结转结余</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万元，财政专户管理资金</w:t>
      </w:r>
      <w:r>
        <w:rPr>
          <w:rFonts w:hint="eastAsia" w:ascii="仿宋" w:hAnsi="仿宋" w:eastAsia="仿宋" w:cs="仿宋"/>
          <w:spacing w:val="20"/>
          <w:sz w:val="32"/>
          <w:szCs w:val="32"/>
          <w:u w:val="single" w:color="auto"/>
          <w:lang w:val="en-US" w:eastAsia="zh-CN"/>
        </w:rPr>
        <w:t>0</w:t>
      </w:r>
      <w:r>
        <w:rPr>
          <w:rFonts w:hint="eastAsia" w:ascii="仿宋" w:hAnsi="仿宋" w:eastAsia="仿宋" w:cs="仿宋"/>
          <w:spacing w:val="20"/>
          <w:sz w:val="32"/>
          <w:szCs w:val="32"/>
        </w:rPr>
        <w:t>万元，单位资金</w:t>
      </w:r>
      <w:r>
        <w:rPr>
          <w:rFonts w:hint="eastAsia" w:ascii="仿宋" w:hAnsi="仿宋" w:eastAsia="仿宋" w:cs="仿宋"/>
          <w:spacing w:val="20"/>
          <w:sz w:val="32"/>
          <w:szCs w:val="32"/>
          <w:u w:val="single" w:color="auto"/>
          <w:lang w:val="en-US" w:eastAsia="zh-CN"/>
        </w:rPr>
        <w:t>69.13</w:t>
      </w:r>
      <w:r>
        <w:rPr>
          <w:rFonts w:hint="eastAsia" w:ascii="仿宋" w:hAnsi="仿宋" w:eastAsia="仿宋" w:cs="仿宋"/>
          <w:spacing w:val="20"/>
          <w:sz w:val="32"/>
          <w:szCs w:val="32"/>
        </w:rPr>
        <w:t>万元。</w:t>
      </w:r>
    </w:p>
    <w:p w14:paraId="7D28F2E0">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十一、机构运行经费支出预算情况说明</w:t>
      </w:r>
    </w:p>
    <w:p w14:paraId="03C19AA6">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32" w:firstLineChars="200"/>
        <w:jc w:val="both"/>
        <w:textAlignment w:val="baseline"/>
        <w:rPr>
          <w:rFonts w:hint="eastAsia" w:ascii="仿宋" w:hAnsi="仿宋" w:eastAsia="仿宋" w:cs="仿宋"/>
          <w:spacing w:val="20"/>
          <w:sz w:val="32"/>
          <w:szCs w:val="32"/>
          <w:lang w:eastAsia="zh-CN"/>
        </w:rPr>
      </w:pPr>
      <w:r>
        <w:rPr>
          <w:rFonts w:ascii="仿宋" w:hAnsi="仿宋" w:eastAsia="仿宋" w:cs="仿宋"/>
          <w:spacing w:val="23"/>
          <w:sz w:val="32"/>
          <w:szCs w:val="32"/>
        </w:rPr>
        <w:t>莫力达瓦达斡尔族自治旗巴彦鄂温克民族乡人民政府202</w:t>
      </w:r>
      <w:r>
        <w:rPr>
          <w:rFonts w:hint="eastAsia" w:ascii="仿宋" w:hAnsi="仿宋" w:eastAsia="仿宋" w:cs="仿宋"/>
          <w:spacing w:val="23"/>
          <w:sz w:val="32"/>
          <w:szCs w:val="32"/>
          <w:lang w:val="en-US" w:eastAsia="zh-CN"/>
        </w:rPr>
        <w:t>5</w:t>
      </w:r>
      <w:r>
        <w:rPr>
          <w:rFonts w:ascii="仿宋" w:hAnsi="仿宋" w:eastAsia="仿宋" w:cs="仿宋"/>
          <w:spacing w:val="23"/>
          <w:sz w:val="32"/>
          <w:szCs w:val="32"/>
        </w:rPr>
        <w:t>年度机构运行经费预算支出</w:t>
      </w:r>
      <w:r>
        <w:rPr>
          <w:rFonts w:hint="eastAsia" w:ascii="仿宋" w:hAnsi="仿宋" w:eastAsia="仿宋" w:cs="仿宋"/>
          <w:spacing w:val="23"/>
          <w:sz w:val="32"/>
          <w:szCs w:val="32"/>
          <w:u w:val="single"/>
          <w:lang w:val="en-US" w:eastAsia="zh-CN"/>
        </w:rPr>
        <w:t>138.7</w:t>
      </w:r>
      <w:r>
        <w:rPr>
          <w:rFonts w:ascii="仿宋" w:hAnsi="仿宋" w:eastAsia="仿宋" w:cs="仿宋"/>
          <w:spacing w:val="23"/>
          <w:sz w:val="32"/>
          <w:szCs w:val="32"/>
        </w:rPr>
        <w:t>万元，与上年相比</w:t>
      </w:r>
      <w:r>
        <w:rPr>
          <w:rFonts w:hint="eastAsia" w:ascii="仿宋" w:hAnsi="仿宋" w:eastAsia="仿宋" w:cs="仿宋"/>
          <w:spacing w:val="23"/>
          <w:sz w:val="32"/>
          <w:szCs w:val="32"/>
          <w:lang w:val="en-US" w:eastAsia="zh-CN"/>
        </w:rPr>
        <w:t>减少</w:t>
      </w:r>
      <w:r>
        <w:rPr>
          <w:rFonts w:hint="eastAsia" w:ascii="仿宋" w:hAnsi="仿宋" w:eastAsia="仿宋" w:cs="仿宋"/>
          <w:spacing w:val="23"/>
          <w:sz w:val="32"/>
          <w:szCs w:val="32"/>
          <w:u w:val="single"/>
          <w:lang w:val="en-US" w:eastAsia="zh-CN"/>
        </w:rPr>
        <w:t>161.26</w:t>
      </w:r>
      <w:r>
        <w:rPr>
          <w:rFonts w:ascii="仿宋" w:hAnsi="仿宋" w:eastAsia="仿宋" w:cs="仿宋"/>
          <w:spacing w:val="23"/>
          <w:sz w:val="32"/>
          <w:szCs w:val="32"/>
        </w:rPr>
        <w:t>万元</w:t>
      </w:r>
      <w:r>
        <w:rPr>
          <w:rFonts w:hint="eastAsia" w:ascii="仿宋" w:hAnsi="仿宋" w:eastAsia="仿宋" w:cs="仿宋"/>
          <w:spacing w:val="23"/>
          <w:sz w:val="32"/>
          <w:szCs w:val="32"/>
          <w:lang w:eastAsia="zh-CN"/>
        </w:rPr>
        <w:t>，</w:t>
      </w:r>
      <w:r>
        <w:rPr>
          <w:rFonts w:hint="eastAsia" w:ascii="仿宋" w:hAnsi="仿宋" w:eastAsia="仿宋" w:cs="仿宋"/>
          <w:spacing w:val="23"/>
          <w:sz w:val="32"/>
          <w:szCs w:val="32"/>
          <w:lang w:val="en-US" w:eastAsia="zh-CN"/>
        </w:rPr>
        <w:t>下降</w:t>
      </w:r>
      <w:r>
        <w:rPr>
          <w:rFonts w:hint="eastAsia" w:ascii="仿宋" w:hAnsi="仿宋" w:eastAsia="仿宋" w:cs="仿宋"/>
          <w:spacing w:val="23"/>
          <w:sz w:val="32"/>
          <w:szCs w:val="32"/>
          <w:u w:val="single"/>
          <w:lang w:val="en-US" w:eastAsia="zh-CN"/>
        </w:rPr>
        <w:t>53.76%</w:t>
      </w:r>
      <w:r>
        <w:rPr>
          <w:rFonts w:ascii="仿宋" w:hAnsi="仿宋" w:eastAsia="仿宋" w:cs="仿宋"/>
          <w:spacing w:val="23"/>
          <w:sz w:val="32"/>
          <w:szCs w:val="32"/>
        </w:rPr>
        <w:t>。</w:t>
      </w:r>
      <w:r>
        <w:rPr>
          <w:rFonts w:hint="eastAsia" w:ascii="仿宋" w:hAnsi="仿宋" w:eastAsia="仿宋" w:cs="仿宋"/>
          <w:spacing w:val="23"/>
          <w:sz w:val="32"/>
          <w:szCs w:val="32"/>
          <w:lang w:val="en-US" w:eastAsia="zh-CN"/>
        </w:rPr>
        <w:t xml:space="preserve"> </w:t>
      </w:r>
      <w:r>
        <w:rPr>
          <w:rFonts w:ascii="仿宋" w:hAnsi="仿宋" w:eastAsia="仿宋" w:cs="仿宋"/>
          <w:spacing w:val="23"/>
          <w:sz w:val="32"/>
          <w:szCs w:val="32"/>
        </w:rPr>
        <w:t>主要原因</w:t>
      </w:r>
      <w:r>
        <w:rPr>
          <w:rFonts w:hint="eastAsia" w:ascii="仿宋" w:hAnsi="仿宋" w:eastAsia="仿宋" w:cs="仿宋"/>
          <w:spacing w:val="23"/>
          <w:sz w:val="32"/>
          <w:szCs w:val="32"/>
          <w:lang w:val="en-US" w:eastAsia="zh-CN"/>
        </w:rPr>
        <w:t>落实政府“过紧日子”要求，进一步压减</w:t>
      </w:r>
      <w:r>
        <w:rPr>
          <w:rFonts w:ascii="仿宋" w:hAnsi="仿宋" w:eastAsia="仿宋" w:cs="仿宋"/>
          <w:spacing w:val="23"/>
          <w:sz w:val="32"/>
          <w:szCs w:val="32"/>
        </w:rPr>
        <w:t>机构运行经费预算支出</w:t>
      </w:r>
      <w:r>
        <w:rPr>
          <w:rFonts w:hint="eastAsia" w:ascii="仿宋" w:hAnsi="仿宋" w:eastAsia="仿宋" w:cs="仿宋"/>
          <w:spacing w:val="23"/>
          <w:sz w:val="32"/>
          <w:szCs w:val="32"/>
          <w:lang w:eastAsia="zh-CN"/>
        </w:rPr>
        <w:t>。</w:t>
      </w:r>
    </w:p>
    <w:p w14:paraId="1FA70ECD">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十二、政府采购支出预算情况说明</w:t>
      </w:r>
    </w:p>
    <w:p w14:paraId="3B271AA5">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20" w:firstLineChars="200"/>
        <w:jc w:val="both"/>
        <w:textAlignment w:val="baseline"/>
      </w:pPr>
      <w:r>
        <w:rPr>
          <w:rFonts w:ascii="仿宋" w:hAnsi="仿宋" w:eastAsia="仿宋" w:cs="仿宋"/>
          <w:spacing w:val="20"/>
          <w:sz w:val="32"/>
          <w:szCs w:val="32"/>
        </w:rPr>
        <w:t>莫力达瓦达斡尔族自治旗巴彦鄂温克民族乡人民政府202</w:t>
      </w:r>
      <w:r>
        <w:rPr>
          <w:rFonts w:hint="eastAsia" w:ascii="仿宋" w:hAnsi="仿宋" w:eastAsia="仿宋" w:cs="仿宋"/>
          <w:spacing w:val="20"/>
          <w:sz w:val="32"/>
          <w:szCs w:val="32"/>
          <w:lang w:val="en-US" w:eastAsia="zh-CN"/>
        </w:rPr>
        <w:t>5</w:t>
      </w:r>
      <w:r>
        <w:rPr>
          <w:rFonts w:ascii="仿宋" w:hAnsi="仿宋" w:eastAsia="仿宋" w:cs="仿宋"/>
          <w:spacing w:val="20"/>
          <w:sz w:val="32"/>
          <w:szCs w:val="32"/>
        </w:rPr>
        <w:t>年度政府采购支出预算总额</w:t>
      </w:r>
      <w:r>
        <w:rPr>
          <w:rFonts w:hint="eastAsia" w:ascii="仿宋" w:hAnsi="仿宋" w:eastAsia="仿宋" w:cs="仿宋"/>
          <w:spacing w:val="20"/>
          <w:sz w:val="32"/>
          <w:szCs w:val="32"/>
          <w:u w:val="single"/>
          <w:lang w:val="en-US" w:eastAsia="zh-CN"/>
        </w:rPr>
        <w:t>0</w:t>
      </w:r>
      <w:r>
        <w:rPr>
          <w:rFonts w:ascii="仿宋" w:hAnsi="仿宋" w:eastAsia="仿宋" w:cs="仿宋"/>
          <w:spacing w:val="20"/>
          <w:sz w:val="32"/>
          <w:szCs w:val="32"/>
        </w:rPr>
        <w:t>万元，其中：拟采购货物支出</w:t>
      </w:r>
      <w:r>
        <w:rPr>
          <w:rFonts w:hint="eastAsia" w:ascii="仿宋" w:hAnsi="仿宋" w:eastAsia="仿宋" w:cs="仿宋"/>
          <w:spacing w:val="20"/>
          <w:sz w:val="32"/>
          <w:szCs w:val="32"/>
          <w:u w:val="single"/>
          <w:lang w:val="en-US" w:eastAsia="zh-CN"/>
        </w:rPr>
        <w:t>0</w:t>
      </w:r>
      <w:r>
        <w:rPr>
          <w:rFonts w:ascii="仿宋" w:hAnsi="仿宋" w:eastAsia="仿宋" w:cs="仿宋"/>
          <w:spacing w:val="20"/>
          <w:sz w:val="32"/>
          <w:szCs w:val="32"/>
        </w:rPr>
        <w:t>万元、拟采购工程支出</w:t>
      </w:r>
      <w:r>
        <w:rPr>
          <w:rFonts w:hint="eastAsia" w:ascii="仿宋" w:hAnsi="仿宋" w:eastAsia="仿宋" w:cs="仿宋"/>
          <w:spacing w:val="20"/>
          <w:sz w:val="32"/>
          <w:szCs w:val="32"/>
          <w:u w:val="single"/>
          <w:lang w:val="en-US" w:eastAsia="zh-CN"/>
        </w:rPr>
        <w:t>0</w:t>
      </w:r>
      <w:r>
        <w:rPr>
          <w:rFonts w:ascii="仿宋" w:hAnsi="仿宋" w:eastAsia="仿宋" w:cs="仿宋"/>
          <w:spacing w:val="20"/>
          <w:sz w:val="32"/>
          <w:szCs w:val="32"/>
        </w:rPr>
        <w:t>万元、拟购买服务支出</w:t>
      </w:r>
      <w:r>
        <w:rPr>
          <w:rFonts w:hint="eastAsia" w:ascii="仿宋" w:hAnsi="仿宋" w:eastAsia="仿宋" w:cs="仿宋"/>
          <w:spacing w:val="20"/>
          <w:sz w:val="32"/>
          <w:szCs w:val="32"/>
          <w:u w:val="single"/>
          <w:lang w:val="en-US" w:eastAsia="zh-CN"/>
        </w:rPr>
        <w:t>0</w:t>
      </w:r>
      <w:r>
        <w:rPr>
          <w:rFonts w:ascii="仿宋" w:hAnsi="仿宋" w:eastAsia="仿宋" w:cs="仿宋"/>
          <w:spacing w:val="20"/>
          <w:sz w:val="32"/>
          <w:szCs w:val="32"/>
        </w:rPr>
        <w:t>万元。</w:t>
      </w:r>
    </w:p>
    <w:p w14:paraId="72400069">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十三、国有资产占用情况说明</w:t>
      </w:r>
    </w:p>
    <w:p w14:paraId="201D2D59">
      <w:pPr>
        <w:keepNext w:val="0"/>
        <w:keepLines w:val="0"/>
        <w:pageBreakBefore w:val="0"/>
        <w:widowControl/>
        <w:kinsoku w:val="0"/>
        <w:wordWrap/>
        <w:overflowPunct/>
        <w:topLinePunct w:val="0"/>
        <w:autoSpaceDE w:val="0"/>
        <w:autoSpaceDN w:val="0"/>
        <w:bidi w:val="0"/>
        <w:adjustRightInd w:val="0"/>
        <w:snapToGrid w:val="0"/>
        <w:spacing w:line="580" w:lineRule="exact"/>
        <w:ind w:firstLine="720" w:firstLineChars="200"/>
        <w:jc w:val="both"/>
        <w:textAlignment w:val="baseline"/>
        <w:rPr>
          <w:rFonts w:hint="eastAsia" w:ascii="仿宋" w:hAnsi="仿宋" w:eastAsia="仿宋" w:cs="仿宋"/>
          <w:spacing w:val="20"/>
          <w:sz w:val="32"/>
          <w:szCs w:val="32"/>
          <w:lang w:eastAsia="zh-CN"/>
        </w:rPr>
      </w:pPr>
      <w:r>
        <w:rPr>
          <w:rFonts w:hint="eastAsia" w:ascii="仿宋" w:hAnsi="仿宋" w:eastAsia="仿宋" w:cs="仿宋"/>
          <w:spacing w:val="20"/>
          <w:sz w:val="32"/>
          <w:szCs w:val="32"/>
        </w:rPr>
        <w:t>莫力达瓦达斡尔族自治旗巴彦鄂温克民族乡人民政府共有车 辆</w:t>
      </w:r>
      <w:r>
        <w:rPr>
          <w:rFonts w:hint="eastAsia" w:ascii="仿宋" w:hAnsi="仿宋" w:eastAsia="仿宋" w:cs="仿宋"/>
          <w:spacing w:val="20"/>
          <w:sz w:val="32"/>
          <w:szCs w:val="32"/>
          <w:u w:val="single"/>
          <w:lang w:val="en-US" w:eastAsia="zh-CN"/>
        </w:rPr>
        <w:t>5</w:t>
      </w:r>
      <w:r>
        <w:rPr>
          <w:rFonts w:hint="eastAsia" w:ascii="仿宋" w:hAnsi="仿宋" w:eastAsia="仿宋" w:cs="仿宋"/>
          <w:spacing w:val="20"/>
          <w:sz w:val="32"/>
          <w:szCs w:val="32"/>
        </w:rPr>
        <w:t>辆，其中，一般公务用车</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辆、执法执勤用车</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辆、特种专业技术用车</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辆、业务用车</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辆、其他用车</w:t>
      </w:r>
      <w:r>
        <w:rPr>
          <w:rFonts w:hint="eastAsia" w:ascii="仿宋" w:hAnsi="仿宋" w:eastAsia="仿宋" w:cs="仿宋"/>
          <w:spacing w:val="20"/>
          <w:sz w:val="32"/>
          <w:szCs w:val="32"/>
          <w:u w:val="single"/>
          <w:lang w:val="en-US" w:eastAsia="zh-CN"/>
        </w:rPr>
        <w:t>5</w:t>
      </w:r>
      <w:r>
        <w:rPr>
          <w:rFonts w:hint="eastAsia" w:ascii="仿宋" w:hAnsi="仿宋" w:eastAsia="仿宋" w:cs="仿宋"/>
          <w:spacing w:val="20"/>
          <w:sz w:val="32"/>
          <w:szCs w:val="32"/>
        </w:rPr>
        <w:t>辆等</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单价 50 万元（含）以上的通用设备</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台（套</w:t>
      </w:r>
      <w:r>
        <w:rPr>
          <w:rFonts w:hint="eastAsia" w:ascii="仿宋" w:hAnsi="仿宋" w:eastAsia="仿宋" w:cs="仿宋"/>
          <w:spacing w:val="20"/>
          <w:sz w:val="32"/>
          <w:szCs w:val="32"/>
          <w:lang w:eastAsia="zh-CN"/>
        </w:rPr>
        <w:t>），</w:t>
      </w:r>
      <w:r>
        <w:rPr>
          <w:rFonts w:hint="eastAsia" w:ascii="仿宋" w:hAnsi="仿宋" w:eastAsia="仿宋" w:cs="仿宋"/>
          <w:spacing w:val="20"/>
          <w:sz w:val="32"/>
          <w:szCs w:val="32"/>
        </w:rPr>
        <w:t>单价 100 万元（含）以上的专用设备</w:t>
      </w:r>
      <w:r>
        <w:rPr>
          <w:rFonts w:hint="eastAsia" w:ascii="仿宋" w:hAnsi="仿宋" w:eastAsia="仿宋" w:cs="仿宋"/>
          <w:spacing w:val="20"/>
          <w:sz w:val="32"/>
          <w:szCs w:val="32"/>
          <w:u w:val="single"/>
          <w:lang w:val="en-US" w:eastAsia="zh-CN"/>
        </w:rPr>
        <w:t>0</w:t>
      </w:r>
      <w:r>
        <w:rPr>
          <w:rFonts w:hint="eastAsia" w:ascii="仿宋" w:hAnsi="仿宋" w:eastAsia="仿宋" w:cs="仿宋"/>
          <w:spacing w:val="20"/>
          <w:sz w:val="32"/>
          <w:szCs w:val="32"/>
        </w:rPr>
        <w:t>台（套</w:t>
      </w:r>
      <w:r>
        <w:rPr>
          <w:rFonts w:hint="eastAsia" w:ascii="仿宋" w:hAnsi="仿宋" w:eastAsia="仿宋" w:cs="仿宋"/>
          <w:spacing w:val="20"/>
          <w:sz w:val="32"/>
          <w:szCs w:val="32"/>
          <w:lang w:eastAsia="zh-CN"/>
        </w:rPr>
        <w:t>）。</w:t>
      </w:r>
    </w:p>
    <w:p w14:paraId="1EC6C9CF">
      <w:pPr>
        <w:pStyle w:val="2"/>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40" w:lineRule="auto"/>
        <w:ind w:firstLine="732" w:firstLineChars="200"/>
        <w:jc w:val="left"/>
        <w:textAlignment w:val="baseline"/>
        <w:rPr>
          <w:rFonts w:hint="eastAsia" w:ascii="黑体" w:hAnsi="黑体" w:eastAsia="黑体" w:cs="黑体"/>
          <w:spacing w:val="23"/>
          <w:position w:val="0"/>
          <w:sz w:val="32"/>
          <w:szCs w:val="32"/>
          <w:lang w:val="en-US" w:eastAsia="zh-CN"/>
        </w:rPr>
      </w:pPr>
      <w:r>
        <w:rPr>
          <w:rFonts w:hint="eastAsia" w:ascii="黑体" w:hAnsi="黑体" w:eastAsia="黑体" w:cs="黑体"/>
          <w:spacing w:val="23"/>
          <w:position w:val="0"/>
          <w:sz w:val="32"/>
          <w:szCs w:val="32"/>
          <w:lang w:val="en-US" w:eastAsia="zh-CN"/>
        </w:rPr>
        <w:t>十四、项目绩效目标情况说明</w:t>
      </w:r>
    </w:p>
    <w:p w14:paraId="7726FDF5">
      <w:pPr>
        <w:keepNext w:val="0"/>
        <w:keepLines w:val="0"/>
        <w:pageBreakBefore w:val="0"/>
        <w:widowControl/>
        <w:kinsoku w:val="0"/>
        <w:wordWrap/>
        <w:overflowPunct/>
        <w:topLinePunct w:val="0"/>
        <w:autoSpaceDE w:val="0"/>
        <w:autoSpaceDN w:val="0"/>
        <w:bidi w:val="0"/>
        <w:adjustRightInd w:val="0"/>
        <w:snapToGrid w:val="0"/>
        <w:spacing w:line="580" w:lineRule="exact"/>
        <w:ind w:right="0" w:firstLine="720" w:firstLineChars="200"/>
        <w:jc w:val="both"/>
        <w:textAlignment w:val="baseline"/>
        <w:rPr>
          <w:rFonts w:ascii="仿宋" w:hAnsi="仿宋" w:eastAsia="仿宋" w:cs="仿宋"/>
          <w:spacing w:val="20"/>
          <w:sz w:val="32"/>
          <w:szCs w:val="32"/>
        </w:rPr>
      </w:pPr>
      <w:r>
        <w:rPr>
          <w:rFonts w:ascii="仿宋" w:hAnsi="仿宋" w:eastAsia="仿宋" w:cs="仿宋"/>
          <w:spacing w:val="20"/>
          <w:sz w:val="32"/>
          <w:szCs w:val="32"/>
        </w:rPr>
        <w:t>莫力达瓦达斡尔族自治旗巴彦鄂温克民族乡人民政府202</w:t>
      </w:r>
      <w:r>
        <w:rPr>
          <w:rFonts w:hint="eastAsia" w:ascii="仿宋" w:hAnsi="仿宋" w:eastAsia="仿宋" w:cs="仿宋"/>
          <w:spacing w:val="20"/>
          <w:sz w:val="32"/>
          <w:szCs w:val="32"/>
          <w:lang w:val="en-US" w:eastAsia="zh-CN"/>
        </w:rPr>
        <w:t>5</w:t>
      </w:r>
      <w:r>
        <w:rPr>
          <w:rFonts w:ascii="仿宋" w:hAnsi="仿宋" w:eastAsia="仿宋" w:cs="仿宋"/>
          <w:spacing w:val="20"/>
          <w:sz w:val="32"/>
          <w:szCs w:val="32"/>
        </w:rPr>
        <w:t>年度填报绩效目标的预算项目</w:t>
      </w:r>
      <w:r>
        <w:rPr>
          <w:rFonts w:hint="eastAsia" w:ascii="仿宋" w:hAnsi="仿宋" w:eastAsia="仿宋" w:cs="仿宋"/>
          <w:spacing w:val="20"/>
          <w:sz w:val="32"/>
          <w:szCs w:val="32"/>
          <w:u w:val="single"/>
          <w:lang w:val="en-US" w:eastAsia="zh-CN"/>
        </w:rPr>
        <w:t>25</w:t>
      </w:r>
      <w:r>
        <w:rPr>
          <w:rFonts w:ascii="仿宋" w:hAnsi="仿宋" w:eastAsia="仿宋" w:cs="仿宋"/>
          <w:spacing w:val="20"/>
          <w:sz w:val="32"/>
          <w:szCs w:val="32"/>
        </w:rPr>
        <w:t>个，公开项目</w:t>
      </w:r>
      <w:r>
        <w:rPr>
          <w:rFonts w:hint="eastAsia" w:ascii="仿宋" w:hAnsi="仿宋" w:eastAsia="仿宋" w:cs="仿宋"/>
          <w:spacing w:val="20"/>
          <w:sz w:val="32"/>
          <w:szCs w:val="32"/>
          <w:u w:val="single"/>
          <w:lang w:val="en-US" w:eastAsia="zh-CN"/>
        </w:rPr>
        <w:t>25</w:t>
      </w:r>
      <w:r>
        <w:rPr>
          <w:rFonts w:ascii="仿宋" w:hAnsi="仿宋" w:eastAsia="仿宋" w:cs="仿宋"/>
          <w:spacing w:val="20"/>
          <w:sz w:val="32"/>
          <w:szCs w:val="32"/>
        </w:rPr>
        <w:t>个，公开项目</w:t>
      </w:r>
      <w:r>
        <w:rPr>
          <w:rFonts w:hint="eastAsia" w:ascii="仿宋" w:hAnsi="仿宋" w:eastAsia="仿宋" w:cs="仿宋"/>
          <w:spacing w:val="20"/>
          <w:sz w:val="32"/>
          <w:szCs w:val="32"/>
          <w:lang w:val="en-US" w:eastAsia="zh-CN"/>
        </w:rPr>
        <w:t>占</w:t>
      </w:r>
      <w:r>
        <w:rPr>
          <w:rFonts w:ascii="仿宋" w:hAnsi="仿宋" w:eastAsia="仿宋" w:cs="仿宋"/>
          <w:spacing w:val="20"/>
          <w:sz w:val="32"/>
          <w:szCs w:val="32"/>
        </w:rPr>
        <w:t>全部预算项目的</w:t>
      </w:r>
      <w:r>
        <w:rPr>
          <w:rFonts w:hint="eastAsia" w:ascii="仿宋" w:hAnsi="仿宋" w:eastAsia="仿宋" w:cs="仿宋"/>
          <w:spacing w:val="20"/>
          <w:sz w:val="32"/>
          <w:szCs w:val="32"/>
          <w:u w:val="single"/>
          <w:lang w:val="en-US" w:eastAsia="zh-CN"/>
        </w:rPr>
        <w:t>100%</w:t>
      </w:r>
      <w:r>
        <w:rPr>
          <w:rFonts w:ascii="仿宋" w:hAnsi="仿宋" w:eastAsia="仿宋" w:cs="仿宋"/>
          <w:spacing w:val="20"/>
          <w:sz w:val="32"/>
          <w:szCs w:val="32"/>
        </w:rPr>
        <w:t>。公开填报绩效目标的项目预算</w:t>
      </w:r>
      <w:r>
        <w:rPr>
          <w:rFonts w:hint="eastAsia" w:ascii="仿宋" w:hAnsi="仿宋" w:eastAsia="仿宋" w:cs="仿宋"/>
          <w:spacing w:val="20"/>
          <w:sz w:val="32"/>
          <w:szCs w:val="32"/>
          <w:u w:val="single"/>
          <w:lang w:val="en-US" w:eastAsia="zh-CN"/>
        </w:rPr>
        <w:t>2279.42</w:t>
      </w:r>
      <w:r>
        <w:rPr>
          <w:rFonts w:ascii="仿宋" w:hAnsi="仿宋" w:eastAsia="仿宋" w:cs="仿宋"/>
          <w:spacing w:val="20"/>
          <w:sz w:val="32"/>
          <w:szCs w:val="32"/>
        </w:rPr>
        <w:t>万元</w:t>
      </w:r>
      <w:r>
        <w:rPr>
          <w:rFonts w:hint="eastAsia" w:ascii="仿宋" w:hAnsi="仿宋" w:eastAsia="仿宋" w:cs="仿宋"/>
          <w:spacing w:val="20"/>
          <w:sz w:val="32"/>
          <w:szCs w:val="32"/>
          <w:lang w:eastAsia="zh-CN"/>
        </w:rPr>
        <w:t>，</w:t>
      </w:r>
      <w:r>
        <w:rPr>
          <w:rFonts w:ascii="仿宋" w:hAnsi="仿宋" w:eastAsia="仿宋" w:cs="仿宋"/>
          <w:spacing w:val="20"/>
          <w:sz w:val="32"/>
          <w:szCs w:val="32"/>
        </w:rPr>
        <w:t>占全部项目预算的</w:t>
      </w:r>
      <w:r>
        <w:rPr>
          <w:rFonts w:hint="eastAsia" w:ascii="仿宋" w:hAnsi="仿宋" w:eastAsia="仿宋" w:cs="仿宋"/>
          <w:spacing w:val="20"/>
          <w:sz w:val="32"/>
          <w:szCs w:val="32"/>
          <w:u w:val="single"/>
          <w:lang w:val="en-US" w:eastAsia="zh-CN"/>
        </w:rPr>
        <w:t>100%</w:t>
      </w:r>
      <w:r>
        <w:rPr>
          <w:rFonts w:ascii="仿宋" w:hAnsi="仿宋" w:eastAsia="仿宋" w:cs="仿宋"/>
          <w:spacing w:val="20"/>
          <w:sz w:val="32"/>
          <w:szCs w:val="32"/>
        </w:rPr>
        <w:t>。</w:t>
      </w:r>
    </w:p>
    <w:p w14:paraId="1CBEEC35">
      <w:pPr>
        <w:pStyle w:val="2"/>
        <w:keepNext w:val="0"/>
        <w:keepLines w:val="0"/>
        <w:pageBreakBefore w:val="0"/>
        <w:widowControl/>
        <w:kinsoku w:val="0"/>
        <w:wordWrap/>
        <w:overflowPunct/>
        <w:topLinePunct w:val="0"/>
        <w:autoSpaceDE w:val="0"/>
        <w:autoSpaceDN w:val="0"/>
        <w:bidi w:val="0"/>
        <w:adjustRightInd w:val="0"/>
        <w:snapToGrid w:val="0"/>
        <w:spacing w:before="0" w:beforeLines="80" w:after="0" w:afterLines="50" w:line="240" w:lineRule="auto"/>
        <w:ind w:firstLine="720" w:firstLineChars="200"/>
        <w:jc w:val="left"/>
        <w:textAlignment w:val="baseline"/>
        <w:rPr>
          <w:rFonts w:hint="eastAsia" w:ascii="黑体" w:hAnsi="黑体" w:eastAsia="黑体" w:cs="黑体"/>
          <w:spacing w:val="20"/>
          <w:position w:val="0"/>
          <w:sz w:val="32"/>
          <w:szCs w:val="32"/>
          <w:lang w:val="en-US" w:eastAsia="zh-CN"/>
        </w:rPr>
      </w:pPr>
      <w:r>
        <w:rPr>
          <w:rFonts w:hint="eastAsia" w:ascii="黑体" w:hAnsi="黑体" w:eastAsia="黑体" w:cs="黑体"/>
          <w:spacing w:val="20"/>
          <w:position w:val="0"/>
          <w:sz w:val="32"/>
          <w:szCs w:val="32"/>
          <w:lang w:val="en-US" w:eastAsia="zh-CN"/>
        </w:rPr>
        <w:t>第三部分  名词解释</w:t>
      </w:r>
    </w:p>
    <w:p w14:paraId="301CDCBB">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14:textOutline w14:w="5791" w14:cap="flat" w14:cmpd="sng">
            <w14:solidFill>
              <w14:srgbClr w14:val="000000"/>
            </w14:solidFill>
            <w14:prstDash w14:val="solid"/>
            <w14:miter w14:val="0"/>
          </w14:textOutline>
        </w:rPr>
        <w:t>一、财政拨款：</w:t>
      </w:r>
      <w:r>
        <w:rPr>
          <w:rFonts w:ascii="仿宋" w:hAnsi="仿宋" w:eastAsia="仿宋" w:cs="仿宋"/>
          <w:spacing w:val="20"/>
          <w:position w:val="0"/>
          <w:sz w:val="32"/>
          <w:szCs w:val="32"/>
        </w:rPr>
        <w:t>从同级财政部门取得的各类财政拨款，包括一般公共预算拨款、政府性基金预算拨款、国有资本经营预算拨款。</w:t>
      </w:r>
    </w:p>
    <w:p w14:paraId="7FF4286B">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14:textOutline w14:w="5791" w14:cap="flat" w14:cmpd="sng">
            <w14:solidFill>
              <w14:srgbClr w14:val="000000"/>
            </w14:solidFill>
            <w14:prstDash w14:val="solid"/>
            <w14:miter w14:val="0"/>
          </w14:textOutline>
        </w:rPr>
        <w:t>二、一般公共预算拨款收入：</w:t>
      </w:r>
      <w:r>
        <w:rPr>
          <w:rFonts w:ascii="仿宋" w:hAnsi="仿宋" w:eastAsia="仿宋" w:cs="仿宋"/>
          <w:spacing w:val="20"/>
          <w:position w:val="0"/>
          <w:sz w:val="32"/>
          <w:szCs w:val="32"/>
        </w:rPr>
        <w:t>指财政当年拨付的资金。</w:t>
      </w:r>
    </w:p>
    <w:p w14:paraId="27D21F1F">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14:textOutline w14:w="5791" w14:cap="flat" w14:cmpd="sng">
            <w14:solidFill>
              <w14:srgbClr w14:val="000000"/>
            </w14:solidFill>
            <w14:prstDash w14:val="solid"/>
            <w14:miter w14:val="0"/>
          </w14:textOutline>
        </w:rPr>
        <w:t>三、财政专户管理资金：</w:t>
      </w:r>
      <w:r>
        <w:rPr>
          <w:rFonts w:ascii="仿宋" w:hAnsi="仿宋" w:eastAsia="仿宋" w:cs="仿宋"/>
          <w:spacing w:val="20"/>
          <w:position w:val="0"/>
          <w:sz w:val="32"/>
          <w:szCs w:val="32"/>
        </w:rPr>
        <w:t>缴入财政专户、实行专项管理的高 中以上学费、住宿费、高校委托培养费、函大、电大、夜大及短训班培训费等教育收费。</w:t>
      </w:r>
    </w:p>
    <w:p w14:paraId="2D6B8C2B">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14:textOutline w14:w="5791" w14:cap="flat" w14:cmpd="sng">
            <w14:solidFill>
              <w14:srgbClr w14:val="000000"/>
            </w14:solidFill>
            <w14:prstDash w14:val="solid"/>
            <w14:miter w14:val="0"/>
          </w14:textOutline>
        </w:rPr>
        <w:t>四、单位资金：</w:t>
      </w:r>
      <w:r>
        <w:rPr>
          <w:rFonts w:ascii="仿宋" w:hAnsi="仿宋" w:eastAsia="仿宋" w:cs="仿宋"/>
          <w:spacing w:val="20"/>
          <w:position w:val="0"/>
          <w:sz w:val="32"/>
          <w:szCs w:val="32"/>
        </w:rPr>
        <w:t>除财政拨款收入和财政专户管理资金以外的 收入，包括事业收入（不含教育收费）、上级补助收入、附属单 位上缴收入、事业单位经营收入及其他收入（包含债务收入、投资收益等）。</w:t>
      </w:r>
    </w:p>
    <w:p w14:paraId="5708FB09">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14:textOutline w14:w="5791" w14:cap="flat" w14:cmpd="sng">
            <w14:solidFill>
              <w14:srgbClr w14:val="000000"/>
            </w14:solidFill>
            <w14:prstDash w14:val="solid"/>
            <w14:miter w14:val="0"/>
          </w14:textOutline>
        </w:rPr>
        <w:t>五、基本支出：</w:t>
      </w:r>
      <w:r>
        <w:rPr>
          <w:rFonts w:ascii="仿宋" w:hAnsi="仿宋" w:eastAsia="仿宋" w:cs="仿宋"/>
          <w:spacing w:val="20"/>
          <w:position w:val="0"/>
          <w:sz w:val="32"/>
          <w:szCs w:val="32"/>
        </w:rPr>
        <w:t>指为保障机构正常运转、完成工作任务而发生的人员支出和公用支出。</w:t>
      </w:r>
    </w:p>
    <w:p w14:paraId="54FE7619">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14:textOutline w14:w="5791" w14:cap="flat" w14:cmpd="sng">
            <w14:solidFill>
              <w14:srgbClr w14:val="000000"/>
            </w14:solidFill>
            <w14:prstDash w14:val="solid"/>
            <w14:miter w14:val="0"/>
          </w14:textOutline>
        </w:rPr>
        <w:t>六、项目支出：</w:t>
      </w:r>
      <w:r>
        <w:rPr>
          <w:rFonts w:ascii="仿宋" w:hAnsi="仿宋" w:eastAsia="仿宋" w:cs="仿宋"/>
          <w:spacing w:val="20"/>
          <w:position w:val="0"/>
          <w:sz w:val="32"/>
          <w:szCs w:val="32"/>
        </w:rPr>
        <w:t>指在基本支出之外为完成特定工作任务和事业发展目标所发生的支出。</w:t>
      </w:r>
    </w:p>
    <w:p w14:paraId="0DCE0DCC">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ascii="仿宋" w:hAnsi="仿宋" w:eastAsia="仿宋" w:cs="仿宋"/>
          <w:spacing w:val="20"/>
          <w:position w:val="0"/>
          <w:sz w:val="32"/>
          <w:szCs w:val="32"/>
        </w:rPr>
      </w:pPr>
      <w:r>
        <w:rPr>
          <w:rFonts w:ascii="仿宋" w:hAnsi="仿宋" w:eastAsia="仿宋" w:cs="仿宋"/>
          <w:spacing w:val="20"/>
          <w:position w:val="0"/>
          <w:sz w:val="32"/>
          <w:szCs w:val="32"/>
          <w14:textOutline w14:w="5791" w14:cap="flat" w14:cmpd="sng">
            <w14:solidFill>
              <w14:srgbClr w14:val="000000"/>
            </w14:solidFill>
            <w14:prstDash w14:val="solid"/>
            <w14:miter w14:val="0"/>
          </w14:textOutline>
        </w:rPr>
        <w:t>七、对个人和家庭的补助：</w:t>
      </w:r>
      <w:r>
        <w:rPr>
          <w:rFonts w:ascii="仿宋" w:hAnsi="仿宋" w:eastAsia="仿宋" w:cs="仿宋"/>
          <w:spacing w:val="20"/>
          <w:position w:val="0"/>
          <w:sz w:val="32"/>
          <w:szCs w:val="32"/>
        </w:rPr>
        <w:t>是指政府用于对个人和家庭的补助支出。</w:t>
      </w:r>
    </w:p>
    <w:p w14:paraId="7FE4A729">
      <w:pPr>
        <w:keepNext w:val="0"/>
        <w:keepLines w:val="0"/>
        <w:pageBreakBefore w:val="0"/>
        <w:widowControl/>
        <w:kinsoku w:val="0"/>
        <w:wordWrap/>
        <w:overflowPunct/>
        <w:topLinePunct w:val="0"/>
        <w:autoSpaceDE w:val="0"/>
        <w:autoSpaceDN w:val="0"/>
        <w:bidi w:val="0"/>
        <w:adjustRightInd w:val="0"/>
        <w:snapToGrid w:val="0"/>
        <w:spacing w:line="580" w:lineRule="exact"/>
        <w:ind w:firstLine="732" w:firstLineChars="200"/>
        <w:textAlignment w:val="baseline"/>
        <w:rPr>
          <w:rFonts w:ascii="仿宋" w:hAnsi="仿宋" w:eastAsia="仿宋" w:cs="仿宋"/>
          <w:spacing w:val="23"/>
          <w:sz w:val="32"/>
          <w:szCs w:val="32"/>
        </w:rPr>
      </w:pPr>
      <w:r>
        <w:rPr>
          <w:rFonts w:ascii="仿宋" w:hAnsi="仿宋" w:eastAsia="仿宋" w:cs="仿宋"/>
          <w:spacing w:val="23"/>
          <w:position w:val="0"/>
          <w:sz w:val="32"/>
          <w:szCs w:val="32"/>
          <w14:textOutline w14:w="5791" w14:cap="flat" w14:cmpd="sng">
            <w14:solidFill>
              <w14:srgbClr w14:val="000000"/>
            </w14:solidFill>
            <w14:prstDash w14:val="solid"/>
            <w14:miter w14:val="0"/>
          </w14:textOutline>
        </w:rPr>
        <w:t>八、“三公”经费：</w:t>
      </w:r>
      <w:r>
        <w:rPr>
          <w:rFonts w:ascii="仿宋" w:hAnsi="仿宋" w:eastAsia="仿宋" w:cs="仿宋"/>
          <w:spacing w:val="23"/>
          <w:position w:val="0"/>
          <w:sz w:val="32"/>
          <w:szCs w:val="32"/>
        </w:rPr>
        <w:t xml:space="preserve"> 指部门（单位）用一般公共预算财政拨款安排的因公出国（境）费、公务用车购置及运行维护费和公务</w:t>
      </w:r>
      <w:r>
        <w:rPr>
          <w:rFonts w:ascii="仿宋" w:hAnsi="仿宋" w:eastAsia="仿宋" w:cs="仿宋"/>
          <w:spacing w:val="23"/>
          <w:sz w:val="32"/>
          <w:szCs w:val="32"/>
        </w:rPr>
        <w:t>接待费。其中，因公出国（境） 费反映部门（单位）公务出国（境） 的住宿费、旅费、伙食补助费、杂费、培训费等支出；公务用车  购置及运行维护费反映部门（单位）公务用车购置费、燃料费、维修费、过路过桥费、保险费、安全奖励费用等支出；公务接待  费反映部门（单位）按规定开支的各类公务接待（含外宾接待）支出。</w:t>
      </w:r>
    </w:p>
    <w:p w14:paraId="666F6D97">
      <w:pPr>
        <w:spacing w:before="224" w:line="357" w:lineRule="auto"/>
        <w:ind w:left="1" w:right="32" w:firstLine="653"/>
        <w:jc w:val="both"/>
        <w:rPr>
          <w:rFonts w:ascii="仿宋" w:hAnsi="仿宋" w:eastAsia="仿宋" w:cs="仿宋"/>
          <w:spacing w:val="7"/>
          <w:sz w:val="31"/>
          <w:szCs w:val="31"/>
        </w:rPr>
      </w:pPr>
      <w:r>
        <w:rPr>
          <w:rFonts w:ascii="仿宋" w:hAnsi="仿宋" w:eastAsia="仿宋" w:cs="仿宋"/>
          <w:spacing w:val="1"/>
          <w:sz w:val="31"/>
          <w:szCs w:val="31"/>
          <w14:textOutline w14:w="5791" w14:cap="flat" w14:cmpd="sng">
            <w14:solidFill>
              <w14:srgbClr w14:val="000000"/>
            </w14:solidFill>
            <w14:prstDash w14:val="solid"/>
            <w14:miter w14:val="0"/>
          </w14:textOutline>
        </w:rPr>
        <w:t>九、机构运行经费：</w:t>
      </w:r>
      <w:r>
        <w:rPr>
          <w:rFonts w:ascii="仿宋" w:hAnsi="仿宋" w:eastAsia="仿宋" w:cs="仿宋"/>
          <w:spacing w:val="1"/>
          <w:sz w:val="31"/>
          <w:szCs w:val="31"/>
        </w:rPr>
        <w:t>指部门（单位）使用一般公共预算安排</w:t>
      </w:r>
      <w:r>
        <w:rPr>
          <w:rFonts w:ascii="仿宋" w:hAnsi="仿宋" w:eastAsia="仿宋" w:cs="仿宋"/>
          <w:sz w:val="31"/>
          <w:szCs w:val="31"/>
        </w:rPr>
        <w:t xml:space="preserve"> </w:t>
      </w:r>
      <w:r>
        <w:rPr>
          <w:rFonts w:ascii="仿宋" w:hAnsi="仿宋" w:eastAsia="仿宋" w:cs="仿宋"/>
          <w:spacing w:val="4"/>
          <w:sz w:val="31"/>
          <w:szCs w:val="31"/>
        </w:rPr>
        <w:t>的基本支出中的日常公用经费支出，包括办公及印刷费、邮电费、</w:t>
      </w:r>
      <w:r>
        <w:rPr>
          <w:rFonts w:ascii="仿宋" w:hAnsi="仿宋" w:eastAsia="仿宋" w:cs="仿宋"/>
          <w:spacing w:val="12"/>
          <w:sz w:val="31"/>
          <w:szCs w:val="31"/>
        </w:rPr>
        <w:t xml:space="preserve"> 差旅费、会议费、福利费、日常维修费、专用材料及一般</w:t>
      </w:r>
      <w:r>
        <w:rPr>
          <w:rFonts w:ascii="仿宋" w:hAnsi="仿宋" w:eastAsia="仿宋" w:cs="仿宋"/>
          <w:spacing w:val="11"/>
          <w:sz w:val="31"/>
          <w:szCs w:val="31"/>
        </w:rPr>
        <w:t>设备购</w:t>
      </w:r>
      <w:r>
        <w:rPr>
          <w:rFonts w:ascii="仿宋" w:hAnsi="仿宋" w:eastAsia="仿宋" w:cs="仿宋"/>
          <w:spacing w:val="4"/>
          <w:sz w:val="31"/>
          <w:szCs w:val="31"/>
        </w:rPr>
        <w:t>置费、办公用房水电费、办公用房取暖费</w:t>
      </w:r>
      <w:r>
        <w:rPr>
          <w:rFonts w:hint="eastAsia" w:ascii="仿宋" w:hAnsi="仿宋" w:eastAsia="仿宋" w:cs="仿宋"/>
          <w:spacing w:val="4"/>
          <w:sz w:val="31"/>
          <w:szCs w:val="31"/>
          <w:lang w:eastAsia="zh-CN"/>
        </w:rPr>
        <w:t>、</w:t>
      </w:r>
      <w:r>
        <w:rPr>
          <w:rFonts w:ascii="仿宋" w:hAnsi="仿宋" w:eastAsia="仿宋" w:cs="仿宋"/>
          <w:spacing w:val="4"/>
          <w:sz w:val="31"/>
          <w:szCs w:val="31"/>
        </w:rPr>
        <w:t>办公用房物业管理费、</w:t>
      </w:r>
      <w:r>
        <w:rPr>
          <w:rFonts w:ascii="仿宋" w:hAnsi="仿宋" w:eastAsia="仿宋" w:cs="仿宋"/>
          <w:spacing w:val="7"/>
          <w:sz w:val="31"/>
          <w:szCs w:val="31"/>
        </w:rPr>
        <w:t>公务用车运行维护费及其他费用等。</w:t>
      </w:r>
    </w:p>
    <w:p w14:paraId="4F86121C">
      <w:pPr>
        <w:pStyle w:val="2"/>
        <w:keepNext w:val="0"/>
        <w:keepLines w:val="0"/>
        <w:pageBreakBefore w:val="0"/>
        <w:widowControl/>
        <w:kinsoku w:val="0"/>
        <w:wordWrap/>
        <w:overflowPunct/>
        <w:topLinePunct w:val="0"/>
        <w:autoSpaceDE w:val="0"/>
        <w:autoSpaceDN w:val="0"/>
        <w:bidi w:val="0"/>
        <w:adjustRightInd w:val="0"/>
        <w:snapToGrid w:val="0"/>
        <w:spacing w:before="0" w:beforeLines="80" w:after="0" w:afterLines="50" w:line="240" w:lineRule="auto"/>
        <w:ind w:firstLine="720" w:firstLineChars="200"/>
        <w:jc w:val="left"/>
        <w:textAlignment w:val="baseline"/>
        <w:rPr>
          <w:rFonts w:hint="eastAsia" w:ascii="黑体" w:hAnsi="黑体" w:eastAsia="黑体" w:cs="黑体"/>
          <w:spacing w:val="20"/>
          <w:position w:val="0"/>
          <w:sz w:val="32"/>
          <w:szCs w:val="32"/>
          <w:lang w:val="en-US" w:eastAsia="zh-CN"/>
        </w:rPr>
      </w:pPr>
      <w:r>
        <w:rPr>
          <w:rFonts w:hint="eastAsia" w:ascii="黑体" w:hAnsi="黑体" w:eastAsia="黑体" w:cs="黑体"/>
          <w:spacing w:val="20"/>
          <w:position w:val="0"/>
          <w:sz w:val="32"/>
          <w:szCs w:val="32"/>
          <w:lang w:val="en-US" w:eastAsia="zh-CN"/>
        </w:rPr>
        <w:t>第四部分  预算公开联系方式及信息反馈渠道</w:t>
      </w:r>
    </w:p>
    <w:p w14:paraId="61204264">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ascii="仿宋" w:hAnsi="仿宋" w:eastAsia="仿宋" w:cs="仿宋"/>
          <w:spacing w:val="20"/>
          <w:sz w:val="32"/>
          <w:szCs w:val="32"/>
        </w:rPr>
      </w:pPr>
      <w:r>
        <w:rPr>
          <w:rFonts w:ascii="仿宋" w:hAnsi="仿宋" w:eastAsia="仿宋" w:cs="仿宋"/>
          <w:spacing w:val="20"/>
          <w:sz w:val="32"/>
          <w:szCs w:val="32"/>
        </w:rPr>
        <w:t>本单位预算公开信息反馈和联系方式：</w:t>
      </w:r>
    </w:p>
    <w:p w14:paraId="462EAD4F">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hint="default" w:ascii="仿宋" w:hAnsi="仿宋" w:eastAsia="仿宋" w:cs="仿宋"/>
          <w:spacing w:val="20"/>
          <w:sz w:val="32"/>
          <w:szCs w:val="32"/>
          <w:lang w:val="en-US" w:eastAsia="zh-CN"/>
        </w:rPr>
      </w:pPr>
      <w:r>
        <w:rPr>
          <w:rFonts w:ascii="仿宋" w:hAnsi="仿宋" w:eastAsia="仿宋" w:cs="仿宋"/>
          <w:spacing w:val="20"/>
          <w:sz w:val="32"/>
          <w:szCs w:val="32"/>
        </w:rPr>
        <w:t>联系人：</w:t>
      </w:r>
      <w:r>
        <w:rPr>
          <w:rFonts w:hint="eastAsia" w:ascii="仿宋" w:hAnsi="仿宋" w:eastAsia="仿宋" w:cs="仿宋"/>
          <w:spacing w:val="20"/>
          <w:sz w:val="32"/>
          <w:szCs w:val="32"/>
          <w:lang w:val="en-US" w:eastAsia="zh-CN"/>
        </w:rPr>
        <w:t>敖思蒙</w:t>
      </w:r>
      <w:r>
        <w:rPr>
          <w:rFonts w:ascii="仿宋" w:hAnsi="仿宋" w:eastAsia="仿宋" w:cs="仿宋"/>
          <w:spacing w:val="20"/>
          <w:sz w:val="32"/>
          <w:szCs w:val="32"/>
        </w:rPr>
        <w:t xml:space="preserve">      联系电话：</w:t>
      </w:r>
      <w:r>
        <w:rPr>
          <w:rFonts w:hint="eastAsia" w:ascii="仿宋" w:hAnsi="仿宋" w:eastAsia="仿宋" w:cs="仿宋"/>
          <w:spacing w:val="20"/>
          <w:sz w:val="32"/>
          <w:szCs w:val="32"/>
          <w:lang w:val="en-US" w:eastAsia="zh-CN"/>
        </w:rPr>
        <w:t>18547013003</w:t>
      </w:r>
    </w:p>
    <w:p w14:paraId="48D9D778">
      <w:pPr>
        <w:keepNext w:val="0"/>
        <w:keepLines w:val="0"/>
        <w:pageBreakBefore w:val="0"/>
        <w:widowControl/>
        <w:kinsoku w:val="0"/>
        <w:wordWrap/>
        <w:overflowPunct/>
        <w:topLinePunct w:val="0"/>
        <w:autoSpaceDE w:val="0"/>
        <w:autoSpaceDN w:val="0"/>
        <w:bidi w:val="0"/>
        <w:adjustRightInd w:val="0"/>
        <w:snapToGrid w:val="0"/>
        <w:spacing w:line="580" w:lineRule="exact"/>
        <w:ind w:firstLine="732" w:firstLineChars="200"/>
        <w:textAlignment w:val="baseline"/>
        <w:rPr>
          <w:rFonts w:ascii="仿宋" w:hAnsi="仿宋" w:eastAsia="仿宋" w:cs="仿宋"/>
          <w:spacing w:val="23"/>
          <w:sz w:val="32"/>
          <w:szCs w:val="32"/>
        </w:rPr>
      </w:pPr>
    </w:p>
    <w:p w14:paraId="494C6B51">
      <w:pPr>
        <w:keepNext w:val="0"/>
        <w:keepLines w:val="0"/>
        <w:pageBreakBefore w:val="0"/>
        <w:widowControl/>
        <w:kinsoku w:val="0"/>
        <w:wordWrap/>
        <w:overflowPunct/>
        <w:topLinePunct w:val="0"/>
        <w:autoSpaceDE w:val="0"/>
        <w:autoSpaceDN w:val="0"/>
        <w:bidi w:val="0"/>
        <w:adjustRightInd w:val="0"/>
        <w:snapToGrid w:val="0"/>
        <w:spacing w:line="580" w:lineRule="exact"/>
        <w:ind w:left="0" w:right="0" w:firstLine="720" w:firstLineChars="200"/>
        <w:jc w:val="both"/>
        <w:textAlignment w:val="baseline"/>
        <w:rPr>
          <w:rFonts w:ascii="仿宋" w:hAnsi="仿宋" w:eastAsia="仿宋" w:cs="仿宋"/>
          <w:spacing w:val="20"/>
          <w:position w:val="0"/>
          <w:sz w:val="32"/>
          <w:szCs w:val="32"/>
        </w:rPr>
      </w:pPr>
    </w:p>
    <w:sectPr>
      <w:footerReference r:id="rId14" w:type="default"/>
      <w:pgSz w:w="11907" w:h="16839"/>
      <w:pgMar w:top="1984" w:right="1701" w:bottom="1984" w:left="1701" w:header="907" w:footer="992"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355B8">
    <w:pPr>
      <w:spacing w:line="169" w:lineRule="auto"/>
      <w:ind w:left="3963"/>
      <w:rPr>
        <w:rFonts w:ascii="Calibri" w:hAnsi="Calibri" w:eastAsia="Calibri" w:cs="Calibri"/>
        <w:sz w:val="24"/>
        <w:szCs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53E0B4">
                          <w:pPr>
                            <w:pStyle w:val="3"/>
                            <w:rPr>
                              <w:rFonts w:hint="default" w:asciiTheme="minorAscii" w:hAnsiTheme="minorAscii"/>
                              <w:sz w:val="24"/>
                              <w:szCs w:val="24"/>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6553E0B4">
                    <w:pPr>
                      <w:pStyle w:val="3"/>
                      <w:rPr>
                        <w:rFonts w:hint="default" w:asciiTheme="minorAscii" w:hAnsiTheme="minorAscii"/>
                        <w:sz w:val="24"/>
                        <w:szCs w:val="24"/>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0D526">
    <w:pPr>
      <w:spacing w:line="170" w:lineRule="auto"/>
      <w:ind w:left="4091"/>
      <w:rPr>
        <w:rFonts w:hint="eastAsia" w:ascii="Calibri" w:hAnsi="Calibri" w:eastAsia="宋体" w:cs="Calibri"/>
        <w:sz w:val="24"/>
        <w:szCs w:val="24"/>
        <w:lang w:val="en-US" w:eastAsia="zh-CN"/>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A3326B">
                          <w:pPr>
                            <w:pStyle w:val="3"/>
                            <w:rPr>
                              <w:rFonts w:hint="default" w:asciiTheme="minorAscii" w:hAnsiTheme="minorAscii"/>
                              <w:sz w:val="24"/>
                              <w:szCs w:val="24"/>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AA3326B">
                    <w:pPr>
                      <w:pStyle w:val="3"/>
                      <w:rPr>
                        <w:rFonts w:hint="default" w:asciiTheme="minorAscii" w:hAnsiTheme="minorAscii"/>
                        <w:sz w:val="24"/>
                        <w:szCs w:val="24"/>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B87D1">
    <w:pPr>
      <w:spacing w:line="170" w:lineRule="auto"/>
      <w:ind w:left="4091"/>
      <w:rPr>
        <w:rFonts w:ascii="Calibri" w:hAnsi="Calibri" w:eastAsia="Calibri" w:cs="Calibri"/>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1D078C">
                          <w:pPr>
                            <w:pStyle w:val="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51D078C">
                    <w:pPr>
                      <w:pStyle w:val="3"/>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777A3">
    <w:pPr>
      <w:spacing w:line="169" w:lineRule="auto"/>
      <w:ind w:left="4086"/>
      <w:rPr>
        <w:rFonts w:ascii="Calibri" w:hAnsi="Calibri" w:eastAsia="Calibri" w:cs="Calibri"/>
        <w:sz w:val="24"/>
        <w:szCs w:val="24"/>
      </w:rPr>
    </w:pPr>
    <w:r>
      <w:rPr>
        <w:sz w:val="24"/>
      </w:rPr>
      <mc:AlternateContent>
        <mc:Choice Requires="wps">
          <w:drawing>
            <wp:anchor distT="0" distB="0" distL="114300" distR="114300" simplePos="0" relativeHeight="251666432" behindDoc="0" locked="0" layoutInCell="1" allowOverlap="1">
              <wp:simplePos x="0" y="0"/>
              <wp:positionH relativeFrom="margin">
                <wp:posOffset>2578735</wp:posOffset>
              </wp:positionH>
              <wp:positionV relativeFrom="paragraph">
                <wp:posOffset>-281940</wp:posOffset>
              </wp:positionV>
              <wp:extent cx="245745" cy="260985"/>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245745" cy="2609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CC4E2B">
                          <w:pPr>
                            <w:pStyle w:val="3"/>
                            <w:jc w:val="both"/>
                            <w:rPr>
                              <w:rFonts w:hint="default" w:asciiTheme="minorAscii" w:hAnsiTheme="minorAscii"/>
                              <w:sz w:val="24"/>
                              <w:szCs w:val="24"/>
                            </w:rPr>
                          </w:pPr>
                          <w:r>
                            <w:rPr>
                              <w:rFonts w:hint="default" w:asciiTheme="minorAscii" w:hAnsiTheme="minorAscii"/>
                              <w:sz w:val="24"/>
                              <w:szCs w:val="24"/>
                            </w:rPr>
                            <w:fldChar w:fldCharType="begin"/>
                          </w:r>
                          <w:r>
                            <w:rPr>
                              <w:rFonts w:hint="default" w:asciiTheme="minorAscii" w:hAnsiTheme="minorAscii"/>
                              <w:sz w:val="24"/>
                              <w:szCs w:val="24"/>
                            </w:rPr>
                            <w:instrText xml:space="preserve"> PAGE  \* MERGEFORMAT </w:instrText>
                          </w:r>
                          <w:r>
                            <w:rPr>
                              <w:rFonts w:hint="default" w:asciiTheme="minorAscii" w:hAnsiTheme="minorAscii"/>
                              <w:sz w:val="24"/>
                              <w:szCs w:val="24"/>
                            </w:rPr>
                            <w:fldChar w:fldCharType="separate"/>
                          </w:r>
                          <w:r>
                            <w:rPr>
                              <w:rFonts w:hint="default" w:asciiTheme="minorAscii" w:hAnsiTheme="minorAscii"/>
                              <w:sz w:val="24"/>
                              <w:szCs w:val="24"/>
                            </w:rPr>
                            <w:t>- 4 -</w:t>
                          </w:r>
                          <w:r>
                            <w:rPr>
                              <w:rFonts w:hint="default" w:asciiTheme="minorAscii" w:hAnsiTheme="minorAscii"/>
                              <w:sz w:val="24"/>
                              <w:szCs w:val="24"/>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03.05pt;margin-top:-22.2pt;height:20.55pt;width:19.35pt;mso-position-horizontal-relative:margin;z-index:251666432;mso-width-relative:page;mso-height-relative:page;" filled="f" stroked="f" coordsize="21600,21600" o:gfxdata="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3/iYj9gAAAAKAQAADwAAAAAAAAABACAAAAAiAAAAZHJzL2Rv&#10;d25yZXYueG1sUEsBAhQAFAAAAAgAh07iQMK8exU6AgAAYwQAAA4AAAAAAAAAAQAgAAAAJwEAAGRy&#10;cy9lMm9Eb2MueG1sUEsFBgAAAAAGAAYAWQEAANMFAAAAAA==&#10;">
              <v:fill on="f" focussize="0,0"/>
              <v:stroke on="f" weight="0.5pt"/>
              <v:imagedata o:title=""/>
              <o:lock v:ext="edit" aspectratio="f"/>
              <v:textbox inset="0mm,0mm,0mm,0mm">
                <w:txbxContent>
                  <w:p w14:paraId="37CC4E2B">
                    <w:pPr>
                      <w:pStyle w:val="3"/>
                      <w:jc w:val="both"/>
                      <w:rPr>
                        <w:rFonts w:hint="default" w:asciiTheme="minorAscii" w:hAnsiTheme="minorAscii"/>
                        <w:sz w:val="24"/>
                        <w:szCs w:val="24"/>
                      </w:rPr>
                    </w:pPr>
                    <w:r>
                      <w:rPr>
                        <w:rFonts w:hint="default" w:asciiTheme="minorAscii" w:hAnsiTheme="minorAscii"/>
                        <w:sz w:val="24"/>
                        <w:szCs w:val="24"/>
                      </w:rPr>
                      <w:fldChar w:fldCharType="begin"/>
                    </w:r>
                    <w:r>
                      <w:rPr>
                        <w:rFonts w:hint="default" w:asciiTheme="minorAscii" w:hAnsiTheme="minorAscii"/>
                        <w:sz w:val="24"/>
                        <w:szCs w:val="24"/>
                      </w:rPr>
                      <w:instrText xml:space="preserve"> PAGE  \* MERGEFORMAT </w:instrText>
                    </w:r>
                    <w:r>
                      <w:rPr>
                        <w:rFonts w:hint="default" w:asciiTheme="minorAscii" w:hAnsiTheme="minorAscii"/>
                        <w:sz w:val="24"/>
                        <w:szCs w:val="24"/>
                      </w:rPr>
                      <w:fldChar w:fldCharType="separate"/>
                    </w:r>
                    <w:r>
                      <w:rPr>
                        <w:rFonts w:hint="default" w:asciiTheme="minorAscii" w:hAnsiTheme="minorAscii"/>
                        <w:sz w:val="24"/>
                        <w:szCs w:val="24"/>
                      </w:rPr>
                      <w:t>- 4 -</w:t>
                    </w:r>
                    <w:r>
                      <w:rPr>
                        <w:rFonts w:hint="default" w:asciiTheme="minorAscii" w:hAnsiTheme="minorAscii"/>
                        <w:sz w:val="24"/>
                        <w:szCs w:val="24"/>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CBA05">
    <w:pPr>
      <w:spacing w:line="170" w:lineRule="auto"/>
      <w:rPr>
        <w:rFonts w:ascii="Calibri" w:hAnsi="Calibri" w:eastAsia="Calibri" w:cs="Calibri"/>
        <w:sz w:val="24"/>
        <w:szCs w:val="24"/>
      </w:rPr>
    </w:pPr>
    <w:r>
      <w:rPr>
        <w:sz w:val="24"/>
      </w:rPr>
      <mc:AlternateContent>
        <mc:Choice Requires="wps">
          <w:drawing>
            <wp:anchor distT="0" distB="0" distL="114300" distR="114300" simplePos="0" relativeHeight="251667456" behindDoc="0" locked="0" layoutInCell="1" allowOverlap="1">
              <wp:simplePos x="0" y="0"/>
              <wp:positionH relativeFrom="margin">
                <wp:posOffset>2578735</wp:posOffset>
              </wp:positionH>
              <wp:positionV relativeFrom="paragraph">
                <wp:posOffset>-220980</wp:posOffset>
              </wp:positionV>
              <wp:extent cx="245745" cy="29972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245745" cy="2997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42B9E8">
                          <w:pPr>
                            <w:pStyle w:val="3"/>
                            <w:jc w:val="center"/>
                          </w:pPr>
                          <w:r>
                            <w:rPr>
                              <w:rFonts w:hint="default" w:asciiTheme="minorAscii" w:hAnsiTheme="minorAscii"/>
                              <w:sz w:val="24"/>
                              <w:szCs w:val="24"/>
                            </w:rPr>
                            <w:fldChar w:fldCharType="begin"/>
                          </w:r>
                          <w:r>
                            <w:rPr>
                              <w:rFonts w:hint="default" w:asciiTheme="minorAscii" w:hAnsiTheme="minorAscii"/>
                              <w:sz w:val="24"/>
                              <w:szCs w:val="24"/>
                            </w:rPr>
                            <w:instrText xml:space="preserve"> PAGE  \* MERGEFORMAT </w:instrText>
                          </w:r>
                          <w:r>
                            <w:rPr>
                              <w:rFonts w:hint="default" w:asciiTheme="minorAscii" w:hAnsiTheme="minorAscii"/>
                              <w:sz w:val="24"/>
                              <w:szCs w:val="24"/>
                            </w:rPr>
                            <w:fldChar w:fldCharType="separate"/>
                          </w:r>
                          <w:r>
                            <w:rPr>
                              <w:rFonts w:hint="default" w:asciiTheme="minorAscii" w:hAnsiTheme="minorAscii"/>
                              <w:sz w:val="24"/>
                              <w:szCs w:val="24"/>
                            </w:rPr>
                            <w:t>- 6 -</w:t>
                          </w:r>
                          <w:r>
                            <w:rPr>
                              <w:rFonts w:hint="default" w:asciiTheme="minorAscii" w:hAnsiTheme="minorAscii"/>
                              <w:sz w:val="24"/>
                              <w:szCs w:val="24"/>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03.05pt;margin-top:-17.4pt;height:23.6pt;width:19.35pt;mso-position-horizontal-relative:margin;z-index:251667456;mso-width-relative:page;mso-height-relative:page;" filled="f" stroked="f" coordsize="21600,21600" o:gfxdata="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mQ4aC1wAAAAoBAAAPAAAAAAAAAAEAIAAAACIAAABkcnMvZG93bnJl&#10;di54bWxQSwECFAAUAAAACACHTuJAqfcH5DcCAABjBAAADgAAAAAAAAABACAAAAAmAQAAZHJzL2Uy&#10;b0RvYy54bWxQSwUGAAAAAAYABgBZAQAAzwUAAAAA&#10;">
              <v:fill on="f" focussize="0,0"/>
              <v:stroke on="f" weight="0.5pt"/>
              <v:imagedata o:title=""/>
              <o:lock v:ext="edit" aspectratio="f"/>
              <v:textbox inset="0mm,0mm,0mm,0mm">
                <w:txbxContent>
                  <w:p w14:paraId="2742B9E8">
                    <w:pPr>
                      <w:pStyle w:val="3"/>
                      <w:jc w:val="center"/>
                    </w:pPr>
                    <w:r>
                      <w:rPr>
                        <w:rFonts w:hint="default" w:asciiTheme="minorAscii" w:hAnsiTheme="minorAscii"/>
                        <w:sz w:val="24"/>
                        <w:szCs w:val="24"/>
                      </w:rPr>
                      <w:fldChar w:fldCharType="begin"/>
                    </w:r>
                    <w:r>
                      <w:rPr>
                        <w:rFonts w:hint="default" w:asciiTheme="minorAscii" w:hAnsiTheme="minorAscii"/>
                        <w:sz w:val="24"/>
                        <w:szCs w:val="24"/>
                      </w:rPr>
                      <w:instrText xml:space="preserve"> PAGE  \* MERGEFORMAT </w:instrText>
                    </w:r>
                    <w:r>
                      <w:rPr>
                        <w:rFonts w:hint="default" w:asciiTheme="minorAscii" w:hAnsiTheme="minorAscii"/>
                        <w:sz w:val="24"/>
                        <w:szCs w:val="24"/>
                      </w:rPr>
                      <w:fldChar w:fldCharType="separate"/>
                    </w:r>
                    <w:r>
                      <w:rPr>
                        <w:rFonts w:hint="default" w:asciiTheme="minorAscii" w:hAnsiTheme="minorAscii"/>
                        <w:sz w:val="24"/>
                        <w:szCs w:val="24"/>
                      </w:rPr>
                      <w:t>- 6 -</w:t>
                    </w:r>
                    <w:r>
                      <w:rPr>
                        <w:rFonts w:hint="default" w:asciiTheme="minorAscii" w:hAnsiTheme="minorAscii"/>
                        <w:sz w:val="24"/>
                        <w:szCs w:val="24"/>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0DB46">
    <w:pPr>
      <w:spacing w:line="170" w:lineRule="auto"/>
      <w:ind w:left="4087"/>
      <w:rPr>
        <w:rFonts w:ascii="Calibri" w:hAnsi="Calibri" w:eastAsia="Calibri" w:cs="Calibri"/>
        <w:sz w:val="24"/>
        <w:szCs w:val="24"/>
      </w:rPr>
    </w:pPr>
    <w:r>
      <w:rPr>
        <w:sz w:val="24"/>
      </w:rPr>
      <mc:AlternateContent>
        <mc:Choice Requires="wps">
          <w:drawing>
            <wp:anchor distT="0" distB="0" distL="114300" distR="114300" simplePos="0" relativeHeight="251668480" behindDoc="0" locked="0" layoutInCell="1" allowOverlap="1">
              <wp:simplePos x="0" y="0"/>
              <wp:positionH relativeFrom="margin">
                <wp:posOffset>2437130</wp:posOffset>
              </wp:positionH>
              <wp:positionV relativeFrom="paragraph">
                <wp:posOffset>-327660</wp:posOffset>
              </wp:positionV>
              <wp:extent cx="300990" cy="329565"/>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300990" cy="3295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1D7D4">
                          <w:pPr>
                            <w:pStyle w:val="3"/>
                            <w:jc w:val="center"/>
                            <w:rPr>
                              <w:rFonts w:hint="default" w:asciiTheme="minorAscii" w:hAnsiTheme="minorAscii"/>
                              <w:sz w:val="24"/>
                              <w:szCs w:val="24"/>
                            </w:rPr>
                          </w:pPr>
                          <w:r>
                            <w:rPr>
                              <w:rFonts w:hint="default" w:asciiTheme="minorAscii" w:hAnsiTheme="minorAscii"/>
                              <w:sz w:val="24"/>
                              <w:szCs w:val="24"/>
                            </w:rPr>
                            <w:fldChar w:fldCharType="begin"/>
                          </w:r>
                          <w:r>
                            <w:rPr>
                              <w:rFonts w:hint="default" w:asciiTheme="minorAscii" w:hAnsiTheme="minorAscii"/>
                              <w:sz w:val="24"/>
                              <w:szCs w:val="24"/>
                            </w:rPr>
                            <w:instrText xml:space="preserve"> PAGE  \* MERGEFORMAT </w:instrText>
                          </w:r>
                          <w:r>
                            <w:rPr>
                              <w:rFonts w:hint="default" w:asciiTheme="minorAscii" w:hAnsiTheme="minorAscii"/>
                              <w:sz w:val="24"/>
                              <w:szCs w:val="24"/>
                            </w:rPr>
                            <w:fldChar w:fldCharType="separate"/>
                          </w:r>
                          <w:r>
                            <w:rPr>
                              <w:rFonts w:hint="default" w:asciiTheme="minorAscii" w:hAnsiTheme="minorAscii"/>
                              <w:sz w:val="24"/>
                              <w:szCs w:val="24"/>
                            </w:rPr>
                            <w:t>- 7 -</w:t>
                          </w:r>
                          <w:r>
                            <w:rPr>
                              <w:rFonts w:hint="default" w:asciiTheme="minorAscii" w:hAnsiTheme="minorAscii"/>
                              <w:sz w:val="24"/>
                              <w:szCs w:val="24"/>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1.9pt;margin-top:-25.8pt;height:25.95pt;width:23.7pt;mso-position-horizontal-relative:margin;z-index:251668480;mso-width-relative:page;mso-height-relative:page;" filled="f" stroked="f" coordsize="21600,21600" o:gfxdata="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PqU8/XAAAACAEAAA8AAAAAAAAAAQAgAAAAIgAAAGRycy9kb3du&#10;cmV2LnhtbFBLAQIUABQAAAAIAIdO4kDxt/xQOQIAAGMEAAAOAAAAAAAAAAEAIAAAACYBAABkcnMv&#10;ZTJvRG9jLnhtbFBLBQYAAAAABgAGAFkBAADRBQAAAAA=&#10;">
              <v:fill on="f" focussize="0,0"/>
              <v:stroke on="f" weight="0.5pt"/>
              <v:imagedata o:title=""/>
              <o:lock v:ext="edit" aspectratio="f"/>
              <v:textbox inset="0mm,0mm,0mm,0mm">
                <w:txbxContent>
                  <w:p w14:paraId="0311D7D4">
                    <w:pPr>
                      <w:pStyle w:val="3"/>
                      <w:jc w:val="center"/>
                      <w:rPr>
                        <w:rFonts w:hint="default" w:asciiTheme="minorAscii" w:hAnsiTheme="minorAscii"/>
                        <w:sz w:val="24"/>
                        <w:szCs w:val="24"/>
                      </w:rPr>
                    </w:pPr>
                    <w:r>
                      <w:rPr>
                        <w:rFonts w:hint="default" w:asciiTheme="minorAscii" w:hAnsiTheme="minorAscii"/>
                        <w:sz w:val="24"/>
                        <w:szCs w:val="24"/>
                      </w:rPr>
                      <w:fldChar w:fldCharType="begin"/>
                    </w:r>
                    <w:r>
                      <w:rPr>
                        <w:rFonts w:hint="default" w:asciiTheme="minorAscii" w:hAnsiTheme="minorAscii"/>
                        <w:sz w:val="24"/>
                        <w:szCs w:val="24"/>
                      </w:rPr>
                      <w:instrText xml:space="preserve"> PAGE  \* MERGEFORMAT </w:instrText>
                    </w:r>
                    <w:r>
                      <w:rPr>
                        <w:rFonts w:hint="default" w:asciiTheme="minorAscii" w:hAnsiTheme="minorAscii"/>
                        <w:sz w:val="24"/>
                        <w:szCs w:val="24"/>
                      </w:rPr>
                      <w:fldChar w:fldCharType="separate"/>
                    </w:r>
                    <w:r>
                      <w:rPr>
                        <w:rFonts w:hint="default" w:asciiTheme="minorAscii" w:hAnsiTheme="minorAscii"/>
                        <w:sz w:val="24"/>
                        <w:szCs w:val="24"/>
                      </w:rPr>
                      <w:t>- 7 -</w:t>
                    </w:r>
                    <w:r>
                      <w:rPr>
                        <w:rFonts w:hint="default" w:asciiTheme="minorAscii" w:hAnsiTheme="minorAscii"/>
                        <w:sz w:val="24"/>
                        <w:szCs w:val="24"/>
                      </w:rPr>
                      <w:fldChar w:fldCharType="end"/>
                    </w:r>
                  </w:p>
                </w:txbxContent>
              </v:textbox>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40BA8">
                          <w:pPr>
                            <w:pStyle w:val="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7D040BA8">
                    <w:pPr>
                      <w:pStyle w:val="3"/>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48634">
    <w:pPr>
      <w:spacing w:line="170" w:lineRule="auto"/>
      <w:ind w:left="4095"/>
      <w:rPr>
        <w:rFonts w:ascii="Calibri" w:hAnsi="Calibri" w:eastAsia="Calibri" w:cs="Calibri"/>
        <w:sz w:val="24"/>
        <w:szCs w:val="24"/>
      </w:rPr>
    </w:pPr>
    <w:r>
      <w:rPr>
        <w:sz w:val="24"/>
      </w:rPr>
      <mc:AlternateContent>
        <mc:Choice Requires="wps">
          <w:drawing>
            <wp:anchor distT="0" distB="0" distL="114300" distR="114300" simplePos="0" relativeHeight="251669504" behindDoc="0" locked="0" layoutInCell="1" allowOverlap="1">
              <wp:simplePos x="0" y="0"/>
              <wp:positionH relativeFrom="margin">
                <wp:posOffset>2578735</wp:posOffset>
              </wp:positionH>
              <wp:positionV relativeFrom="paragraph">
                <wp:posOffset>-182880</wp:posOffset>
              </wp:positionV>
              <wp:extent cx="435610" cy="306705"/>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435610" cy="306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8866FB">
                          <w:pPr>
                            <w:pStyle w:val="3"/>
                            <w:jc w:val="center"/>
                          </w:pPr>
                          <w:r>
                            <w:rPr>
                              <w:rFonts w:hint="default" w:asciiTheme="minorAscii" w:hAnsiTheme="minorAscii" w:eastAsiaTheme="majorEastAsia" w:cstheme="majorEastAsia"/>
                              <w:sz w:val="24"/>
                              <w:szCs w:val="24"/>
                            </w:rPr>
                            <w:fldChar w:fldCharType="begin"/>
                          </w:r>
                          <w:r>
                            <w:rPr>
                              <w:rFonts w:hint="default" w:asciiTheme="minorAscii" w:hAnsiTheme="minorAscii" w:eastAsiaTheme="majorEastAsia" w:cstheme="majorEastAsia"/>
                              <w:sz w:val="24"/>
                              <w:szCs w:val="24"/>
                            </w:rPr>
                            <w:instrText xml:space="preserve"> PAGE  \* MERGEFORMAT </w:instrText>
                          </w:r>
                          <w:r>
                            <w:rPr>
                              <w:rFonts w:hint="default" w:asciiTheme="minorAscii" w:hAnsiTheme="minorAscii" w:eastAsiaTheme="majorEastAsia" w:cstheme="majorEastAsia"/>
                              <w:sz w:val="24"/>
                              <w:szCs w:val="24"/>
                            </w:rPr>
                            <w:fldChar w:fldCharType="separate"/>
                          </w:r>
                          <w:r>
                            <w:rPr>
                              <w:rFonts w:hint="default" w:asciiTheme="minorAscii" w:hAnsiTheme="minorAscii" w:eastAsiaTheme="majorEastAsia" w:cstheme="majorEastAsia"/>
                              <w:sz w:val="24"/>
                              <w:szCs w:val="24"/>
                            </w:rPr>
                            <w:t>- 12 -</w:t>
                          </w:r>
                          <w:r>
                            <w:rPr>
                              <w:rFonts w:hint="default" w:asciiTheme="minorAscii" w:hAnsiTheme="minorAscii" w:eastAsiaTheme="majorEastAsia" w:cstheme="majorEastAsia"/>
                              <w:sz w:val="24"/>
                              <w:szCs w:val="24"/>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03.05pt;margin-top:-14.4pt;height:24.15pt;width:34.3pt;mso-position-horizontal-relative:margin;z-index:251669504;mso-width-relative:page;mso-height-relative:page;" filled="f" stroked="f" coordsize="21600,21600" o:gfxdata="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FpTTt2QAAAAoBAAAPAAAAAAAAAAEAIAAAACIAAABkcnMvZG93&#10;bnJldi54bWxQSwECFAAUAAAACACHTuJAkpfqlTgCAABjBAAADgAAAAAAAAABACAAAAAoAQAAZHJz&#10;L2Uyb0RvYy54bWxQSwUGAAAAAAYABgBZAQAA0gUAAAAA&#10;">
              <v:fill on="f" focussize="0,0"/>
              <v:stroke on="f" weight="0.5pt"/>
              <v:imagedata o:title=""/>
              <o:lock v:ext="edit" aspectratio="f"/>
              <v:textbox inset="0mm,0mm,0mm,0mm">
                <w:txbxContent>
                  <w:p w14:paraId="5B8866FB">
                    <w:pPr>
                      <w:pStyle w:val="3"/>
                      <w:jc w:val="center"/>
                    </w:pPr>
                    <w:r>
                      <w:rPr>
                        <w:rFonts w:hint="default" w:asciiTheme="minorAscii" w:hAnsiTheme="minorAscii" w:eastAsiaTheme="majorEastAsia" w:cstheme="majorEastAsia"/>
                        <w:sz w:val="24"/>
                        <w:szCs w:val="24"/>
                      </w:rPr>
                      <w:fldChar w:fldCharType="begin"/>
                    </w:r>
                    <w:r>
                      <w:rPr>
                        <w:rFonts w:hint="default" w:asciiTheme="minorAscii" w:hAnsiTheme="minorAscii" w:eastAsiaTheme="majorEastAsia" w:cstheme="majorEastAsia"/>
                        <w:sz w:val="24"/>
                        <w:szCs w:val="24"/>
                      </w:rPr>
                      <w:instrText xml:space="preserve"> PAGE  \* MERGEFORMAT </w:instrText>
                    </w:r>
                    <w:r>
                      <w:rPr>
                        <w:rFonts w:hint="default" w:asciiTheme="minorAscii" w:hAnsiTheme="minorAscii" w:eastAsiaTheme="majorEastAsia" w:cstheme="majorEastAsia"/>
                        <w:sz w:val="24"/>
                        <w:szCs w:val="24"/>
                      </w:rPr>
                      <w:fldChar w:fldCharType="separate"/>
                    </w:r>
                    <w:r>
                      <w:rPr>
                        <w:rFonts w:hint="default" w:asciiTheme="minorAscii" w:hAnsiTheme="minorAscii" w:eastAsiaTheme="majorEastAsia" w:cstheme="majorEastAsia"/>
                        <w:sz w:val="24"/>
                        <w:szCs w:val="24"/>
                      </w:rPr>
                      <w:t>- 12 -</w:t>
                    </w:r>
                    <w:r>
                      <w:rPr>
                        <w:rFonts w:hint="default" w:asciiTheme="minorAscii" w:hAnsiTheme="minorAscii" w:eastAsiaTheme="majorEastAsia" w:cstheme="majorEastAsia"/>
                        <w:sz w:val="24"/>
                        <w:szCs w:val="24"/>
                      </w:rPr>
                      <w:fldChar w:fldCharType="end"/>
                    </w:r>
                  </w:p>
                </w:txbxContent>
              </v:textbox>
            </v:shap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A6601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4A6601E"/>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5325A">
    <w:pPr>
      <w:spacing w:line="170" w:lineRule="auto"/>
      <w:ind w:left="4137"/>
      <w:rPr>
        <w:rFonts w:ascii="Calibri" w:hAnsi="Calibri" w:eastAsia="Calibri" w:cs="Calibri"/>
        <w:sz w:val="24"/>
        <w:szCs w:val="24"/>
      </w:rPr>
    </w:pPr>
    <w:r>
      <w:rPr>
        <w:sz w:val="24"/>
      </w:rPr>
      <mc:AlternateContent>
        <mc:Choice Requires="wps">
          <w:drawing>
            <wp:anchor distT="0" distB="0" distL="114300" distR="114300" simplePos="0" relativeHeight="251670528" behindDoc="0" locked="0" layoutInCell="1" allowOverlap="1">
              <wp:simplePos x="0" y="0"/>
              <wp:positionH relativeFrom="margin">
                <wp:posOffset>2538730</wp:posOffset>
              </wp:positionH>
              <wp:positionV relativeFrom="paragraph">
                <wp:posOffset>-175260</wp:posOffset>
              </wp:positionV>
              <wp:extent cx="322580" cy="34544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322580" cy="345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38FAB4">
                          <w:pPr>
                            <w:pStyle w:val="3"/>
                            <w:jc w:val="center"/>
                          </w:pPr>
                          <w:r>
                            <w:rPr>
                              <w:rFonts w:hint="default" w:asciiTheme="minorAscii" w:hAnsiTheme="minorAscii"/>
                              <w:sz w:val="24"/>
                              <w:szCs w:val="24"/>
                            </w:rPr>
                            <w:fldChar w:fldCharType="begin"/>
                          </w:r>
                          <w:r>
                            <w:rPr>
                              <w:rFonts w:hint="default" w:asciiTheme="minorAscii" w:hAnsiTheme="minorAscii"/>
                              <w:sz w:val="24"/>
                              <w:szCs w:val="24"/>
                            </w:rPr>
                            <w:instrText xml:space="preserve"> PAGE  \* MERGEFORMAT </w:instrText>
                          </w:r>
                          <w:r>
                            <w:rPr>
                              <w:rFonts w:hint="default" w:asciiTheme="minorAscii" w:hAnsiTheme="minorAscii"/>
                              <w:sz w:val="24"/>
                              <w:szCs w:val="24"/>
                            </w:rPr>
                            <w:fldChar w:fldCharType="separate"/>
                          </w:r>
                          <w:r>
                            <w:rPr>
                              <w:rFonts w:hint="default" w:asciiTheme="minorAscii" w:hAnsiTheme="minorAscii"/>
                              <w:sz w:val="24"/>
                              <w:szCs w:val="24"/>
                            </w:rPr>
                            <w:t>- 16 -</w:t>
                          </w:r>
                          <w:r>
                            <w:rPr>
                              <w:rFonts w:hint="default" w:asciiTheme="minorAscii" w:hAnsiTheme="minorAscii"/>
                              <w:sz w:val="24"/>
                              <w:szCs w:val="24"/>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9.9pt;margin-top:-13.8pt;height:27.2pt;width:25.4pt;mso-position-horizontal-relative:margin;z-index:251670528;mso-width-relative:page;mso-height-relative:page;" filled="f" stroked="f" coordsize="21600,21600" o:gfxdata="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ZK+rVdoAAAAKAQAADwAAAAAAAAABACAAAAAiAAAAZHJzL2Rv&#10;d25yZXYueG1sUEsBAhQAFAAAAAgAh07iQPgRYQA4AgAAYwQAAA4AAAAAAAAAAQAgAAAAKQEAAGRy&#10;cy9lMm9Eb2MueG1sUEsFBgAAAAAGAAYAWQEAANMFAAAAAA==&#10;">
              <v:fill on="f" focussize="0,0"/>
              <v:stroke on="f" weight="0.5pt"/>
              <v:imagedata o:title=""/>
              <o:lock v:ext="edit" aspectratio="f"/>
              <v:textbox inset="0mm,0mm,0mm,0mm">
                <w:txbxContent>
                  <w:p w14:paraId="7F38FAB4">
                    <w:pPr>
                      <w:pStyle w:val="3"/>
                      <w:jc w:val="center"/>
                    </w:pPr>
                    <w:r>
                      <w:rPr>
                        <w:rFonts w:hint="default" w:asciiTheme="minorAscii" w:hAnsiTheme="minorAscii"/>
                        <w:sz w:val="24"/>
                        <w:szCs w:val="24"/>
                      </w:rPr>
                      <w:fldChar w:fldCharType="begin"/>
                    </w:r>
                    <w:r>
                      <w:rPr>
                        <w:rFonts w:hint="default" w:asciiTheme="minorAscii" w:hAnsiTheme="minorAscii"/>
                        <w:sz w:val="24"/>
                        <w:szCs w:val="24"/>
                      </w:rPr>
                      <w:instrText xml:space="preserve"> PAGE  \* MERGEFORMAT </w:instrText>
                    </w:r>
                    <w:r>
                      <w:rPr>
                        <w:rFonts w:hint="default" w:asciiTheme="minorAscii" w:hAnsiTheme="minorAscii"/>
                        <w:sz w:val="24"/>
                        <w:szCs w:val="24"/>
                      </w:rPr>
                      <w:fldChar w:fldCharType="separate"/>
                    </w:r>
                    <w:r>
                      <w:rPr>
                        <w:rFonts w:hint="default" w:asciiTheme="minorAscii" w:hAnsiTheme="minorAscii"/>
                        <w:sz w:val="24"/>
                        <w:szCs w:val="24"/>
                      </w:rPr>
                      <w:t>- 16 -</w:t>
                    </w:r>
                    <w:r>
                      <w:rPr>
                        <w:rFonts w:hint="default" w:asciiTheme="minorAscii" w:hAnsiTheme="minorAscii"/>
                        <w:sz w:val="24"/>
                        <w:szCs w:val="24"/>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15930">
    <w:pPr>
      <w:spacing w:line="170" w:lineRule="auto"/>
      <w:ind w:left="4137"/>
      <w:rPr>
        <w:rFonts w:ascii="Calibri" w:hAnsi="Calibri" w:eastAsia="Calibri" w:cs="Calibri"/>
        <w:sz w:val="24"/>
        <w:szCs w:val="24"/>
      </w:rPr>
    </w:pPr>
    <w:r>
      <w:rPr>
        <w:sz w:val="24"/>
      </w:rPr>
      <mc:AlternateContent>
        <mc:Choice Requires="wps">
          <w:drawing>
            <wp:anchor distT="0" distB="0" distL="114300" distR="114300" simplePos="0" relativeHeight="251671552" behindDoc="0" locked="0" layoutInCell="1" allowOverlap="1">
              <wp:simplePos x="0" y="0"/>
              <wp:positionH relativeFrom="margin">
                <wp:posOffset>2538730</wp:posOffset>
              </wp:positionH>
              <wp:positionV relativeFrom="paragraph">
                <wp:posOffset>-258445</wp:posOffset>
              </wp:positionV>
              <wp:extent cx="322580" cy="344805"/>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322580" cy="3448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0413AB">
                          <w:pPr>
                            <w:pStyle w:val="3"/>
                            <w:jc w:val="center"/>
                          </w:pPr>
                          <w:r>
                            <w:rPr>
                              <w:rFonts w:hint="default" w:asciiTheme="minorAscii" w:hAnsiTheme="minorAscii"/>
                              <w:sz w:val="24"/>
                              <w:szCs w:val="24"/>
                            </w:rPr>
                            <w:fldChar w:fldCharType="begin"/>
                          </w:r>
                          <w:r>
                            <w:rPr>
                              <w:rFonts w:hint="default" w:asciiTheme="minorAscii" w:hAnsiTheme="minorAscii"/>
                              <w:sz w:val="24"/>
                              <w:szCs w:val="24"/>
                            </w:rPr>
                            <w:instrText xml:space="preserve"> PAGE  \* MERGEFORMAT </w:instrText>
                          </w:r>
                          <w:r>
                            <w:rPr>
                              <w:rFonts w:hint="default" w:asciiTheme="minorAscii" w:hAnsiTheme="minorAscii"/>
                              <w:sz w:val="24"/>
                              <w:szCs w:val="24"/>
                            </w:rPr>
                            <w:fldChar w:fldCharType="separate"/>
                          </w:r>
                          <w:r>
                            <w:rPr>
                              <w:rFonts w:hint="default" w:asciiTheme="minorAscii" w:hAnsiTheme="minorAscii"/>
                              <w:sz w:val="24"/>
                              <w:szCs w:val="24"/>
                            </w:rPr>
                            <w:t>- 17 -</w:t>
                          </w:r>
                          <w:r>
                            <w:rPr>
                              <w:rFonts w:hint="default" w:asciiTheme="minorAscii" w:hAnsiTheme="minorAscii"/>
                              <w:sz w:val="24"/>
                              <w:szCs w:val="24"/>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9.9pt;margin-top:-20.35pt;height:27.15pt;width:25.4pt;mso-position-horizontal-relative:margin;z-index:251671552;mso-width-relative:page;mso-height-relative:page;" filled="f" stroked="f" coordsize="21600,21600" o:gfxdata="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KVtCr2QAAAAoBAAAPAAAAAAAAAAEAIAAAACIAAABkcnMvZG93&#10;bnJldi54bWxQSwECFAAUAAAACACHTuJA3yigPTgCAABjBAAADgAAAAAAAAABACAAAAAoAQAAZHJz&#10;L2Uyb0RvYy54bWxQSwUGAAAAAAYABgBZAQAA0gUAAAAA&#10;">
              <v:fill on="f" focussize="0,0"/>
              <v:stroke on="f" weight="0.5pt"/>
              <v:imagedata o:title=""/>
              <o:lock v:ext="edit" aspectratio="f"/>
              <v:textbox inset="0mm,0mm,0mm,0mm">
                <w:txbxContent>
                  <w:p w14:paraId="1D0413AB">
                    <w:pPr>
                      <w:pStyle w:val="3"/>
                      <w:jc w:val="center"/>
                    </w:pPr>
                    <w:r>
                      <w:rPr>
                        <w:rFonts w:hint="default" w:asciiTheme="minorAscii" w:hAnsiTheme="minorAscii"/>
                        <w:sz w:val="24"/>
                        <w:szCs w:val="24"/>
                      </w:rPr>
                      <w:fldChar w:fldCharType="begin"/>
                    </w:r>
                    <w:r>
                      <w:rPr>
                        <w:rFonts w:hint="default" w:asciiTheme="minorAscii" w:hAnsiTheme="minorAscii"/>
                        <w:sz w:val="24"/>
                        <w:szCs w:val="24"/>
                      </w:rPr>
                      <w:instrText xml:space="preserve"> PAGE  \* MERGEFORMAT </w:instrText>
                    </w:r>
                    <w:r>
                      <w:rPr>
                        <w:rFonts w:hint="default" w:asciiTheme="minorAscii" w:hAnsiTheme="minorAscii"/>
                        <w:sz w:val="24"/>
                        <w:szCs w:val="24"/>
                      </w:rPr>
                      <w:fldChar w:fldCharType="separate"/>
                    </w:r>
                    <w:r>
                      <w:rPr>
                        <w:rFonts w:hint="default" w:asciiTheme="minorAscii" w:hAnsiTheme="minorAscii"/>
                        <w:sz w:val="24"/>
                        <w:szCs w:val="24"/>
                      </w:rPr>
                      <w:t>- 17 -</w:t>
                    </w:r>
                    <w:r>
                      <w:rPr>
                        <w:rFonts w:hint="default" w:asciiTheme="minorAscii" w:hAnsiTheme="minorAscii"/>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CA32F">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2FmNzZhOWFhOGUxYjFlNDRjMDg5NzZkODViYmM2MWYifQ=="/>
  </w:docVars>
  <w:rsids>
    <w:rsidRoot w:val="00000000"/>
    <w:rsid w:val="0123584C"/>
    <w:rsid w:val="058F525E"/>
    <w:rsid w:val="06AD2D31"/>
    <w:rsid w:val="081128A2"/>
    <w:rsid w:val="09471380"/>
    <w:rsid w:val="0BED7182"/>
    <w:rsid w:val="0D0F5C7C"/>
    <w:rsid w:val="0E910299"/>
    <w:rsid w:val="10C85AC8"/>
    <w:rsid w:val="11FA1895"/>
    <w:rsid w:val="1F0C1276"/>
    <w:rsid w:val="23F944BF"/>
    <w:rsid w:val="24A361D8"/>
    <w:rsid w:val="25641E0C"/>
    <w:rsid w:val="2E50117F"/>
    <w:rsid w:val="2F830185"/>
    <w:rsid w:val="3518676F"/>
    <w:rsid w:val="3C3976F6"/>
    <w:rsid w:val="3E104487"/>
    <w:rsid w:val="42132798"/>
    <w:rsid w:val="45CA7611"/>
    <w:rsid w:val="46AD252B"/>
    <w:rsid w:val="46B502C1"/>
    <w:rsid w:val="480B2A05"/>
    <w:rsid w:val="4A5E3812"/>
    <w:rsid w:val="4E994025"/>
    <w:rsid w:val="539179C0"/>
    <w:rsid w:val="58F5454D"/>
    <w:rsid w:val="5AD563E4"/>
    <w:rsid w:val="60A24FBB"/>
    <w:rsid w:val="637662BE"/>
    <w:rsid w:val="63B374DF"/>
    <w:rsid w:val="6DA34120"/>
    <w:rsid w:val="721101F2"/>
    <w:rsid w:val="72A746B3"/>
    <w:rsid w:val="74551EBC"/>
    <w:rsid w:val="78274360"/>
    <w:rsid w:val="79A96F62"/>
    <w:rsid w:val="7ABA2C10"/>
    <w:rsid w:val="7BC225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Arial" w:hAnsi="Arial" w:eastAsia="Arial" w:cs="Arial"/>
      <w:sz w:val="21"/>
      <w:szCs w:val="21"/>
      <w:lang w:val="en-US" w:eastAsia="en-US" w:bidi="ar-SA"/>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autoRedefine/>
    <w:semiHidden/>
    <w:unhideWhenUsed/>
    <w:qFormat/>
    <w:uiPriority w:val="0"/>
    <w:tblPr>
      <w:tblCellMar>
        <w:top w:w="0" w:type="dxa"/>
        <w:left w:w="0" w:type="dxa"/>
        <w:bottom w:w="0" w:type="dxa"/>
        <w:right w:w="0" w:type="dxa"/>
      </w:tblCellMar>
    </w:tblPr>
  </w:style>
  <w:style w:type="paragraph" w:customStyle="1" w:styleId="8">
    <w:name w:val="Table Text"/>
    <w:basedOn w:val="1"/>
    <w:autoRedefine/>
    <w:semiHidden/>
    <w:qFormat/>
    <w:uiPriority w:val="0"/>
    <w:rPr>
      <w:rFonts w:ascii="仿宋" w:hAnsi="仿宋" w:eastAsia="仿宋" w:cs="仿宋"/>
      <w:sz w:val="30"/>
      <w:szCs w:val="3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chart" Target="charts/chart2.xml"/><Relationship Id="rId16" Type="http://schemas.openxmlformats.org/officeDocument/2006/relationships/chart" Target="charts/chart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收入预算表</c:v>
                </c:pt>
              </c:strCache>
            </c:strRef>
          </c:tx>
          <c:spPr>
            <a:solidFill>
              <a:srgbClr val="4BACC6">
                <a:lumMod val="40000"/>
                <a:lumOff val="60000"/>
              </a:srgbClr>
            </a:solidFill>
            <a:ln w="12700" cmpd="sng">
              <a:solidFill>
                <a:sysClr val="windowText" lastClr="000000"/>
              </a:solidFill>
              <a:prstDash val="solid"/>
            </a:ln>
            <a:effectLst>
              <a:outerShdw blurRad="50800" dist="38100" dir="2700000" algn="tl" rotWithShape="0">
                <a:prstClr val="black">
                  <a:alpha val="40000"/>
                </a:prstClr>
              </a:outerShdw>
            </a:effectLst>
            <a:sp3d contourW="12700"/>
          </c:spPr>
          <c:explosion val="0"/>
          <c:dPt>
            <c:idx val="0"/>
            <c:bubble3D val="0"/>
            <c:spPr>
              <a:solidFill>
                <a:srgbClr val="F79646"/>
              </a:solidFill>
              <a:ln w="12700" cmpd="sng">
                <a:solidFill>
                  <a:sysClr val="windowText" lastClr="000000"/>
                </a:solidFill>
                <a:prstDash val="solid"/>
              </a:ln>
              <a:effectLst>
                <a:outerShdw blurRad="50800" dist="38100" dir="2700000" algn="tl" rotWithShape="0">
                  <a:schemeClr val="accent6">
                    <a:lumMod val="50000"/>
                    <a:alpha val="40000"/>
                  </a:schemeClr>
                </a:outerShdw>
              </a:effectLst>
              <a:sp3d contourW="12700"/>
            </c:spPr>
          </c:dPt>
          <c:dPt>
            <c:idx val="1"/>
            <c:bubble3D val="0"/>
            <c:spPr>
              <a:solidFill>
                <a:srgbClr val="8064A2"/>
              </a:solidFill>
              <a:ln w="12700" cmpd="sng">
                <a:solidFill>
                  <a:sysClr val="windowText" lastClr="000000"/>
                </a:solidFill>
                <a:prstDash val="solid"/>
              </a:ln>
              <a:effectLst>
                <a:outerShdw blurRad="50800" dist="38100" dir="2700000" algn="tl" rotWithShape="0">
                  <a:schemeClr val="accent2">
                    <a:lumMod val="50000"/>
                    <a:alpha val="40000"/>
                  </a:schemeClr>
                </a:outerShdw>
              </a:effectLst>
              <a:sp3d contourW="12700"/>
            </c:spPr>
          </c:dPt>
          <c:dPt>
            <c:idx val="2"/>
            <c:bubble3D val="0"/>
            <c:spPr>
              <a:solidFill>
                <a:srgbClr val="4BACC6"/>
              </a:solidFill>
              <a:ln w="12700" cmpd="sng">
                <a:solidFill>
                  <a:sysClr val="windowText" lastClr="000000"/>
                </a:solidFill>
                <a:prstDash val="solid"/>
              </a:ln>
              <a:effectLst>
                <a:outerShdw blurRad="50800" dist="38100" dir="2700000" algn="tl" rotWithShape="0">
                  <a:schemeClr val="accent5">
                    <a:lumMod val="50000"/>
                    <a:alpha val="40000"/>
                  </a:schemeClr>
                </a:outerShdw>
              </a:effectLst>
              <a:sp3d contourW="12700"/>
            </c:spPr>
          </c:dPt>
          <c:dPt>
            <c:idx val="3"/>
            <c:bubble3D val="0"/>
            <c:spPr>
              <a:solidFill>
                <a:srgbClr val="4BACC6">
                  <a:lumMod val="40000"/>
                  <a:lumOff val="60000"/>
                </a:srgbClr>
              </a:solidFill>
              <a:ln w="12700" cmpd="sng">
                <a:solidFill>
                  <a:sysClr val="windowText" lastClr="000000"/>
                </a:solidFill>
                <a:prstDash val="solid"/>
              </a:ln>
              <a:effectLst>
                <a:outerShdw blurRad="50800" dist="38100" dir="2700000" algn="tl" rotWithShape="0">
                  <a:prstClr val="black">
                    <a:alpha val="40000"/>
                  </a:prstClr>
                </a:outerShdw>
              </a:effectLst>
              <a:sp3d contourW="12700"/>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bg1"/>
                    </a:solidFill>
                    <a:effectLst/>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一般公共预算收入</c:v>
                </c:pt>
                <c:pt idx="1">
                  <c:v>政府性基金预算收入</c:v>
                </c:pt>
                <c:pt idx="2">
                  <c:v>本年其他收入</c:v>
                </c:pt>
              </c:strCache>
            </c:strRef>
          </c:cat>
          <c:val>
            <c:numRef>
              <c:f>Sheet1!$B$2:$B$5</c:f>
              <c:numCache>
                <c:formatCode>General</c:formatCode>
                <c:ptCount val="4"/>
                <c:pt idx="0">
                  <c:v>92.41</c:v>
                </c:pt>
                <c:pt idx="1">
                  <c:v>4.56</c:v>
                </c:pt>
                <c:pt idx="2">
                  <c:v>3.03</c:v>
                </c:pt>
              </c:numCache>
            </c:numRef>
          </c:val>
        </c:ser>
        <c:dLbls>
          <c:showLegendKey val="0"/>
          <c:showVal val="1"/>
          <c:showCatName val="0"/>
          <c:showSerName val="0"/>
          <c:showPercent val="0"/>
          <c:showBubbleSize val="0"/>
          <c:showLeaderLines val="1"/>
        </c:dLbls>
        <c:firstSliceAng val="36"/>
      </c:pieChart>
      <c:spPr>
        <a:noFill/>
        <a:ln>
          <a:noFill/>
        </a:ln>
        <a:effectLst/>
      </c:spPr>
    </c:plotArea>
    <c:legend>
      <c:legendPos val="r"/>
      <c:legendEntry>
        <c:idx val="3"/>
        <c:delete val="1"/>
      </c:legendEntry>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mn-lt"/>
              <a:ea typeface="+mn-ea"/>
              <a:cs typeface="+mn-cs"/>
            </a:defRPr>
          </a:pPr>
        </a:p>
      </c:txPr>
    </c:legend>
    <c:plotVisOnly val="1"/>
    <c:dispBlanksAs val="gap"/>
    <c:showDLblsOverMax val="0"/>
    <c:extLst>
      <c:ext uri="{0b15fc19-7d7d-44ad-8c2d-2c3a37ce22c3}">
        <chartProps xmlns="https://web.wps.cn/et/2018/main" chartId="{c4912a68-502f-4f28-8437-438a85555448}"/>
      </c:ext>
    </c:extLst>
  </c:chart>
  <c:spPr>
    <a:noFill/>
    <a:ln w="9525" cap="flat" cmpd="sng" algn="ctr">
      <a:solidFill>
        <a:sysClr val="windowText" lastClr="000000"/>
      </a:solidFill>
      <a:round/>
    </a:ln>
    <a:effectLst>
      <a:outerShdw blurRad="63500" dist="37357" dir="2700000" sx="0" sy="0" rotWithShape="0">
        <a:scrgbClr r="0" g="0" b="0"/>
      </a:outerShdw>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销售额</c:v>
                </c:pt>
              </c:strCache>
            </c:strRef>
          </c:tx>
          <c:spPr>
            <a:ln w="15875">
              <a:solidFill>
                <a:sysClr val="windowText" lastClr="000000"/>
              </a:solidFill>
            </a:ln>
            <a:effectLst>
              <a:outerShdw blurRad="50800" dist="38100" dir="2700000" algn="tl" rotWithShape="0">
                <a:prstClr val="black">
                  <a:alpha val="40000"/>
                </a:prstClr>
              </a:outerShdw>
            </a:effectLst>
            <a:sp3d contourW="15875"/>
          </c:spPr>
          <c:explosion val="0"/>
          <c:dPt>
            <c:idx val="0"/>
            <c:bubble3D val="0"/>
            <c:spPr>
              <a:gradFill>
                <a:gsLst>
                  <a:gs pos="0">
                    <a:schemeClr val="accent6">
                      <a:lumMod val="82000"/>
                      <a:lumOff val="18000"/>
                    </a:schemeClr>
                  </a:gs>
                  <a:gs pos="83000">
                    <a:schemeClr val="accent6"/>
                  </a:gs>
                </a:gsLst>
                <a:lin ang="2700000"/>
              </a:gradFill>
              <a:ln w="15875">
                <a:solidFill>
                  <a:sysClr val="windowText" lastClr="000000"/>
                </a:solidFill>
              </a:ln>
              <a:effectLst>
                <a:outerShdw blurRad="50800" dist="38100" dir="2700000" algn="tl" rotWithShape="0">
                  <a:schemeClr val="accent6">
                    <a:lumMod val="50000"/>
                    <a:alpha val="40000"/>
                  </a:schemeClr>
                </a:outerShdw>
              </a:effectLst>
              <a:sp3d contourW="15875"/>
            </c:spPr>
          </c:dPt>
          <c:dPt>
            <c:idx val="1"/>
            <c:bubble3D val="0"/>
            <c:spPr>
              <a:gradFill>
                <a:gsLst>
                  <a:gs pos="0">
                    <a:schemeClr val="accent3">
                      <a:lumMod val="60000"/>
                      <a:lumOff val="40000"/>
                    </a:schemeClr>
                  </a:gs>
                  <a:gs pos="83000">
                    <a:schemeClr val="accent3"/>
                  </a:gs>
                </a:gsLst>
                <a:lin ang="2700000"/>
              </a:gradFill>
              <a:ln w="15875">
                <a:solidFill>
                  <a:sysClr val="windowText" lastClr="000000"/>
                </a:solidFill>
              </a:ln>
              <a:effectLst>
                <a:outerShdw blurRad="50800" dist="38100" dir="2700000" algn="tl" rotWithShape="0">
                  <a:schemeClr val="accent2">
                    <a:lumMod val="50000"/>
                    <a:alpha val="40000"/>
                  </a:schemeClr>
                </a:outerShdw>
              </a:effectLst>
              <a:sp3d contourW="15875"/>
            </c:spPr>
          </c:dPt>
          <c:dPt>
            <c:idx val="2"/>
            <c:bubble3D val="0"/>
            <c:spPr>
              <a:gradFill>
                <a:gsLst>
                  <a:gs pos="0">
                    <a:schemeClr val="accent5">
                      <a:lumMod val="60000"/>
                      <a:lumOff val="40000"/>
                    </a:schemeClr>
                  </a:gs>
                  <a:gs pos="83000">
                    <a:schemeClr val="accent5"/>
                  </a:gs>
                </a:gsLst>
                <a:lin ang="2700000"/>
              </a:gradFill>
              <a:ln w="19050">
                <a:solidFill>
                  <a:sysClr val="windowText" lastClr="000000"/>
                </a:solidFill>
              </a:ln>
              <a:effectLst>
                <a:outerShdw blurRad="50800" dist="38100" dir="2700000" algn="tl" rotWithShape="0">
                  <a:schemeClr val="accent5">
                    <a:lumMod val="50000"/>
                    <a:alpha val="40000"/>
                  </a:schemeClr>
                </a:outerShdw>
              </a:effectLst>
              <a:sp3d contourW="19050"/>
            </c:spPr>
          </c:dPt>
          <c:dPt>
            <c:idx val="3"/>
            <c:bubble3D val="0"/>
            <c:spPr>
              <a:solidFill>
                <a:schemeClr val="accent4"/>
              </a:solidFill>
              <a:ln w="15875">
                <a:solidFill>
                  <a:sysClr val="windowText" lastClr="000000"/>
                </a:solidFill>
              </a:ln>
              <a:effectLst>
                <a:outerShdw blurRad="50800" dist="38100" dir="2700000" algn="tl" rotWithShape="0">
                  <a:prstClr val="black">
                    <a:alpha val="40000"/>
                  </a:prstClr>
                </a:outerShdw>
              </a:effectLst>
              <a:sp3d contourW="15875"/>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bg1"/>
                    </a:solidFill>
                    <a:effectLst/>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strCache>
            </c:strRef>
          </c:cat>
          <c:val>
            <c:numRef>
              <c:f>Sheet1!$B$2:$B$5</c:f>
              <c:numCache>
                <c:formatCode>General</c:formatCode>
                <c:ptCount val="4"/>
                <c:pt idx="0">
                  <c:v>48.43</c:v>
                </c:pt>
                <c:pt idx="1">
                  <c:v>51.57</c:v>
                </c:pt>
              </c:numCache>
            </c:numRef>
          </c:val>
        </c:ser>
        <c:dLbls>
          <c:showLegendKey val="0"/>
          <c:showVal val="1"/>
          <c:showCatName val="0"/>
          <c:showSerName val="0"/>
          <c:showPercent val="0"/>
          <c:showBubbleSize val="0"/>
          <c:showLeaderLines val="1"/>
        </c:dLbls>
        <c:firstSliceAng val="36"/>
      </c:pieChart>
      <c:spPr>
        <a:noFill/>
        <a:ln>
          <a:noFill/>
        </a:ln>
        <a:effectLst/>
      </c:spPr>
    </c:plotArea>
    <c:legend>
      <c:legendPos val="r"/>
      <c:legendEntry>
        <c:idx val="2"/>
        <c:delete val="1"/>
      </c:legendEntry>
      <c:legendEntry>
        <c:idx val="3"/>
        <c:delete val="1"/>
      </c:legendEntry>
      <c:layout>
        <c:manualLayout>
          <c:xMode val="edge"/>
          <c:yMode val="edge"/>
          <c:x val="0.80002904443799"/>
          <c:y val="0.418560087599234"/>
          <c:w val="0.195614289863491"/>
          <c:h val="0.166438543662743"/>
        </c:manualLayou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mn-lt"/>
              <a:ea typeface="+mn-ea"/>
              <a:cs typeface="+mn-cs"/>
            </a:defRPr>
          </a:pPr>
        </a:p>
      </c:txPr>
    </c:legend>
    <c:plotVisOnly val="1"/>
    <c:dispBlanksAs val="gap"/>
    <c:showDLblsOverMax val="0"/>
    <c:extLst>
      <c:ext uri="{0b15fc19-7d7d-44ad-8c2d-2c3a37ce22c3}">
        <chartProps xmlns="https://web.wps.cn/et/2018/main" chartId="{26256294-e502-47c9-8325-289b5efa8ea5}"/>
      </c:ext>
    </c:extLst>
  </c:chart>
  <c:spPr>
    <a:noFill/>
    <a:ln w="9525" cap="flat" cmpd="sng" algn="ctr">
      <a:solidFill>
        <a:sysClr val="windowText" lastClr="000000"/>
      </a:solidFill>
      <a:prstDash val="solid"/>
      <a:round/>
    </a:ln>
    <a:effectLst>
      <a:outerShdw blurRad="63500" dist="37357" dir="2700000" sx="0" sy="0" rotWithShape="0">
        <a:scrgbClr r="0" g="0" b="0"/>
      </a:outerShdw>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8">
    <a:dk1>
      <a:srgbClr val="000000"/>
    </a:dk1>
    <a:lt1>
      <a:srgbClr val="FFFFFF"/>
    </a:lt1>
    <a:dk2>
      <a:srgbClr val="372824"/>
    </a:dk2>
    <a:lt2>
      <a:srgbClr val="FFFFFF"/>
    </a:lt2>
    <a:accent1>
      <a:srgbClr val="FFE84B"/>
    </a:accent1>
    <a:accent2>
      <a:srgbClr val="FFC529"/>
    </a:accent2>
    <a:accent3>
      <a:srgbClr val="FF9F15"/>
    </a:accent3>
    <a:accent4>
      <a:srgbClr val="FA7C00"/>
    </a:accent4>
    <a:accent5>
      <a:srgbClr val="FC6500"/>
    </a:accent5>
    <a:accent6>
      <a:srgbClr val="BE4828"/>
    </a:accent6>
    <a:hlink>
      <a:srgbClr val="F46B1C"/>
    </a:hlink>
    <a:folHlink>
      <a:srgbClr val="C2361E"/>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8">
    <a:dk1>
      <a:srgbClr val="000000"/>
    </a:dk1>
    <a:lt1>
      <a:srgbClr val="FFFFFF"/>
    </a:lt1>
    <a:dk2>
      <a:srgbClr val="372824"/>
    </a:dk2>
    <a:lt2>
      <a:srgbClr val="FFFFFF"/>
    </a:lt2>
    <a:accent1>
      <a:srgbClr val="FFE84B"/>
    </a:accent1>
    <a:accent2>
      <a:srgbClr val="FFC529"/>
    </a:accent2>
    <a:accent3>
      <a:srgbClr val="FF9F15"/>
    </a:accent3>
    <a:accent4>
      <a:srgbClr val="FA7C00"/>
    </a:accent4>
    <a:accent5>
      <a:srgbClr val="FC6500"/>
    </a:accent5>
    <a:accent6>
      <a:srgbClr val="BE4828"/>
    </a:accent6>
    <a:hlink>
      <a:srgbClr val="F46B1C"/>
    </a:hlink>
    <a:folHlink>
      <a:srgbClr val="C2361E"/>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封皮"/>
    </customSectPr>
    <customSectPr>
      <sectNamePr val="目录"/>
    </customSectPr>
    <customSectPr>
      <sectNamePr val="目录"/>
    </customSectPr>
    <customSectPr>
      <sectNamePr val="第一部分 部门概况"/>
    </customSectPr>
    <customSectPr>
      <sectNamePr val="第二部分  2025年度部门预算情况说明"/>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21</Pages>
  <Words>6809</Words>
  <Characters>7500</Characters>
  <TotalTime>13</TotalTime>
  <ScaleCrop>false</ScaleCrop>
  <LinksUpToDate>false</LinksUpToDate>
  <CharactersWithSpaces>7629</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2023-04-11T10:25:00Z</dcterms:created>
  <dc:creator>普通用户</dc:creator>
  <cp:lastModifiedBy>敖思蒙</cp:lastModifiedBy>
  <dcterms:modified xsi:type="dcterms:W3CDTF">2025-03-17T12:55:37Z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2024-02-23T09:15:13Z</vt:filetime>
  </property>
  <property fmtid="{D5CDD505-2E9C-101B-9397-08002B2CF9AE}" pid="4" name="KSOProductBuildVer">
    <vt:lpwstr>2052-12.1.0.20305</vt:lpwstr>
  </property>
  <property fmtid="{D5CDD505-2E9C-101B-9397-08002B2CF9AE}" pid="5" name="ICV">
    <vt:lpwstr>59101F81B7A24103ACB99C7EF0C59E2C_13</vt:lpwstr>
  </property>
  <property fmtid="{D5CDD505-2E9C-101B-9397-08002B2CF9AE}" pid="6" name="KSOTemplateDocerSaveRecord">
    <vt:lpwstr>eyJoZGlkIjoiN2FmNzZhOWFhOGUxYjFlNDRjMDg5NzZkODViYmM2MWYiLCJ1c2VySWQiOiIzMzQ2NDE0NzMifQ==</vt:lpwstr>
  </property>
</Properties>
</file>