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B68" w:rsidRDefault="00387B68" w:rsidP="00387B68">
      <w:pPr>
        <w:pStyle w:val="a3"/>
        <w:shd w:val="clear" w:color="auto" w:fill="FFFFFF"/>
        <w:spacing w:before="0" w:beforeAutospacing="0" w:after="0" w:afterAutospacing="0" w:line="300" w:lineRule="atLeast"/>
        <w:rPr>
          <w:rFonts w:ascii="微软雅黑" w:eastAsia="微软雅黑" w:hAnsi="微软雅黑"/>
          <w:color w:val="393939"/>
          <w:sz w:val="21"/>
          <w:szCs w:val="21"/>
        </w:rPr>
      </w:pPr>
      <w:r>
        <w:rPr>
          <w:rStyle w:val="a4"/>
          <w:rFonts w:ascii="微软雅黑" w:eastAsia="微软雅黑" w:hAnsi="微软雅黑" w:hint="eastAsia"/>
          <w:color w:val="393939"/>
          <w:sz w:val="21"/>
          <w:szCs w:val="21"/>
        </w:rPr>
        <w:t>一、预算公开</w:t>
      </w:r>
    </w:p>
    <w:p w:rsidR="00387B68" w:rsidRDefault="00387B68" w:rsidP="00387B68">
      <w:pPr>
        <w:pStyle w:val="a3"/>
        <w:shd w:val="clear" w:color="auto" w:fill="FFFFFF"/>
        <w:spacing w:before="0" w:beforeAutospacing="0" w:after="0" w:afterAutospacing="0" w:line="300" w:lineRule="atLeast"/>
        <w:rPr>
          <w:rFonts w:ascii="微软雅黑" w:eastAsia="微软雅黑" w:hAnsi="微软雅黑"/>
          <w:color w:val="393939"/>
          <w:sz w:val="21"/>
          <w:szCs w:val="21"/>
        </w:rPr>
      </w:pPr>
      <w:r>
        <w:rPr>
          <w:rStyle w:val="a4"/>
          <w:rFonts w:ascii="微软雅黑" w:eastAsia="微软雅黑" w:hAnsi="微软雅黑" w:hint="eastAsia"/>
          <w:color w:val="393939"/>
          <w:sz w:val="21"/>
          <w:szCs w:val="21"/>
        </w:rPr>
        <w:t>（一）部门基本情况</w:t>
      </w:r>
    </w:p>
    <w:p w:rsidR="00387B68" w:rsidRDefault="00387B68" w:rsidP="00387B68">
      <w:pPr>
        <w:pStyle w:val="a3"/>
        <w:shd w:val="clear" w:color="auto" w:fill="FFFFFF"/>
        <w:spacing w:before="0" w:beforeAutospacing="0" w:after="150" w:afterAutospacing="0" w:line="300" w:lineRule="atLeast"/>
        <w:ind w:firstLineChars="200" w:firstLine="420"/>
        <w:rPr>
          <w:rFonts w:ascii="微软雅黑" w:eastAsia="微软雅黑" w:hAnsi="微软雅黑"/>
          <w:color w:val="393939"/>
          <w:sz w:val="21"/>
          <w:szCs w:val="21"/>
        </w:rPr>
      </w:pPr>
      <w:r>
        <w:rPr>
          <w:rFonts w:ascii="微软雅黑" w:eastAsia="微软雅黑" w:hAnsi="微软雅黑" w:hint="eastAsia"/>
          <w:color w:val="393939"/>
          <w:sz w:val="21"/>
          <w:szCs w:val="21"/>
        </w:rPr>
        <w:t>根据《呼伦贝尔市委办公厅、政府办公厅关于印发&lt;莫力达瓦达斡尔族自治旗人民政府机构改革方案&gt;的通知》(呼党办发[2009]42号）精神，设立莫力达瓦达斡尔族自治旗经济和信息化局，挂商务局、中小企业局牌子，为莫力达瓦达斡尔族自治旗人民政府工作部门，下属手工业联社一个事业单位。</w:t>
      </w:r>
    </w:p>
    <w:p w:rsidR="00387B68" w:rsidRDefault="00387B68" w:rsidP="00387B68">
      <w:pPr>
        <w:pStyle w:val="a3"/>
        <w:shd w:val="clear" w:color="auto" w:fill="FFFFFF"/>
        <w:spacing w:before="0" w:beforeAutospacing="0" w:after="150" w:afterAutospacing="0" w:line="300" w:lineRule="atLeast"/>
        <w:rPr>
          <w:rFonts w:ascii="微软雅黑" w:eastAsia="微软雅黑" w:hAnsi="微软雅黑"/>
          <w:color w:val="393939"/>
          <w:sz w:val="21"/>
          <w:szCs w:val="21"/>
        </w:rPr>
      </w:pPr>
      <w:r>
        <w:rPr>
          <w:rFonts w:ascii="微软雅黑" w:eastAsia="微软雅黑" w:hAnsi="微软雅黑" w:hint="eastAsia"/>
          <w:color w:val="393939"/>
          <w:sz w:val="21"/>
          <w:szCs w:val="21"/>
        </w:rPr>
        <w:t>单位的主要职责是负责全旗工业经济的宏观调控，审核实施工业信息项目，贯彻落实中小企业发展的产业政策及相关工作，负责全旗煤炭及安全管理工作；负责全旗商贸流通工作，负责全旗工业和信息行业相关领域的淘汰落后产能工作；负责全旗民用爆炸物品生产管理及民用爆炸物品的安全监管。</w:t>
      </w:r>
    </w:p>
    <w:p w:rsidR="00387B68" w:rsidRDefault="00387B68" w:rsidP="00387B68">
      <w:pPr>
        <w:pStyle w:val="a3"/>
        <w:shd w:val="clear" w:color="auto" w:fill="FFFFFF"/>
        <w:spacing w:before="0" w:beforeAutospacing="0" w:after="0" w:afterAutospacing="0" w:line="300" w:lineRule="atLeast"/>
        <w:rPr>
          <w:rFonts w:ascii="微软雅黑" w:eastAsia="微软雅黑" w:hAnsi="微软雅黑"/>
          <w:color w:val="393939"/>
          <w:sz w:val="21"/>
          <w:szCs w:val="21"/>
        </w:rPr>
      </w:pPr>
      <w:r>
        <w:rPr>
          <w:rStyle w:val="a4"/>
          <w:rFonts w:ascii="微软雅黑" w:eastAsia="微软雅黑" w:hAnsi="微软雅黑" w:hint="eastAsia"/>
          <w:color w:val="393939"/>
          <w:sz w:val="21"/>
          <w:szCs w:val="21"/>
        </w:rPr>
        <w:t>（二）</w:t>
      </w:r>
      <w:r w:rsidR="00616B87">
        <w:rPr>
          <w:rStyle w:val="a4"/>
          <w:rFonts w:ascii="微软雅黑" w:eastAsia="微软雅黑" w:hAnsi="微软雅黑" w:hint="eastAsia"/>
          <w:color w:val="393939"/>
          <w:sz w:val="21"/>
          <w:szCs w:val="21"/>
        </w:rPr>
        <w:t>2017</w:t>
      </w:r>
      <w:r>
        <w:rPr>
          <w:rStyle w:val="a4"/>
          <w:rFonts w:ascii="微软雅黑" w:eastAsia="微软雅黑" w:hAnsi="微软雅黑" w:hint="eastAsia"/>
          <w:color w:val="393939"/>
          <w:sz w:val="21"/>
          <w:szCs w:val="21"/>
        </w:rPr>
        <w:t>年收支预算安排情况</w:t>
      </w:r>
    </w:p>
    <w:p w:rsidR="00616B87" w:rsidRDefault="00387B68" w:rsidP="00387B68">
      <w:pPr>
        <w:pStyle w:val="a3"/>
        <w:shd w:val="clear" w:color="auto" w:fill="FFFFFF"/>
        <w:spacing w:before="0" w:beforeAutospacing="0" w:after="150" w:afterAutospacing="0" w:line="300" w:lineRule="atLeast"/>
        <w:ind w:firstLineChars="200" w:firstLine="420"/>
        <w:rPr>
          <w:rFonts w:ascii="微软雅黑" w:eastAsia="微软雅黑" w:hAnsi="微软雅黑"/>
          <w:color w:val="393939"/>
          <w:sz w:val="21"/>
          <w:szCs w:val="21"/>
        </w:rPr>
      </w:pPr>
      <w:r>
        <w:rPr>
          <w:rFonts w:ascii="微软雅黑" w:eastAsia="微软雅黑" w:hAnsi="微软雅黑" w:hint="eastAsia"/>
          <w:color w:val="393939"/>
          <w:sz w:val="21"/>
          <w:szCs w:val="21"/>
        </w:rPr>
        <w:t>今年我局预算收入</w:t>
      </w:r>
      <w:r w:rsidR="00616B87">
        <w:rPr>
          <w:rFonts w:ascii="微软雅黑" w:eastAsia="微软雅黑" w:hAnsi="微软雅黑" w:hint="eastAsia"/>
          <w:color w:val="393939"/>
          <w:sz w:val="21"/>
          <w:szCs w:val="21"/>
        </w:rPr>
        <w:t>5393599.31</w:t>
      </w:r>
      <w:r>
        <w:rPr>
          <w:rFonts w:ascii="微软雅黑" w:eastAsia="微软雅黑" w:hAnsi="微软雅黑" w:hint="eastAsia"/>
          <w:color w:val="393939"/>
          <w:sz w:val="21"/>
          <w:szCs w:val="21"/>
        </w:rPr>
        <w:t>元，支出</w:t>
      </w:r>
      <w:r w:rsidR="00616B87">
        <w:rPr>
          <w:rFonts w:ascii="微软雅黑" w:eastAsia="微软雅黑" w:hAnsi="微软雅黑" w:hint="eastAsia"/>
          <w:color w:val="393939"/>
          <w:sz w:val="21"/>
          <w:szCs w:val="21"/>
        </w:rPr>
        <w:t>5393599.31</w:t>
      </w:r>
      <w:r>
        <w:rPr>
          <w:rFonts w:ascii="微软雅黑" w:eastAsia="微软雅黑" w:hAnsi="微软雅黑" w:hint="eastAsia"/>
          <w:color w:val="393939"/>
          <w:sz w:val="21"/>
          <w:szCs w:val="21"/>
        </w:rPr>
        <w:t>元。其中基本支出</w:t>
      </w:r>
      <w:r w:rsidR="00616B87">
        <w:rPr>
          <w:rFonts w:ascii="微软雅黑" w:eastAsia="微软雅黑" w:hAnsi="微软雅黑" w:hint="eastAsia"/>
          <w:color w:val="393939"/>
          <w:sz w:val="21"/>
          <w:szCs w:val="21"/>
        </w:rPr>
        <w:t>5188599.31</w:t>
      </w:r>
      <w:r>
        <w:rPr>
          <w:rFonts w:ascii="微软雅黑" w:eastAsia="微软雅黑" w:hAnsi="微软雅黑" w:hint="eastAsia"/>
          <w:color w:val="393939"/>
          <w:sz w:val="21"/>
          <w:szCs w:val="21"/>
        </w:rPr>
        <w:t>元，其中人员支出</w:t>
      </w:r>
      <w:r w:rsidR="00616B87">
        <w:rPr>
          <w:rFonts w:ascii="微软雅黑" w:eastAsia="微软雅黑" w:hAnsi="微软雅黑" w:hint="eastAsia"/>
          <w:color w:val="393939"/>
          <w:sz w:val="21"/>
          <w:szCs w:val="21"/>
        </w:rPr>
        <w:t>1495279.43</w:t>
      </w:r>
      <w:r>
        <w:rPr>
          <w:rFonts w:ascii="微软雅黑" w:eastAsia="微软雅黑" w:hAnsi="微软雅黑" w:hint="eastAsia"/>
          <w:color w:val="393939"/>
          <w:sz w:val="21"/>
          <w:szCs w:val="21"/>
        </w:rPr>
        <w:t>元，一般公用支出</w:t>
      </w:r>
      <w:r w:rsidR="00616B87">
        <w:rPr>
          <w:rFonts w:ascii="微软雅黑" w:eastAsia="微软雅黑" w:hAnsi="微软雅黑" w:hint="eastAsia"/>
          <w:color w:val="393939"/>
          <w:sz w:val="21"/>
          <w:szCs w:val="21"/>
        </w:rPr>
        <w:t>85</w:t>
      </w:r>
      <w:r>
        <w:rPr>
          <w:rFonts w:ascii="微软雅黑" w:eastAsia="微软雅黑" w:hAnsi="微软雅黑" w:hint="eastAsia"/>
          <w:color w:val="393939"/>
          <w:sz w:val="21"/>
          <w:szCs w:val="21"/>
        </w:rPr>
        <w:t>000元，个人和家庭补助支出</w:t>
      </w:r>
      <w:r w:rsidR="00616B87">
        <w:rPr>
          <w:rFonts w:ascii="微软雅黑" w:eastAsia="微软雅黑" w:hAnsi="微软雅黑" w:hint="eastAsia"/>
          <w:color w:val="393939"/>
          <w:sz w:val="21"/>
          <w:szCs w:val="21"/>
        </w:rPr>
        <w:t>3608319.88</w:t>
      </w:r>
      <w:r>
        <w:rPr>
          <w:rFonts w:ascii="微软雅黑" w:eastAsia="微软雅黑" w:hAnsi="微软雅黑" w:hint="eastAsia"/>
          <w:color w:val="393939"/>
          <w:sz w:val="21"/>
          <w:szCs w:val="21"/>
        </w:rPr>
        <w:t>元。项目支出</w:t>
      </w:r>
      <w:r w:rsidR="00616B87">
        <w:rPr>
          <w:rFonts w:ascii="微软雅黑" w:eastAsia="微软雅黑" w:hAnsi="微软雅黑" w:hint="eastAsia"/>
          <w:color w:val="393939"/>
          <w:sz w:val="21"/>
          <w:szCs w:val="21"/>
        </w:rPr>
        <w:t>20</w:t>
      </w:r>
      <w:r>
        <w:rPr>
          <w:rFonts w:ascii="微软雅黑" w:eastAsia="微软雅黑" w:hAnsi="微软雅黑" w:hint="eastAsia"/>
          <w:color w:val="393939"/>
          <w:sz w:val="21"/>
          <w:szCs w:val="21"/>
        </w:rPr>
        <w:t>5000元，其中煤矿安全监管费201类13款03项</w:t>
      </w:r>
      <w:r w:rsidR="00616B87">
        <w:rPr>
          <w:rFonts w:ascii="微软雅黑" w:eastAsia="微软雅黑" w:hAnsi="微软雅黑" w:hint="eastAsia"/>
          <w:color w:val="393939"/>
          <w:sz w:val="21"/>
          <w:szCs w:val="21"/>
        </w:rPr>
        <w:t>10</w:t>
      </w:r>
      <w:r>
        <w:rPr>
          <w:rFonts w:ascii="微软雅黑" w:eastAsia="微软雅黑" w:hAnsi="微软雅黑" w:hint="eastAsia"/>
          <w:color w:val="393939"/>
          <w:sz w:val="21"/>
          <w:szCs w:val="21"/>
        </w:rPr>
        <w:t>0000元 ，工业项目前期费201类13款02项</w:t>
      </w:r>
      <w:r w:rsidR="00616B87">
        <w:rPr>
          <w:rFonts w:ascii="微软雅黑" w:eastAsia="微软雅黑" w:hAnsi="微软雅黑" w:hint="eastAsia"/>
          <w:color w:val="393939"/>
          <w:sz w:val="21"/>
          <w:szCs w:val="21"/>
        </w:rPr>
        <w:t>40</w:t>
      </w:r>
      <w:r>
        <w:rPr>
          <w:rFonts w:ascii="微软雅黑" w:eastAsia="微软雅黑" w:hAnsi="微软雅黑" w:hint="eastAsia"/>
          <w:color w:val="393939"/>
          <w:sz w:val="21"/>
          <w:szCs w:val="21"/>
        </w:rPr>
        <w:t>000元，商务工作执法经费201类13款02项</w:t>
      </w:r>
      <w:r w:rsidR="00616B87">
        <w:rPr>
          <w:rFonts w:ascii="微软雅黑" w:eastAsia="微软雅黑" w:hAnsi="微软雅黑" w:hint="eastAsia"/>
          <w:color w:val="393939"/>
          <w:sz w:val="21"/>
          <w:szCs w:val="21"/>
        </w:rPr>
        <w:t>4</w:t>
      </w:r>
      <w:r>
        <w:rPr>
          <w:rFonts w:ascii="微软雅黑" w:eastAsia="微软雅黑" w:hAnsi="微软雅黑" w:hint="eastAsia"/>
          <w:color w:val="393939"/>
          <w:sz w:val="21"/>
          <w:szCs w:val="21"/>
        </w:rPr>
        <w:t>0000元，网络信息中心经费201类13款02项</w:t>
      </w:r>
      <w:r w:rsidR="00616B87">
        <w:rPr>
          <w:rFonts w:ascii="微软雅黑" w:eastAsia="微软雅黑" w:hAnsi="微软雅黑" w:hint="eastAsia"/>
          <w:color w:val="393939"/>
          <w:sz w:val="21"/>
          <w:szCs w:val="21"/>
        </w:rPr>
        <w:t>25</w:t>
      </w:r>
      <w:r>
        <w:rPr>
          <w:rFonts w:ascii="微软雅黑" w:eastAsia="微软雅黑" w:hAnsi="微软雅黑" w:hint="eastAsia"/>
          <w:color w:val="393939"/>
          <w:sz w:val="21"/>
          <w:szCs w:val="21"/>
        </w:rPr>
        <w:t xml:space="preserve">000元。 </w:t>
      </w:r>
    </w:p>
    <w:p w:rsidR="00387B68" w:rsidRDefault="00387B68" w:rsidP="00387B68">
      <w:pPr>
        <w:pStyle w:val="a3"/>
        <w:shd w:val="clear" w:color="auto" w:fill="FFFFFF"/>
        <w:spacing w:before="0" w:beforeAutospacing="0" w:after="150" w:afterAutospacing="0" w:line="300" w:lineRule="atLeast"/>
        <w:ind w:firstLineChars="200" w:firstLine="420"/>
        <w:rPr>
          <w:rFonts w:ascii="微软雅黑" w:eastAsia="微软雅黑" w:hAnsi="微软雅黑"/>
          <w:color w:val="393939"/>
          <w:sz w:val="21"/>
          <w:szCs w:val="21"/>
        </w:rPr>
      </w:pPr>
      <w:r>
        <w:rPr>
          <w:rFonts w:ascii="微软雅黑" w:eastAsia="微软雅黑" w:hAnsi="微软雅黑" w:hint="eastAsia"/>
          <w:color w:val="393939"/>
          <w:sz w:val="21"/>
          <w:szCs w:val="21"/>
        </w:rPr>
        <w:t>一般公用支出中行政经费201类13款01项</w:t>
      </w:r>
      <w:r w:rsidR="00616B87">
        <w:rPr>
          <w:rFonts w:ascii="微软雅黑" w:eastAsia="微软雅黑" w:hAnsi="微软雅黑" w:hint="eastAsia"/>
          <w:color w:val="393939"/>
          <w:sz w:val="21"/>
          <w:szCs w:val="21"/>
        </w:rPr>
        <w:t>45</w:t>
      </w:r>
      <w:r>
        <w:rPr>
          <w:rFonts w:ascii="微软雅黑" w:eastAsia="微软雅黑" w:hAnsi="微软雅黑" w:hint="eastAsia"/>
          <w:color w:val="393939"/>
          <w:sz w:val="21"/>
          <w:szCs w:val="21"/>
        </w:rPr>
        <w:t>000元，事业经费201类13款03项</w:t>
      </w:r>
      <w:r w:rsidR="00616B87">
        <w:rPr>
          <w:rFonts w:ascii="微软雅黑" w:eastAsia="微软雅黑" w:hAnsi="微软雅黑" w:hint="eastAsia"/>
          <w:color w:val="393939"/>
          <w:sz w:val="21"/>
          <w:szCs w:val="21"/>
        </w:rPr>
        <w:t>40</w:t>
      </w:r>
      <w:r>
        <w:rPr>
          <w:rFonts w:ascii="微软雅黑" w:eastAsia="微软雅黑" w:hAnsi="微软雅黑" w:hint="eastAsia"/>
          <w:color w:val="393939"/>
          <w:sz w:val="21"/>
          <w:szCs w:val="21"/>
        </w:rPr>
        <w:t>000元。人员支出及个人和家庭补助支出中商贸事务201类13款01项支出</w:t>
      </w:r>
      <w:r w:rsidR="00616B87">
        <w:rPr>
          <w:rFonts w:ascii="微软雅黑" w:eastAsia="微软雅黑" w:hAnsi="微软雅黑" w:hint="eastAsia"/>
          <w:color w:val="393939"/>
          <w:sz w:val="21"/>
          <w:szCs w:val="21"/>
        </w:rPr>
        <w:t>807768</w:t>
      </w:r>
      <w:r>
        <w:rPr>
          <w:rFonts w:ascii="微软雅黑" w:eastAsia="微软雅黑" w:hAnsi="微软雅黑" w:hint="eastAsia"/>
          <w:color w:val="393939"/>
          <w:sz w:val="21"/>
          <w:szCs w:val="21"/>
        </w:rPr>
        <w:t>元，医疗保障210类05款01项支出</w:t>
      </w:r>
      <w:r w:rsidR="00616B87">
        <w:rPr>
          <w:rFonts w:ascii="微软雅黑" w:eastAsia="微软雅黑" w:hAnsi="微软雅黑" w:hint="eastAsia"/>
          <w:color w:val="393939"/>
          <w:sz w:val="21"/>
          <w:szCs w:val="21"/>
        </w:rPr>
        <w:t>128153.43</w:t>
      </w:r>
      <w:r>
        <w:rPr>
          <w:rFonts w:ascii="微软雅黑" w:eastAsia="微软雅黑" w:hAnsi="微软雅黑" w:hint="eastAsia"/>
          <w:color w:val="393939"/>
          <w:sz w:val="21"/>
          <w:szCs w:val="21"/>
        </w:rPr>
        <w:t>元，住房公积金221类02款01项</w:t>
      </w:r>
      <w:r w:rsidR="00616B87">
        <w:rPr>
          <w:rFonts w:ascii="微软雅黑" w:eastAsia="微软雅黑" w:hAnsi="微软雅黑" w:hint="eastAsia"/>
          <w:color w:val="393939"/>
          <w:sz w:val="21"/>
          <w:szCs w:val="21"/>
        </w:rPr>
        <w:t>132284.08</w:t>
      </w:r>
      <w:r>
        <w:rPr>
          <w:rFonts w:ascii="微软雅黑" w:eastAsia="微软雅黑" w:hAnsi="微软雅黑" w:hint="eastAsia"/>
          <w:color w:val="393939"/>
          <w:sz w:val="21"/>
          <w:szCs w:val="21"/>
        </w:rPr>
        <w:t>元，商贸事务事业201类13款03项支出</w:t>
      </w:r>
      <w:r w:rsidR="00616B87">
        <w:rPr>
          <w:rFonts w:ascii="微软雅黑" w:eastAsia="微软雅黑" w:hAnsi="微软雅黑" w:hint="eastAsia"/>
          <w:color w:val="393939"/>
          <w:sz w:val="21"/>
          <w:szCs w:val="21"/>
        </w:rPr>
        <w:t>1063448</w:t>
      </w:r>
      <w:r>
        <w:rPr>
          <w:rFonts w:ascii="微软雅黑" w:eastAsia="微软雅黑" w:hAnsi="微软雅黑" w:hint="eastAsia"/>
          <w:color w:val="393939"/>
          <w:sz w:val="21"/>
          <w:szCs w:val="21"/>
        </w:rPr>
        <w:t>元，离退休支出208类05款01项支出</w:t>
      </w:r>
      <w:r w:rsidR="00616B87">
        <w:rPr>
          <w:rFonts w:ascii="微软雅黑" w:eastAsia="微软雅黑" w:hAnsi="微软雅黑" w:hint="eastAsia"/>
          <w:color w:val="393939"/>
          <w:sz w:val="21"/>
          <w:szCs w:val="21"/>
        </w:rPr>
        <w:t>3383419.8</w:t>
      </w:r>
      <w:r>
        <w:rPr>
          <w:rFonts w:ascii="微软雅黑" w:eastAsia="微软雅黑" w:hAnsi="微软雅黑" w:hint="eastAsia"/>
          <w:color w:val="393939"/>
          <w:sz w:val="21"/>
          <w:szCs w:val="21"/>
        </w:rPr>
        <w:t>元。 收入来源为单位公用经费及旗本级专项拨款。一般公共服务支出包括旗</w:t>
      </w:r>
      <w:r>
        <w:rPr>
          <w:rFonts w:ascii="微软雅黑" w:eastAsia="微软雅黑" w:hAnsi="微软雅黑" w:hint="eastAsia"/>
          <w:color w:val="393939"/>
          <w:sz w:val="21"/>
          <w:szCs w:val="21"/>
        </w:rPr>
        <w:lastRenderedPageBreak/>
        <w:t>级专项，在职人员工资、公用经费。社会保障支出主要离退休职工退休金支出及社会保险；医疗卫生支出主要是缴纳的医疗保险支出；住房保障支出为匹配的住房公积金支出。</w:t>
      </w:r>
    </w:p>
    <w:p w:rsidR="00387B68" w:rsidRDefault="00387B68" w:rsidP="00387B68">
      <w:pPr>
        <w:pStyle w:val="a3"/>
        <w:shd w:val="clear" w:color="auto" w:fill="FFFFFF"/>
        <w:spacing w:before="0" w:beforeAutospacing="0" w:after="0" w:afterAutospacing="0" w:line="300" w:lineRule="atLeast"/>
        <w:rPr>
          <w:rFonts w:ascii="微软雅黑" w:eastAsia="微软雅黑" w:hAnsi="微软雅黑"/>
          <w:color w:val="393939"/>
          <w:sz w:val="21"/>
          <w:szCs w:val="21"/>
        </w:rPr>
      </w:pPr>
      <w:r>
        <w:rPr>
          <w:rStyle w:val="a4"/>
          <w:rFonts w:ascii="微软雅黑" w:eastAsia="微软雅黑" w:hAnsi="微软雅黑" w:hint="eastAsia"/>
          <w:color w:val="393939"/>
          <w:sz w:val="21"/>
          <w:szCs w:val="21"/>
        </w:rPr>
        <w:t>（三）“三公经费”预算安排情况</w:t>
      </w:r>
    </w:p>
    <w:p w:rsidR="00387B68" w:rsidRDefault="00387B68" w:rsidP="00387B68">
      <w:pPr>
        <w:pStyle w:val="a3"/>
        <w:shd w:val="clear" w:color="auto" w:fill="FFFFFF"/>
        <w:spacing w:before="0" w:beforeAutospacing="0" w:after="150" w:afterAutospacing="0" w:line="300" w:lineRule="atLeast"/>
        <w:rPr>
          <w:rFonts w:ascii="微软雅黑" w:eastAsia="微软雅黑" w:hAnsi="微软雅黑" w:hint="eastAsia"/>
          <w:color w:val="393939"/>
          <w:sz w:val="21"/>
          <w:szCs w:val="21"/>
        </w:rPr>
      </w:pPr>
      <w:r>
        <w:rPr>
          <w:rFonts w:ascii="微软雅黑" w:eastAsia="微软雅黑" w:hAnsi="微软雅黑" w:hint="eastAsia"/>
          <w:color w:val="393939"/>
          <w:sz w:val="21"/>
          <w:szCs w:val="21"/>
        </w:rPr>
        <w:t>今年我局出国经费没有安排。车辆运行费用安排</w:t>
      </w:r>
      <w:r w:rsidR="00616B87">
        <w:rPr>
          <w:rFonts w:ascii="微软雅黑" w:eastAsia="微软雅黑" w:hAnsi="微软雅黑" w:hint="eastAsia"/>
          <w:color w:val="393939"/>
          <w:sz w:val="21"/>
          <w:szCs w:val="21"/>
        </w:rPr>
        <w:t>4.5</w:t>
      </w:r>
      <w:r>
        <w:rPr>
          <w:rFonts w:ascii="微软雅黑" w:eastAsia="微软雅黑" w:hAnsi="微软雅黑" w:hint="eastAsia"/>
          <w:color w:val="393939"/>
          <w:sz w:val="21"/>
          <w:szCs w:val="21"/>
        </w:rPr>
        <w:t>万元。我局现有车辆3台，运行费用主要用于安全检查、下乡镇调度工业、商务、煤炭、信息化等方面以及出差、工业招商等方面费用。包括燃料费、维修费、过路过桥费、保险费等支出。公务接待费安排</w:t>
      </w:r>
      <w:r w:rsidR="00616B87">
        <w:rPr>
          <w:rFonts w:ascii="微软雅黑" w:eastAsia="微软雅黑" w:hAnsi="微软雅黑" w:hint="eastAsia"/>
          <w:color w:val="393939"/>
          <w:sz w:val="21"/>
          <w:szCs w:val="21"/>
        </w:rPr>
        <w:t>4</w:t>
      </w:r>
      <w:r>
        <w:rPr>
          <w:rFonts w:ascii="微软雅黑" w:eastAsia="微软雅黑" w:hAnsi="微软雅黑" w:hint="eastAsia"/>
          <w:color w:val="393939"/>
          <w:sz w:val="21"/>
          <w:szCs w:val="21"/>
        </w:rPr>
        <w:t xml:space="preserve">000元，指我局负责接待企业、上级部门等各类公务接待支出。 </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二、</w:t>
      </w:r>
      <w:r w:rsidRPr="004F2ADA">
        <w:rPr>
          <w:rFonts w:ascii="微软雅黑" w:eastAsia="微软雅黑" w:hAnsi="微软雅黑" w:cs="宋体"/>
          <w:color w:val="393939"/>
          <w:kern w:val="0"/>
          <w:szCs w:val="21"/>
        </w:rPr>
        <w:t xml:space="preserve"> </w:t>
      </w:r>
      <w:r w:rsidRPr="004F2ADA">
        <w:rPr>
          <w:rFonts w:ascii="微软雅黑" w:eastAsia="微软雅黑" w:hAnsi="微软雅黑" w:cs="宋体" w:hint="eastAsia"/>
          <w:color w:val="393939"/>
          <w:kern w:val="0"/>
          <w:szCs w:val="21"/>
        </w:rPr>
        <w:t>名词解释</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（以下为常见专业名词解释目录，仅供参考，部门应根据实际情况进行解释和增减。比如可将类级功能科目和经济科目细化解释到项级。）</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（一）财政拨款收入：指本年度从本级财政部门取得的财政拨款，包括一般公共预算财政拨款和政府性基金预算财政拨款。</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（二）事业收入：指事业单位开展专业业务活动及其辅助活动取得的收入；事业单位收到的财政专户实际核拨的教育收费等资金在此反映。</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（三）经营收入：指事业单位在专业业务活动及其辅助活动之外开展非独立核算经营活动取得的收入。</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（四）其他收入：指单位取得的除</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财政拨款收入</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事业收入</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经营收入</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等以外的收入，包括未纳入财政预算或财政专户管理的投资收益、银行存款利息收入、租金收入、捐赠收入，现金盘盈收入、存货盘盈收入、收回已核销的应收及预付款项、无法偿付的应付及预收款项等。各单位从本级财政部门以外的同级单位取得的经费、从非本级财政部门取得的经费，以及行政单位收到的财政专户管理资金填列在本项内。</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（五）用事业基金弥补收支差额：指事业单位在当年的</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财政拨款收入</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事业收入</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w:t>
      </w:r>
      <w:r w:rsidRPr="004F2ADA">
        <w:rPr>
          <w:rFonts w:ascii="微软雅黑" w:eastAsia="微软雅黑" w:hAnsi="微软雅黑" w:cs="宋体"/>
          <w:color w:val="393939"/>
          <w:kern w:val="0"/>
          <w:szCs w:val="21"/>
        </w:rPr>
        <w:lastRenderedPageBreak/>
        <w:t>“</w:t>
      </w:r>
      <w:r w:rsidRPr="004F2ADA">
        <w:rPr>
          <w:rFonts w:ascii="微软雅黑" w:eastAsia="微软雅黑" w:hAnsi="微软雅黑" w:cs="宋体" w:hint="eastAsia"/>
          <w:color w:val="393939"/>
          <w:kern w:val="0"/>
          <w:szCs w:val="21"/>
        </w:rPr>
        <w:t>经营收入</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其他收入</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等不足以安排当年支出的情况下，使用以前年度积累的事业基金（事业单位当年收支相抵后按国家规定提取、用于弥补以后年度收支差额的基金）弥补本年度收支缺口的资金。</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（六）年初结转和结余：指单位上年结转本年使用的基本支出结转、项目支出结转和结余、经营结余。不包括事业单位净资产项下的事业基金和专用基金。</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（七）结余分配：指单位当年结余的分配情况。根据《关于事业单位提取专用基金比例问题的通知》（财教</w:t>
      </w:r>
      <w:r w:rsidRPr="004F2ADA">
        <w:rPr>
          <w:rFonts w:ascii="微软雅黑" w:eastAsia="微软雅黑" w:hAnsi="微软雅黑" w:cs="宋体"/>
          <w:color w:val="393939"/>
          <w:kern w:val="0"/>
          <w:szCs w:val="21"/>
        </w:rPr>
        <w:t>[2012]32</w:t>
      </w:r>
      <w:r w:rsidRPr="004F2ADA">
        <w:rPr>
          <w:rFonts w:ascii="微软雅黑" w:eastAsia="微软雅黑" w:hAnsi="微软雅黑" w:cs="宋体" w:hint="eastAsia"/>
          <w:color w:val="393939"/>
          <w:kern w:val="0"/>
          <w:szCs w:val="21"/>
        </w:rPr>
        <w:t>号）规定，事业单位职工福利基金的提取比例，在单位年度非财政拨款结余的</w:t>
      </w:r>
      <w:r w:rsidRPr="004F2ADA">
        <w:rPr>
          <w:rFonts w:ascii="微软雅黑" w:eastAsia="微软雅黑" w:hAnsi="微软雅黑" w:cs="宋体"/>
          <w:color w:val="393939"/>
          <w:kern w:val="0"/>
          <w:szCs w:val="21"/>
        </w:rPr>
        <w:t>40%</w:t>
      </w:r>
      <w:r w:rsidRPr="004F2ADA">
        <w:rPr>
          <w:rFonts w:ascii="微软雅黑" w:eastAsia="微软雅黑" w:hAnsi="微软雅黑" w:cs="宋体" w:hint="eastAsia"/>
          <w:color w:val="393939"/>
          <w:kern w:val="0"/>
          <w:szCs w:val="21"/>
        </w:rPr>
        <w:t>以内确定，国家另有规定的从其规定。</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（八）年末结转和结余：指单位结转下年的基本支出结转、项目支出结转和结余、经营结余。不包括事业单位净资产项下的事业基金和专用基金。</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（九）基本支出：指为保障机构正常运转、完成日常工作任务而发生的人员经费和公用经费。其中：人员经费指政府收支分类经济科目中的</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工资福利支出</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和</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对个人和家庭的补助</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；公用经费指政府收支分类经济科目中除</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工资福利支出</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和</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对个人和家庭的补助</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外的其他支出。</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（十）项目支出：指在基本支出之外为完成特定行政任务和事业发展目标所发生的支出。</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（十一）经营支出：指事业单位在专业业务活动及其辅助活动之外开展非独立核算经营活动发生的支出。</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（十二）</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三公</w:t>
      </w:r>
      <w:r w:rsidRPr="004F2ADA">
        <w:rPr>
          <w:rFonts w:ascii="微软雅黑" w:eastAsia="微软雅黑" w:hAnsi="微软雅黑" w:cs="宋体"/>
          <w:color w:val="393939"/>
          <w:kern w:val="0"/>
          <w:szCs w:val="21"/>
        </w:rPr>
        <w:t>”</w:t>
      </w:r>
      <w:r w:rsidRPr="004F2ADA">
        <w:rPr>
          <w:rFonts w:ascii="微软雅黑" w:eastAsia="微软雅黑" w:hAnsi="微软雅黑" w:cs="宋体" w:hint="eastAsia"/>
          <w:color w:val="393939"/>
          <w:kern w:val="0"/>
          <w:szCs w:val="21"/>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w:t>
      </w:r>
      <w:r w:rsidRPr="004F2ADA">
        <w:rPr>
          <w:rFonts w:ascii="微软雅黑" w:eastAsia="微软雅黑" w:hAnsi="微软雅黑" w:cs="宋体" w:hint="eastAsia"/>
          <w:color w:val="393939"/>
          <w:kern w:val="0"/>
          <w:szCs w:val="21"/>
        </w:rPr>
        <w:lastRenderedPageBreak/>
        <w:t>公务接待（含外宾接待）支出。</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十三）机关运行经费：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（十四）工资福利支出（支出经济分类科目类级）：反映单位开支的在职职工和编制外长期聘用人员的各类劳动报酬，以及为上述人员缴纳的各项社会保险费等。</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（十五）商品和服务支出（支出经济分类科目类级）：反映单位购买商品和服务的支出（不包括用于购置固定资产的支出、战略性和应急储备支出）。</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（十六）对个人和家庭的补助（支出经济分类科目类级）：反映用于对个人和家庭的补助支出。</w:t>
      </w:r>
    </w:p>
    <w:p w:rsidR="004F2ADA" w:rsidRPr="004F2ADA" w:rsidRDefault="004F2ADA" w:rsidP="004F2ADA">
      <w:pPr>
        <w:autoSpaceDE w:val="0"/>
        <w:autoSpaceDN w:val="0"/>
        <w:adjustRightInd w:val="0"/>
        <w:rPr>
          <w:rFonts w:ascii="微软雅黑" w:eastAsia="微软雅黑" w:hAnsi="微软雅黑" w:cs="宋体"/>
          <w:color w:val="393939"/>
          <w:kern w:val="0"/>
          <w:szCs w:val="21"/>
        </w:rPr>
      </w:pPr>
      <w:r w:rsidRPr="004F2ADA">
        <w:rPr>
          <w:rFonts w:ascii="微软雅黑" w:eastAsia="微软雅黑" w:hAnsi="微软雅黑" w:cs="宋体" w:hint="eastAsia"/>
          <w:color w:val="393939"/>
          <w:kern w:val="0"/>
          <w:szCs w:val="21"/>
        </w:rPr>
        <w:t>（十七）其他资本性支出（支出经济分类科目类级）：反映非各级发展与改革部门集中安排的用于购置固定资产、战略性和应急性储备、土地和无形资产，以及构建基础设施、大型修缮和财政支持企业更新改造所发生的支出。</w:t>
      </w:r>
    </w:p>
    <w:p w:rsidR="004F2ADA" w:rsidRDefault="004F2ADA" w:rsidP="00387B68">
      <w:pPr>
        <w:pStyle w:val="a3"/>
        <w:shd w:val="clear" w:color="auto" w:fill="FFFFFF"/>
        <w:spacing w:before="0" w:beforeAutospacing="0" w:after="150" w:afterAutospacing="0" w:line="300" w:lineRule="atLeast"/>
        <w:rPr>
          <w:rFonts w:ascii="微软雅黑" w:eastAsia="微软雅黑" w:hAnsi="微软雅黑"/>
          <w:color w:val="393939"/>
          <w:sz w:val="21"/>
          <w:szCs w:val="21"/>
        </w:rPr>
      </w:pPr>
    </w:p>
    <w:p w:rsidR="00387B68" w:rsidRPr="004F2ADA" w:rsidRDefault="00387B68" w:rsidP="00387B68">
      <w:pPr>
        <w:rPr>
          <w:rFonts w:ascii="微软雅黑" w:eastAsia="微软雅黑" w:hAnsi="微软雅黑" w:cs="宋体"/>
          <w:color w:val="393939"/>
          <w:kern w:val="0"/>
          <w:szCs w:val="21"/>
        </w:rPr>
      </w:pPr>
    </w:p>
    <w:p w:rsidR="006F2B08" w:rsidRPr="004F2ADA" w:rsidRDefault="006F2B08" w:rsidP="00387B68">
      <w:pPr>
        <w:rPr>
          <w:rFonts w:ascii="微软雅黑" w:eastAsia="微软雅黑" w:hAnsi="微软雅黑" w:cs="宋体"/>
          <w:color w:val="393939"/>
          <w:kern w:val="0"/>
          <w:szCs w:val="21"/>
        </w:rPr>
      </w:pPr>
    </w:p>
    <w:sectPr w:rsidR="006F2B08" w:rsidRPr="004F2ADA" w:rsidSect="006F2B0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9E7" w:rsidRDefault="005659E7" w:rsidP="00616B87">
      <w:r>
        <w:separator/>
      </w:r>
    </w:p>
  </w:endnote>
  <w:endnote w:type="continuationSeparator" w:id="0">
    <w:p w:rsidR="005659E7" w:rsidRDefault="005659E7" w:rsidP="00616B8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9E7" w:rsidRDefault="005659E7" w:rsidP="00616B87">
      <w:r>
        <w:separator/>
      </w:r>
    </w:p>
  </w:footnote>
  <w:footnote w:type="continuationSeparator" w:id="0">
    <w:p w:rsidR="005659E7" w:rsidRDefault="005659E7" w:rsidP="00616B8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F292F"/>
    <w:rsid w:val="001036C3"/>
    <w:rsid w:val="002922A4"/>
    <w:rsid w:val="00387B68"/>
    <w:rsid w:val="004F292F"/>
    <w:rsid w:val="004F2ADA"/>
    <w:rsid w:val="005659E7"/>
    <w:rsid w:val="00616B87"/>
    <w:rsid w:val="006F2B08"/>
    <w:rsid w:val="009F494D"/>
    <w:rsid w:val="00B777F5"/>
    <w:rsid w:val="00B866F6"/>
    <w:rsid w:val="00BF4F6D"/>
    <w:rsid w:val="00D92D1D"/>
    <w:rsid w:val="00EE05E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B0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292F"/>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4F292F"/>
    <w:rPr>
      <w:b/>
      <w:bCs/>
    </w:rPr>
  </w:style>
  <w:style w:type="paragraph" w:styleId="a5">
    <w:name w:val="header"/>
    <w:basedOn w:val="a"/>
    <w:link w:val="Char"/>
    <w:uiPriority w:val="99"/>
    <w:semiHidden/>
    <w:unhideWhenUsed/>
    <w:rsid w:val="00616B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616B87"/>
    <w:rPr>
      <w:sz w:val="18"/>
      <w:szCs w:val="18"/>
    </w:rPr>
  </w:style>
  <w:style w:type="paragraph" w:styleId="a6">
    <w:name w:val="footer"/>
    <w:basedOn w:val="a"/>
    <w:link w:val="Char0"/>
    <w:uiPriority w:val="99"/>
    <w:semiHidden/>
    <w:unhideWhenUsed/>
    <w:rsid w:val="00616B87"/>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616B87"/>
    <w:rPr>
      <w:sz w:val="18"/>
      <w:szCs w:val="18"/>
    </w:rPr>
  </w:style>
</w:styles>
</file>

<file path=word/webSettings.xml><?xml version="1.0" encoding="utf-8"?>
<w:webSettings xmlns:r="http://schemas.openxmlformats.org/officeDocument/2006/relationships" xmlns:w="http://schemas.openxmlformats.org/wordprocessingml/2006/main">
  <w:divs>
    <w:div w:id="1022704931">
      <w:bodyDiv w:val="1"/>
      <w:marLeft w:val="0"/>
      <w:marRight w:val="0"/>
      <w:marTop w:val="0"/>
      <w:marBottom w:val="0"/>
      <w:divBdr>
        <w:top w:val="none" w:sz="0" w:space="0" w:color="auto"/>
        <w:left w:val="none" w:sz="0" w:space="0" w:color="auto"/>
        <w:bottom w:val="none" w:sz="0" w:space="0" w:color="auto"/>
        <w:right w:val="none" w:sz="0" w:space="0" w:color="auto"/>
      </w:divBdr>
    </w:div>
    <w:div w:id="168659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394</Words>
  <Characters>2249</Characters>
  <Application>Microsoft Office Word</Application>
  <DocSecurity>0</DocSecurity>
  <Lines>18</Lines>
  <Paragraphs>5</Paragraphs>
  <ScaleCrop>false</ScaleCrop>
  <Company/>
  <LinksUpToDate>false</LinksUpToDate>
  <CharactersWithSpaces>2638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liuchangming</dc:creator>
  <cp:lastModifiedBy> liuchangming</cp:lastModifiedBy>
  <cp:revision>6</cp:revision>
  <dcterms:created xsi:type="dcterms:W3CDTF">2016-12-15T02:58:00Z</dcterms:created>
  <dcterms:modified xsi:type="dcterms:W3CDTF">2017-11-08T01:20:00Z</dcterms:modified>
</cp:coreProperties>
</file>