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line="600" w:lineRule="exact"/>
        <w:jc w:val="center"/>
        <w:textAlignment w:val="auto"/>
        <w:outlineLvl w:val="9"/>
        <w:rPr>
          <w:rFonts w:hint="eastAsia" w:ascii="方正小标宋简体" w:hAnsi="方正小标宋简体" w:eastAsia="方正小标宋简体" w:cs="方正小标宋简体"/>
          <w:b w:val="0"/>
          <w:bCs/>
          <w:sz w:val="44"/>
          <w:szCs w:val="44"/>
        </w:rPr>
      </w:pPr>
    </w:p>
    <w:p>
      <w:pPr>
        <w:keepNext w:val="0"/>
        <w:keepLines w:val="0"/>
        <w:pageBreakBefore w:val="0"/>
        <w:widowControl w:val="0"/>
        <w:kinsoku/>
        <w:wordWrap/>
        <w:overflowPunct/>
        <w:topLinePunct w:val="0"/>
        <w:autoSpaceDE/>
        <w:autoSpaceDN/>
        <w:bidi w:val="0"/>
        <w:snapToGrid/>
        <w:spacing w:line="600" w:lineRule="exact"/>
        <w:jc w:val="center"/>
        <w:textAlignment w:val="auto"/>
        <w:outlineLvl w:val="9"/>
        <w:rPr>
          <w:rFonts w:hint="eastAsia" w:ascii="方正小标宋简体" w:hAnsi="方正小标宋简体" w:eastAsia="方正小标宋简体" w:cs="方正小标宋简体"/>
          <w:b w:val="0"/>
          <w:bCs/>
          <w:sz w:val="44"/>
          <w:szCs w:val="44"/>
        </w:rPr>
      </w:pPr>
    </w:p>
    <w:p>
      <w:pPr>
        <w:keepNext w:val="0"/>
        <w:keepLines w:val="0"/>
        <w:pageBreakBefore w:val="0"/>
        <w:widowControl w:val="0"/>
        <w:kinsoku/>
        <w:wordWrap/>
        <w:overflowPunct/>
        <w:topLinePunct w:val="0"/>
        <w:autoSpaceDE/>
        <w:autoSpaceDN/>
        <w:bidi w:val="0"/>
        <w:snapToGrid/>
        <w:spacing w:line="600" w:lineRule="exact"/>
        <w:jc w:val="center"/>
        <w:textAlignment w:val="auto"/>
        <w:outlineLvl w:val="9"/>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地方政府性债务情况说明</w:t>
      </w:r>
    </w:p>
    <w:p>
      <w:pPr>
        <w:keepNext w:val="0"/>
        <w:keepLines w:val="0"/>
        <w:pageBreakBefore w:val="0"/>
        <w:widowControl w:val="0"/>
        <w:kinsoku/>
        <w:wordWrap/>
        <w:overflowPunct/>
        <w:topLinePunct w:val="0"/>
        <w:autoSpaceDE/>
        <w:autoSpaceDN/>
        <w:bidi w:val="0"/>
        <w:snapToGrid/>
        <w:spacing w:line="600" w:lineRule="exact"/>
        <w:textAlignment w:val="auto"/>
        <w:outlineLvl w:val="9"/>
        <w:rPr>
          <w:rFonts w:ascii="黑体" w:hAnsi="黑体" w:eastAsia="黑体"/>
          <w:b w:val="0"/>
          <w:bCs/>
          <w:sz w:val="44"/>
          <w:szCs w:val="44"/>
        </w:rPr>
      </w:pPr>
    </w:p>
    <w:p>
      <w:pPr>
        <w:keepNext w:val="0"/>
        <w:keepLines w:val="0"/>
        <w:pageBreakBefore w:val="0"/>
        <w:widowControl/>
        <w:kinsoku/>
        <w:wordWrap/>
        <w:overflowPunct/>
        <w:topLinePunct w:val="0"/>
        <w:autoSpaceDE/>
        <w:autoSpaceDN/>
        <w:bidi w:val="0"/>
        <w:adjustRightInd w:val="0"/>
        <w:snapToGrid/>
        <w:spacing w:line="600" w:lineRule="exact"/>
        <w:ind w:firstLine="640" w:firstLineChars="200"/>
        <w:contextualSpacing/>
        <w:textAlignment w:val="auto"/>
        <w:rPr>
          <w:rFonts w:ascii="黑体" w:hAnsi="黑体" w:eastAsia="黑体"/>
          <w:color w:val="auto"/>
          <w:spacing w:val="0"/>
          <w:kern w:val="0"/>
          <w:sz w:val="32"/>
          <w:szCs w:val="32"/>
          <w:highlight w:val="none"/>
        </w:rPr>
      </w:pPr>
      <w:r>
        <w:rPr>
          <w:rFonts w:hint="eastAsia" w:ascii="黑体" w:hAnsi="黑体" w:eastAsia="黑体"/>
          <w:color w:val="auto"/>
          <w:spacing w:val="0"/>
          <w:kern w:val="0"/>
          <w:sz w:val="32"/>
          <w:szCs w:val="32"/>
          <w:highlight w:val="none"/>
        </w:rPr>
        <w:t>一、</w:t>
      </w:r>
      <w:r>
        <w:rPr>
          <w:rFonts w:hint="eastAsia" w:ascii="黑体" w:hAnsi="黑体" w:eastAsia="黑体"/>
          <w:color w:val="auto"/>
          <w:spacing w:val="0"/>
          <w:kern w:val="0"/>
          <w:sz w:val="32"/>
          <w:szCs w:val="32"/>
          <w:highlight w:val="none"/>
          <w:lang w:val="en-US" w:eastAsia="zh-CN"/>
        </w:rPr>
        <w:t>2024年政府债务有关情况</w:t>
      </w:r>
    </w:p>
    <w:p>
      <w:pPr>
        <w:pStyle w:val="2"/>
        <w:keepNext w:val="0"/>
        <w:keepLines w:val="0"/>
        <w:pageBreakBefore w:val="0"/>
        <w:kinsoku/>
        <w:wordWrap/>
        <w:overflowPunct/>
        <w:topLinePunct w:val="0"/>
        <w:autoSpaceDE/>
        <w:autoSpaceDN/>
        <w:bidi w:val="0"/>
        <w:snapToGrid/>
        <w:spacing w:line="600" w:lineRule="exact"/>
        <w:ind w:left="0" w:leftChars="0" w:firstLine="643" w:firstLineChars="200"/>
        <w:textAlignment w:val="auto"/>
        <w:rPr>
          <w:rFonts w:ascii="楷体_GB2312" w:hAnsi="楷体_GB2312" w:eastAsia="楷体_GB2312" w:cs="楷体_GB2312"/>
          <w:color w:val="auto"/>
          <w:spacing w:val="0"/>
          <w:kern w:val="0"/>
          <w:sz w:val="32"/>
          <w:szCs w:val="32"/>
          <w:highlight w:val="none"/>
        </w:rPr>
      </w:pPr>
      <w:r>
        <w:rPr>
          <w:rFonts w:hint="eastAsia" w:ascii="楷体_GB2312" w:hAnsi="楷体_GB2312" w:eastAsia="楷体_GB2312" w:cs="楷体_GB2312"/>
          <w:b/>
          <w:bCs/>
          <w:color w:val="auto"/>
          <w:spacing w:val="0"/>
          <w:kern w:val="0"/>
          <w:sz w:val="32"/>
          <w:szCs w:val="32"/>
          <w:highlight w:val="none"/>
        </w:rPr>
        <w:t>（一）政府</w:t>
      </w:r>
      <w:r>
        <w:rPr>
          <w:rFonts w:hint="eastAsia" w:ascii="楷体_GB2312" w:hAnsi="楷体_GB2312" w:eastAsia="楷体_GB2312" w:cs="楷体_GB2312"/>
          <w:b/>
          <w:bCs/>
          <w:color w:val="auto"/>
          <w:spacing w:val="0"/>
          <w:kern w:val="0"/>
          <w:sz w:val="32"/>
          <w:szCs w:val="32"/>
          <w:highlight w:val="none"/>
          <w:lang w:eastAsia="zh-CN"/>
        </w:rPr>
        <w:t>债务限额及余额</w:t>
      </w:r>
      <w:r>
        <w:rPr>
          <w:rFonts w:hint="eastAsia" w:ascii="楷体_GB2312" w:hAnsi="楷体_GB2312" w:eastAsia="楷体_GB2312" w:cs="楷体_GB2312"/>
          <w:b/>
          <w:bCs/>
          <w:color w:val="auto"/>
          <w:spacing w:val="0"/>
          <w:kern w:val="0"/>
          <w:sz w:val="32"/>
          <w:szCs w:val="32"/>
          <w:highlight w:val="none"/>
        </w:rPr>
        <w:t>情况</w:t>
      </w:r>
    </w:p>
    <w:p>
      <w:pPr>
        <w:pStyle w:val="2"/>
        <w:keepNext w:val="0"/>
        <w:keepLines w:val="0"/>
        <w:pageBreakBefore w:val="0"/>
        <w:kinsoku/>
        <w:wordWrap/>
        <w:overflowPunct/>
        <w:topLinePunct w:val="0"/>
        <w:autoSpaceDE/>
        <w:autoSpaceDN/>
        <w:bidi w:val="0"/>
        <w:snapToGrid/>
        <w:spacing w:line="600" w:lineRule="exact"/>
        <w:ind w:left="0" w:leftChars="0" w:firstLine="640" w:firstLineChars="200"/>
        <w:textAlignment w:val="auto"/>
        <w:rPr>
          <w:rFonts w:hint="eastAsia" w:ascii="仿宋_GB2312" w:hAnsi="仿宋_GB2312" w:eastAsia="仿宋_GB2312" w:cs="仿宋_GB2312"/>
          <w:color w:val="auto"/>
          <w:spacing w:val="0"/>
          <w:kern w:val="0"/>
          <w:sz w:val="32"/>
          <w:szCs w:val="32"/>
          <w:highlight w:val="none"/>
        </w:rPr>
      </w:pPr>
      <w:r>
        <w:rPr>
          <w:rFonts w:hint="eastAsia" w:ascii="仿宋_GB2312" w:hAnsi="仿宋_GB2312" w:eastAsia="仿宋_GB2312" w:cs="仿宋_GB2312"/>
          <w:color w:val="auto"/>
          <w:spacing w:val="0"/>
          <w:kern w:val="0"/>
          <w:sz w:val="32"/>
          <w:szCs w:val="32"/>
          <w:highlight w:val="none"/>
          <w:lang w:val="en-US" w:eastAsia="zh-CN"/>
        </w:rPr>
        <w:t>2024年，上级下达莫旗</w:t>
      </w:r>
      <w:r>
        <w:rPr>
          <w:rFonts w:hint="eastAsia" w:ascii="仿宋_GB2312" w:hAnsi="仿宋_GB2312" w:eastAsia="仿宋_GB2312" w:cs="仿宋_GB2312"/>
          <w:color w:val="auto"/>
          <w:spacing w:val="0"/>
          <w:kern w:val="0"/>
          <w:sz w:val="32"/>
          <w:szCs w:val="32"/>
          <w:highlight w:val="none"/>
        </w:rPr>
        <w:t>政府债务限额</w:t>
      </w:r>
      <w:r>
        <w:rPr>
          <w:rFonts w:hint="eastAsia" w:ascii="仿宋_GB2312" w:hAnsi="仿宋_GB2312" w:eastAsia="仿宋_GB2312" w:cs="仿宋_GB2312"/>
          <w:color w:val="auto"/>
          <w:spacing w:val="0"/>
          <w:kern w:val="0"/>
          <w:sz w:val="32"/>
          <w:szCs w:val="32"/>
          <w:highlight w:val="none"/>
          <w:lang w:val="en-US" w:eastAsia="zh-CN"/>
        </w:rPr>
        <w:t>27.13</w:t>
      </w:r>
      <w:r>
        <w:rPr>
          <w:rFonts w:hint="eastAsia" w:ascii="仿宋_GB2312" w:hAnsi="仿宋_GB2312" w:eastAsia="仿宋_GB2312" w:cs="仿宋_GB2312"/>
          <w:color w:val="auto"/>
          <w:spacing w:val="0"/>
          <w:kern w:val="0"/>
          <w:sz w:val="32"/>
          <w:szCs w:val="32"/>
          <w:highlight w:val="none"/>
        </w:rPr>
        <w:t>亿元</w:t>
      </w:r>
      <w:r>
        <w:rPr>
          <w:rFonts w:hint="eastAsia" w:ascii="仿宋_GB2312" w:hAnsi="仿宋_GB2312" w:eastAsia="仿宋_GB2312" w:cs="仿宋_GB2312"/>
          <w:color w:val="auto"/>
          <w:spacing w:val="0"/>
          <w:kern w:val="0"/>
          <w:sz w:val="32"/>
          <w:szCs w:val="32"/>
          <w:highlight w:val="none"/>
          <w:lang w:eastAsia="zh-CN"/>
        </w:rPr>
        <w:t>（含</w:t>
      </w:r>
      <w:r>
        <w:rPr>
          <w:rFonts w:hint="eastAsia" w:ascii="仿宋_GB2312" w:hAnsi="仿宋_GB2312" w:eastAsia="仿宋_GB2312" w:cs="仿宋_GB2312"/>
          <w:color w:val="auto"/>
          <w:spacing w:val="0"/>
          <w:kern w:val="0"/>
          <w:sz w:val="32"/>
          <w:szCs w:val="32"/>
          <w:highlight w:val="none"/>
        </w:rPr>
        <w:t>一般债务限额</w:t>
      </w:r>
      <w:r>
        <w:rPr>
          <w:rFonts w:hint="eastAsia" w:ascii="仿宋_GB2312" w:hAnsi="仿宋_GB2312" w:eastAsia="仿宋_GB2312" w:cs="仿宋_GB2312"/>
          <w:color w:val="auto"/>
          <w:spacing w:val="0"/>
          <w:kern w:val="0"/>
          <w:sz w:val="32"/>
          <w:szCs w:val="32"/>
          <w:highlight w:val="none"/>
          <w:lang w:val="en-US" w:eastAsia="zh-CN"/>
        </w:rPr>
        <w:t>17.46</w:t>
      </w:r>
      <w:r>
        <w:rPr>
          <w:rFonts w:hint="eastAsia" w:ascii="仿宋_GB2312" w:hAnsi="仿宋_GB2312" w:eastAsia="仿宋_GB2312" w:cs="仿宋_GB2312"/>
          <w:color w:val="auto"/>
          <w:spacing w:val="0"/>
          <w:kern w:val="0"/>
          <w:sz w:val="32"/>
          <w:szCs w:val="32"/>
          <w:highlight w:val="none"/>
        </w:rPr>
        <w:t>亿元</w:t>
      </w:r>
      <w:r>
        <w:rPr>
          <w:rFonts w:hint="eastAsia" w:ascii="仿宋_GB2312" w:hAnsi="仿宋_GB2312" w:eastAsia="仿宋_GB2312" w:cs="仿宋_GB2312"/>
          <w:color w:val="auto"/>
          <w:spacing w:val="0"/>
          <w:kern w:val="0"/>
          <w:sz w:val="32"/>
          <w:szCs w:val="32"/>
          <w:highlight w:val="none"/>
          <w:lang w:eastAsia="zh-CN"/>
        </w:rPr>
        <w:t>、</w:t>
      </w:r>
      <w:r>
        <w:rPr>
          <w:rFonts w:hint="eastAsia" w:ascii="仿宋_GB2312" w:hAnsi="仿宋_GB2312" w:eastAsia="仿宋_GB2312" w:cs="仿宋_GB2312"/>
          <w:color w:val="auto"/>
          <w:spacing w:val="0"/>
          <w:kern w:val="0"/>
          <w:sz w:val="32"/>
          <w:szCs w:val="32"/>
          <w:highlight w:val="none"/>
        </w:rPr>
        <w:t>专项债务限额</w:t>
      </w:r>
      <w:r>
        <w:rPr>
          <w:rFonts w:hint="eastAsia" w:ascii="仿宋_GB2312" w:hAnsi="仿宋_GB2312" w:eastAsia="仿宋_GB2312" w:cs="仿宋_GB2312"/>
          <w:color w:val="auto"/>
          <w:spacing w:val="0"/>
          <w:kern w:val="0"/>
          <w:sz w:val="32"/>
          <w:szCs w:val="32"/>
          <w:highlight w:val="none"/>
          <w:lang w:val="en-US" w:eastAsia="zh-CN"/>
        </w:rPr>
        <w:t>9.67</w:t>
      </w:r>
      <w:r>
        <w:rPr>
          <w:rFonts w:hint="eastAsia" w:ascii="仿宋_GB2312" w:hAnsi="仿宋_GB2312" w:eastAsia="仿宋_GB2312" w:cs="仿宋_GB2312"/>
          <w:color w:val="auto"/>
          <w:spacing w:val="0"/>
          <w:kern w:val="0"/>
          <w:sz w:val="32"/>
          <w:szCs w:val="32"/>
          <w:highlight w:val="none"/>
        </w:rPr>
        <w:t>亿元</w:t>
      </w:r>
      <w:r>
        <w:rPr>
          <w:rFonts w:hint="eastAsia" w:ascii="仿宋_GB2312" w:hAnsi="仿宋_GB2312" w:eastAsia="仿宋_GB2312" w:cs="仿宋_GB2312"/>
          <w:color w:val="auto"/>
          <w:spacing w:val="0"/>
          <w:kern w:val="0"/>
          <w:sz w:val="32"/>
          <w:szCs w:val="32"/>
          <w:highlight w:val="none"/>
          <w:lang w:eastAsia="zh-CN"/>
        </w:rPr>
        <w:t>）</w:t>
      </w:r>
      <w:r>
        <w:rPr>
          <w:rFonts w:hint="eastAsia" w:ascii="仿宋_GB2312" w:hAnsi="仿宋_GB2312" w:eastAsia="仿宋_GB2312" w:cs="仿宋_GB2312"/>
          <w:color w:val="auto"/>
          <w:spacing w:val="0"/>
          <w:kern w:val="0"/>
          <w:sz w:val="32"/>
          <w:szCs w:val="32"/>
          <w:highlight w:val="none"/>
        </w:rPr>
        <w:t>。</w:t>
      </w:r>
      <w:r>
        <w:rPr>
          <w:rFonts w:hint="eastAsia" w:ascii="仿宋_GB2312" w:hAnsi="仿宋_GB2312" w:eastAsia="仿宋_GB2312" w:cs="仿宋_GB2312"/>
          <w:color w:val="auto"/>
          <w:spacing w:val="0"/>
          <w:kern w:val="0"/>
          <w:sz w:val="32"/>
          <w:szCs w:val="32"/>
          <w:highlight w:val="none"/>
          <w:lang w:eastAsia="zh-CN"/>
        </w:rPr>
        <w:t>其中</w:t>
      </w:r>
      <w:r>
        <w:rPr>
          <w:rFonts w:hint="eastAsia" w:ascii="仿宋_GB2312" w:hAnsi="仿宋_GB2312" w:eastAsia="仿宋_GB2312" w:cs="仿宋_GB2312"/>
          <w:color w:val="auto"/>
          <w:spacing w:val="0"/>
          <w:kern w:val="0"/>
          <w:sz w:val="32"/>
          <w:szCs w:val="32"/>
          <w:highlight w:val="none"/>
          <w:lang w:val="en-US" w:eastAsia="zh-CN"/>
        </w:rPr>
        <w:t>2024年</w:t>
      </w:r>
      <w:r>
        <w:rPr>
          <w:rFonts w:hint="eastAsia" w:ascii="仿宋_GB2312" w:hAnsi="仿宋_GB2312" w:eastAsia="仿宋_GB2312" w:cs="仿宋_GB2312"/>
          <w:color w:val="auto"/>
          <w:spacing w:val="0"/>
          <w:kern w:val="0"/>
          <w:sz w:val="32"/>
          <w:szCs w:val="32"/>
          <w:highlight w:val="none"/>
        </w:rPr>
        <w:t>新增政府债务限额</w:t>
      </w:r>
      <w:r>
        <w:rPr>
          <w:rFonts w:hint="eastAsia" w:ascii="仿宋_GB2312" w:hAnsi="黑体" w:eastAsia="仿宋_GB2312"/>
          <w:color w:val="auto"/>
          <w:spacing w:val="0"/>
          <w:sz w:val="32"/>
          <w:szCs w:val="32"/>
          <w:highlight w:val="none"/>
          <w:lang w:val="en-US" w:eastAsia="zh-CN"/>
        </w:rPr>
        <w:t>4.16</w:t>
      </w:r>
      <w:r>
        <w:rPr>
          <w:rFonts w:hint="eastAsia" w:ascii="仿宋_GB2312" w:hAnsi="仿宋_GB2312" w:eastAsia="仿宋_GB2312" w:cs="仿宋_GB2312"/>
          <w:color w:val="auto"/>
          <w:spacing w:val="0"/>
          <w:kern w:val="0"/>
          <w:sz w:val="32"/>
          <w:szCs w:val="32"/>
          <w:highlight w:val="none"/>
        </w:rPr>
        <w:t>亿元</w:t>
      </w:r>
      <w:r>
        <w:rPr>
          <w:rFonts w:hint="eastAsia" w:ascii="仿宋_GB2312" w:hAnsi="仿宋_GB2312" w:eastAsia="仿宋_GB2312" w:cs="仿宋_GB2312"/>
          <w:color w:val="auto"/>
          <w:spacing w:val="0"/>
          <w:kern w:val="0"/>
          <w:sz w:val="32"/>
          <w:szCs w:val="32"/>
          <w:highlight w:val="none"/>
          <w:lang w:eastAsia="zh-CN"/>
        </w:rPr>
        <w:t>（含</w:t>
      </w:r>
      <w:r>
        <w:rPr>
          <w:rFonts w:hint="eastAsia" w:ascii="仿宋_GB2312" w:hAnsi="仿宋_GB2312" w:eastAsia="仿宋_GB2312" w:cs="仿宋_GB2312"/>
          <w:color w:val="auto"/>
          <w:spacing w:val="0"/>
          <w:kern w:val="0"/>
          <w:sz w:val="32"/>
          <w:szCs w:val="32"/>
          <w:highlight w:val="none"/>
        </w:rPr>
        <w:t>一般债务</w:t>
      </w:r>
      <w:r>
        <w:rPr>
          <w:rFonts w:hint="eastAsia" w:ascii="仿宋_GB2312" w:hAnsi="黑体" w:eastAsia="仿宋_GB2312"/>
          <w:color w:val="auto"/>
          <w:spacing w:val="0"/>
          <w:sz w:val="32"/>
          <w:szCs w:val="32"/>
          <w:highlight w:val="none"/>
          <w:lang w:val="en-US" w:eastAsia="zh-CN"/>
        </w:rPr>
        <w:t>0.51</w:t>
      </w:r>
      <w:r>
        <w:rPr>
          <w:rFonts w:hint="eastAsia" w:ascii="仿宋_GB2312" w:hAnsi="仿宋_GB2312" w:eastAsia="仿宋_GB2312" w:cs="仿宋_GB2312"/>
          <w:color w:val="auto"/>
          <w:spacing w:val="0"/>
          <w:kern w:val="0"/>
          <w:sz w:val="32"/>
          <w:szCs w:val="32"/>
          <w:highlight w:val="none"/>
        </w:rPr>
        <w:t>亿元</w:t>
      </w:r>
      <w:r>
        <w:rPr>
          <w:rFonts w:hint="eastAsia" w:ascii="仿宋_GB2312" w:hAnsi="仿宋_GB2312" w:eastAsia="仿宋_GB2312" w:cs="仿宋_GB2312"/>
          <w:color w:val="auto"/>
          <w:spacing w:val="0"/>
          <w:kern w:val="0"/>
          <w:sz w:val="32"/>
          <w:szCs w:val="32"/>
          <w:highlight w:val="none"/>
          <w:lang w:eastAsia="zh-CN"/>
        </w:rPr>
        <w:t>、</w:t>
      </w:r>
      <w:r>
        <w:rPr>
          <w:rFonts w:hint="eastAsia" w:ascii="仿宋_GB2312" w:hAnsi="仿宋_GB2312" w:eastAsia="仿宋_GB2312" w:cs="仿宋_GB2312"/>
          <w:color w:val="auto"/>
          <w:spacing w:val="0"/>
          <w:kern w:val="0"/>
          <w:sz w:val="32"/>
          <w:szCs w:val="32"/>
          <w:highlight w:val="none"/>
        </w:rPr>
        <w:t>专项债务</w:t>
      </w:r>
      <w:r>
        <w:rPr>
          <w:rFonts w:hint="eastAsia" w:ascii="仿宋_GB2312" w:hAnsi="黑体" w:eastAsia="仿宋_GB2312"/>
          <w:color w:val="auto"/>
          <w:spacing w:val="0"/>
          <w:sz w:val="32"/>
          <w:szCs w:val="32"/>
          <w:highlight w:val="none"/>
          <w:lang w:val="en-US" w:eastAsia="zh-CN"/>
        </w:rPr>
        <w:t>3.65</w:t>
      </w:r>
      <w:r>
        <w:rPr>
          <w:rFonts w:hint="eastAsia" w:ascii="仿宋_GB2312" w:hAnsi="仿宋_GB2312" w:eastAsia="仿宋_GB2312" w:cs="仿宋_GB2312"/>
          <w:color w:val="auto"/>
          <w:spacing w:val="0"/>
          <w:kern w:val="0"/>
          <w:sz w:val="32"/>
          <w:szCs w:val="32"/>
          <w:highlight w:val="none"/>
        </w:rPr>
        <w:t>亿元</w:t>
      </w:r>
      <w:r>
        <w:rPr>
          <w:rFonts w:hint="eastAsia" w:ascii="仿宋_GB2312" w:hAnsi="仿宋_GB2312" w:eastAsia="仿宋_GB2312" w:cs="仿宋_GB2312"/>
          <w:color w:val="auto"/>
          <w:spacing w:val="0"/>
          <w:kern w:val="0"/>
          <w:sz w:val="32"/>
          <w:szCs w:val="32"/>
          <w:highlight w:val="none"/>
          <w:lang w:eastAsia="zh-CN"/>
        </w:rPr>
        <w:t>）</w:t>
      </w:r>
      <w:r>
        <w:rPr>
          <w:rFonts w:hint="eastAsia" w:ascii="仿宋_GB2312" w:hAnsi="仿宋_GB2312" w:eastAsia="仿宋_GB2312" w:cs="仿宋_GB2312"/>
          <w:color w:val="auto"/>
          <w:spacing w:val="0"/>
          <w:kern w:val="0"/>
          <w:sz w:val="32"/>
          <w:szCs w:val="32"/>
          <w:highlight w:val="none"/>
        </w:rPr>
        <w:t>。</w:t>
      </w:r>
      <w:r>
        <w:rPr>
          <w:rFonts w:hint="eastAsia" w:ascii="仿宋_GB2312" w:hAnsi="仿宋_GB2312" w:eastAsia="仿宋_GB2312" w:cs="仿宋_GB2312"/>
          <w:color w:val="auto"/>
          <w:spacing w:val="0"/>
          <w:kern w:val="0"/>
          <w:sz w:val="32"/>
          <w:szCs w:val="32"/>
          <w:highlight w:val="none"/>
          <w:lang w:eastAsia="zh-CN"/>
        </w:rPr>
        <w:t>截至</w:t>
      </w:r>
      <w:r>
        <w:rPr>
          <w:rFonts w:hint="eastAsia" w:ascii="仿宋_GB2312" w:hAnsi="仿宋_GB2312" w:eastAsia="仿宋_GB2312" w:cs="仿宋_GB2312"/>
          <w:color w:val="auto"/>
          <w:spacing w:val="0"/>
          <w:kern w:val="0"/>
          <w:sz w:val="32"/>
          <w:szCs w:val="32"/>
          <w:highlight w:val="none"/>
          <w:lang w:val="en-US" w:eastAsia="zh-CN"/>
        </w:rPr>
        <w:t>12月末</w:t>
      </w:r>
      <w:r>
        <w:rPr>
          <w:rFonts w:hint="eastAsia" w:ascii="仿宋_GB2312" w:hAnsi="仿宋_GB2312" w:eastAsia="仿宋_GB2312" w:cs="仿宋_GB2312"/>
          <w:color w:val="auto"/>
          <w:spacing w:val="0"/>
          <w:kern w:val="0"/>
          <w:sz w:val="32"/>
          <w:szCs w:val="32"/>
          <w:highlight w:val="none"/>
          <w:lang w:eastAsia="zh-CN"/>
        </w:rPr>
        <w:t>，</w:t>
      </w:r>
      <w:r>
        <w:rPr>
          <w:rFonts w:hint="eastAsia" w:ascii="仿宋_GB2312" w:hAnsi="仿宋_GB2312" w:eastAsia="仿宋_GB2312" w:cs="仿宋_GB2312"/>
          <w:color w:val="auto"/>
          <w:spacing w:val="0"/>
          <w:kern w:val="0"/>
          <w:sz w:val="32"/>
          <w:szCs w:val="32"/>
          <w:highlight w:val="none"/>
        </w:rPr>
        <w:t>政府债务余额</w:t>
      </w:r>
      <w:r>
        <w:rPr>
          <w:rFonts w:hint="eastAsia" w:ascii="仿宋_GB2312" w:hAnsi="仿宋_GB2312" w:eastAsia="仿宋_GB2312" w:cs="仿宋_GB2312"/>
          <w:color w:val="auto"/>
          <w:spacing w:val="0"/>
          <w:kern w:val="0"/>
          <w:sz w:val="32"/>
          <w:szCs w:val="32"/>
          <w:highlight w:val="none"/>
          <w:lang w:val="en-US" w:eastAsia="zh-CN"/>
        </w:rPr>
        <w:t>26.78</w:t>
      </w:r>
      <w:r>
        <w:rPr>
          <w:rFonts w:hint="eastAsia" w:ascii="仿宋_GB2312" w:hAnsi="仿宋_GB2312" w:eastAsia="仿宋_GB2312" w:cs="仿宋_GB2312"/>
          <w:color w:val="auto"/>
          <w:spacing w:val="0"/>
          <w:kern w:val="0"/>
          <w:sz w:val="32"/>
          <w:szCs w:val="32"/>
          <w:highlight w:val="none"/>
        </w:rPr>
        <w:t>亿元，其中：一般债务余额</w:t>
      </w:r>
      <w:r>
        <w:rPr>
          <w:rFonts w:hint="eastAsia" w:ascii="仿宋_GB2312" w:hAnsi="仿宋_GB2312" w:eastAsia="仿宋_GB2312" w:cs="仿宋_GB2312"/>
          <w:color w:val="auto"/>
          <w:spacing w:val="0"/>
          <w:kern w:val="0"/>
          <w:sz w:val="32"/>
          <w:szCs w:val="32"/>
          <w:highlight w:val="none"/>
          <w:lang w:val="en-US" w:eastAsia="zh-CN"/>
        </w:rPr>
        <w:t>17.15</w:t>
      </w:r>
      <w:r>
        <w:rPr>
          <w:rFonts w:hint="eastAsia" w:ascii="仿宋_GB2312" w:hAnsi="仿宋_GB2312" w:eastAsia="仿宋_GB2312" w:cs="仿宋_GB2312"/>
          <w:color w:val="auto"/>
          <w:spacing w:val="0"/>
          <w:kern w:val="0"/>
          <w:sz w:val="32"/>
          <w:szCs w:val="32"/>
          <w:highlight w:val="none"/>
        </w:rPr>
        <w:t>亿元</w:t>
      </w:r>
      <w:r>
        <w:rPr>
          <w:rFonts w:hint="eastAsia" w:ascii="仿宋_GB2312" w:hAnsi="仿宋_GB2312" w:eastAsia="仿宋_GB2312" w:cs="仿宋_GB2312"/>
          <w:color w:val="auto"/>
          <w:spacing w:val="0"/>
          <w:kern w:val="0"/>
          <w:sz w:val="32"/>
          <w:szCs w:val="32"/>
          <w:highlight w:val="none"/>
          <w:lang w:eastAsia="zh-CN"/>
        </w:rPr>
        <w:t>、</w:t>
      </w:r>
      <w:r>
        <w:rPr>
          <w:rFonts w:hint="eastAsia" w:ascii="仿宋_GB2312" w:hAnsi="仿宋_GB2312" w:eastAsia="仿宋_GB2312" w:cs="仿宋_GB2312"/>
          <w:color w:val="auto"/>
          <w:spacing w:val="0"/>
          <w:kern w:val="0"/>
          <w:sz w:val="32"/>
          <w:szCs w:val="32"/>
          <w:highlight w:val="none"/>
        </w:rPr>
        <w:t>专项债务余额</w:t>
      </w:r>
      <w:r>
        <w:rPr>
          <w:rFonts w:hint="eastAsia" w:ascii="仿宋_GB2312" w:hAnsi="仿宋_GB2312" w:eastAsia="仿宋_GB2312" w:cs="仿宋_GB2312"/>
          <w:color w:val="auto"/>
          <w:spacing w:val="0"/>
          <w:kern w:val="0"/>
          <w:sz w:val="32"/>
          <w:szCs w:val="32"/>
          <w:highlight w:val="none"/>
          <w:lang w:val="en-US" w:eastAsia="zh-CN"/>
        </w:rPr>
        <w:t>9.63</w:t>
      </w:r>
      <w:r>
        <w:rPr>
          <w:rFonts w:hint="eastAsia" w:ascii="仿宋_GB2312" w:hAnsi="仿宋_GB2312" w:eastAsia="仿宋_GB2312" w:cs="仿宋_GB2312"/>
          <w:color w:val="auto"/>
          <w:spacing w:val="0"/>
          <w:kern w:val="0"/>
          <w:sz w:val="32"/>
          <w:szCs w:val="32"/>
          <w:highlight w:val="none"/>
        </w:rPr>
        <w:t>亿元</w:t>
      </w:r>
      <w:r>
        <w:rPr>
          <w:rFonts w:hint="eastAsia" w:ascii="仿宋_GB2312" w:hAnsi="仿宋_GB2312" w:eastAsia="仿宋_GB2312" w:cs="仿宋_GB2312"/>
          <w:color w:val="auto"/>
          <w:spacing w:val="0"/>
          <w:kern w:val="0"/>
          <w:sz w:val="32"/>
          <w:szCs w:val="32"/>
          <w:highlight w:val="none"/>
          <w:lang w:eastAsia="zh-CN"/>
        </w:rPr>
        <w:t>，总体控制在财政厅核定我</w:t>
      </w:r>
      <w:r>
        <w:rPr>
          <w:rFonts w:hint="eastAsia" w:ascii="仿宋_GB2312" w:hAnsi="仿宋_GB2312" w:eastAsia="仿宋_GB2312" w:cs="仿宋_GB2312"/>
          <w:color w:val="auto"/>
          <w:spacing w:val="0"/>
          <w:kern w:val="0"/>
          <w:sz w:val="32"/>
          <w:szCs w:val="32"/>
          <w:highlight w:val="none"/>
          <w:lang w:val="en-US" w:eastAsia="zh-CN"/>
        </w:rPr>
        <w:t>旗</w:t>
      </w:r>
      <w:r>
        <w:rPr>
          <w:rFonts w:hint="eastAsia" w:ascii="仿宋_GB2312" w:hAnsi="仿宋_GB2312" w:eastAsia="仿宋_GB2312" w:cs="仿宋_GB2312"/>
          <w:color w:val="auto"/>
          <w:spacing w:val="0"/>
          <w:kern w:val="0"/>
          <w:sz w:val="32"/>
          <w:szCs w:val="32"/>
          <w:highlight w:val="none"/>
          <w:lang w:eastAsia="zh-CN"/>
        </w:rPr>
        <w:t>限额内</w:t>
      </w:r>
      <w:r>
        <w:rPr>
          <w:rFonts w:hint="eastAsia" w:ascii="仿宋_GB2312" w:hAnsi="仿宋_GB2312" w:eastAsia="仿宋_GB2312" w:cs="仿宋_GB2312"/>
          <w:color w:val="auto"/>
          <w:spacing w:val="0"/>
          <w:kern w:val="0"/>
          <w:sz w:val="32"/>
          <w:szCs w:val="32"/>
          <w:highlight w:val="none"/>
        </w:rPr>
        <w:t>。</w:t>
      </w:r>
    </w:p>
    <w:p>
      <w:pPr>
        <w:pStyle w:val="2"/>
        <w:keepNext w:val="0"/>
        <w:keepLines w:val="0"/>
        <w:pageBreakBefore w:val="0"/>
        <w:kinsoku/>
        <w:wordWrap/>
        <w:overflowPunct/>
        <w:topLinePunct w:val="0"/>
        <w:autoSpaceDE/>
        <w:autoSpaceDN/>
        <w:bidi w:val="0"/>
        <w:snapToGrid/>
        <w:spacing w:line="600" w:lineRule="exact"/>
        <w:ind w:left="0" w:leftChars="0" w:firstLine="643" w:firstLineChars="200"/>
        <w:textAlignment w:val="auto"/>
        <w:rPr>
          <w:rFonts w:hint="eastAsia" w:ascii="楷体_GB2312" w:hAnsi="楷体_GB2312" w:eastAsia="楷体_GB2312" w:cs="楷体_GB2312"/>
          <w:b/>
          <w:bCs/>
          <w:color w:val="auto"/>
          <w:spacing w:val="0"/>
          <w:kern w:val="0"/>
          <w:sz w:val="32"/>
          <w:szCs w:val="32"/>
          <w:highlight w:val="none"/>
          <w:lang w:val="en-US" w:eastAsia="zh-CN"/>
        </w:rPr>
      </w:pPr>
      <w:r>
        <w:rPr>
          <w:rFonts w:hint="eastAsia" w:ascii="楷体_GB2312" w:hAnsi="楷体_GB2312" w:eastAsia="楷体_GB2312" w:cs="楷体_GB2312"/>
          <w:b/>
          <w:bCs/>
          <w:color w:val="auto"/>
          <w:spacing w:val="0"/>
          <w:kern w:val="0"/>
          <w:sz w:val="32"/>
          <w:szCs w:val="32"/>
          <w:highlight w:val="none"/>
          <w:lang w:val="en-US" w:eastAsia="zh-CN"/>
        </w:rPr>
        <w:t>（二）新增地方政府债券发行及使用情况</w:t>
      </w:r>
    </w:p>
    <w:p>
      <w:pPr>
        <w:pStyle w:val="5"/>
        <w:keepNext w:val="0"/>
        <w:keepLines w:val="0"/>
        <w:widowControl/>
        <w:suppressLineNumbers w:val="0"/>
        <w:spacing w:before="0" w:beforeAutospacing="0" w:after="0" w:afterAutospacing="0"/>
        <w:ind w:left="0" w:right="0" w:firstLine="0"/>
        <w:rPr>
          <w:rFonts w:hint="eastAsia"/>
          <w:highlight w:val="none"/>
          <w:lang w:val="en-US" w:eastAsia="zh-CN"/>
        </w:rPr>
      </w:pPr>
      <w:r>
        <w:rPr>
          <w:rFonts w:hint="eastAsia" w:ascii="仿宋_GB2312" w:hAnsi="仿宋_GB2312" w:eastAsia="仿宋_GB2312" w:cs="仿宋_GB2312"/>
          <w:b w:val="0"/>
          <w:bCs w:val="0"/>
          <w:color w:val="auto"/>
          <w:spacing w:val="0"/>
          <w:kern w:val="0"/>
          <w:sz w:val="32"/>
          <w:szCs w:val="32"/>
          <w:highlight w:val="none"/>
          <w:lang w:val="en-US" w:eastAsia="zh-CN"/>
        </w:rPr>
        <w:t>2024年上级发行新增债券4.16亿元，</w:t>
      </w:r>
      <w:r>
        <w:rPr>
          <w:rFonts w:hint="eastAsia" w:ascii="仿宋_GB2312" w:hAnsi="仿宋_GB2312" w:eastAsia="仿宋_GB2312" w:cs="仿宋_GB2312"/>
          <w:sz w:val="32"/>
          <w:szCs w:val="32"/>
          <w:highlight w:val="none"/>
          <w:lang w:val="en-US" w:eastAsia="zh-CN"/>
        </w:rPr>
        <w:t>其中：一般债券0.51亿元、专项债券3.65亿元。主要用于交通领域、市政基础设施、和化解地方隐性债务等，有效保障了全旗重点公益性项目建设，对拉动我市有效投资、防范金融领域风险发挥了重要的积极作用。</w:t>
      </w:r>
    </w:p>
    <w:p>
      <w:pPr>
        <w:pStyle w:val="2"/>
        <w:keepNext w:val="0"/>
        <w:keepLines w:val="0"/>
        <w:pageBreakBefore w:val="0"/>
        <w:kinsoku/>
        <w:wordWrap/>
        <w:overflowPunct/>
        <w:topLinePunct w:val="0"/>
        <w:autoSpaceDE/>
        <w:autoSpaceDN/>
        <w:bidi w:val="0"/>
        <w:snapToGrid/>
        <w:spacing w:line="600" w:lineRule="exact"/>
        <w:ind w:left="0" w:lef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截至目前，一般债券实际支出0.36亿元，支出进度为72.02%、专项债券实际支出3.65亿元，支出进度为100%。</w:t>
      </w:r>
    </w:p>
    <w:p>
      <w:pPr>
        <w:pStyle w:val="2"/>
        <w:keepNext w:val="0"/>
        <w:keepLines w:val="0"/>
        <w:pageBreakBefore w:val="0"/>
        <w:kinsoku/>
        <w:wordWrap/>
        <w:overflowPunct/>
        <w:topLinePunct w:val="0"/>
        <w:autoSpaceDE/>
        <w:autoSpaceDN/>
        <w:bidi w:val="0"/>
        <w:snapToGrid/>
        <w:spacing w:line="600" w:lineRule="exact"/>
        <w:ind w:left="0" w:leftChars="0" w:firstLine="643" w:firstLineChars="200"/>
        <w:textAlignment w:val="auto"/>
        <w:rPr>
          <w:rFonts w:hint="eastAsia" w:ascii="楷体_GB2312" w:hAnsi="楷体_GB2312" w:eastAsia="楷体_GB2312" w:cs="楷体_GB2312"/>
          <w:b/>
          <w:bCs/>
          <w:color w:val="auto"/>
          <w:spacing w:val="0"/>
          <w:kern w:val="0"/>
          <w:sz w:val="32"/>
          <w:szCs w:val="32"/>
          <w:highlight w:val="none"/>
          <w:lang w:val="en-US" w:eastAsia="zh-CN"/>
        </w:rPr>
      </w:pPr>
      <w:r>
        <w:rPr>
          <w:rFonts w:hint="eastAsia" w:ascii="楷体_GB2312" w:hAnsi="楷体_GB2312" w:eastAsia="楷体_GB2312" w:cs="楷体_GB2312"/>
          <w:b/>
          <w:bCs/>
          <w:color w:val="auto"/>
          <w:spacing w:val="0"/>
          <w:kern w:val="0"/>
          <w:sz w:val="32"/>
          <w:szCs w:val="32"/>
          <w:highlight w:val="none"/>
          <w:lang w:val="en-US" w:eastAsia="zh-CN"/>
        </w:rPr>
        <w:t>（三）政府债务偿还情况</w:t>
      </w:r>
    </w:p>
    <w:p>
      <w:pPr>
        <w:pStyle w:val="2"/>
        <w:keepNext w:val="0"/>
        <w:keepLines w:val="0"/>
        <w:pageBreakBefore w:val="0"/>
        <w:numPr>
          <w:ilvl w:val="0"/>
          <w:numId w:val="0"/>
        </w:numPr>
        <w:kinsoku/>
        <w:wordWrap/>
        <w:overflowPunct/>
        <w:topLinePunct w:val="0"/>
        <w:autoSpaceDE/>
        <w:autoSpaceDN/>
        <w:bidi w:val="0"/>
        <w:snapToGrid/>
        <w:spacing w:line="600" w:lineRule="exact"/>
        <w:ind w:firstLine="640" w:firstLineChars="200"/>
        <w:textAlignment w:val="auto"/>
        <w:rPr>
          <w:rFonts w:hint="eastAsia" w:ascii="仿宋_GB2312" w:hAnsi="仿宋_GB2312" w:eastAsia="仿宋_GB2312" w:cs="仿宋_GB2312"/>
          <w:color w:val="auto"/>
          <w:spacing w:val="0"/>
          <w:kern w:val="0"/>
          <w:sz w:val="32"/>
          <w:szCs w:val="32"/>
          <w:highlight w:val="none"/>
          <w:lang w:val="en-US"/>
        </w:rPr>
      </w:pPr>
      <w:r>
        <w:rPr>
          <w:rFonts w:hint="eastAsia" w:ascii="仿宋_GB2312" w:hAnsi="仿宋_GB2312" w:eastAsia="仿宋_GB2312" w:cs="仿宋_GB2312"/>
          <w:color w:val="auto"/>
          <w:spacing w:val="0"/>
          <w:kern w:val="2"/>
          <w:sz w:val="32"/>
          <w:szCs w:val="32"/>
          <w:highlight w:val="none"/>
          <w:lang w:val="en-US" w:eastAsia="zh-CN" w:bidi="ar-SA"/>
        </w:rPr>
        <w:t>2024年，全旗及时足额偿还到期债券本金2.83亿元（其中：发行再融资债券偿还2.54亿元，自有资金偿还0.29亿元。这项工作的努力推进，为下一步更多争取债券额度，有效地促进全旗地方经济稳健发展打下了坚实基础。</w:t>
      </w:r>
    </w:p>
    <w:p>
      <w:pPr>
        <w:keepNext w:val="0"/>
        <w:keepLines w:val="0"/>
        <w:pageBreakBefore w:val="0"/>
        <w:widowControl/>
        <w:kinsoku/>
        <w:wordWrap/>
        <w:overflowPunct/>
        <w:topLinePunct w:val="0"/>
        <w:autoSpaceDE/>
        <w:autoSpaceDN/>
        <w:bidi w:val="0"/>
        <w:adjustRightInd w:val="0"/>
        <w:snapToGrid/>
        <w:spacing w:line="600" w:lineRule="exact"/>
        <w:ind w:firstLine="640" w:firstLineChars="200"/>
        <w:contextualSpacing/>
        <w:textAlignment w:val="auto"/>
        <w:rPr>
          <w:rFonts w:ascii="黑体" w:hAnsi="黑体" w:eastAsia="黑体"/>
          <w:color w:val="auto"/>
          <w:spacing w:val="0"/>
          <w:kern w:val="0"/>
          <w:sz w:val="32"/>
          <w:szCs w:val="32"/>
          <w:highlight w:val="none"/>
        </w:rPr>
      </w:pPr>
      <w:r>
        <w:rPr>
          <w:rFonts w:hint="eastAsia" w:ascii="黑体" w:hAnsi="黑体" w:eastAsia="黑体" w:cs="黑体"/>
          <w:color w:val="auto"/>
          <w:spacing w:val="0"/>
          <w:kern w:val="0"/>
          <w:sz w:val="32"/>
          <w:szCs w:val="32"/>
          <w:highlight w:val="none"/>
          <w:lang w:eastAsia="zh-CN"/>
        </w:rPr>
        <w:t>二</w:t>
      </w:r>
      <w:r>
        <w:rPr>
          <w:rFonts w:hint="eastAsia" w:ascii="黑体" w:hAnsi="黑体" w:eastAsia="黑体" w:cs="黑体"/>
          <w:color w:val="auto"/>
          <w:spacing w:val="0"/>
          <w:kern w:val="0"/>
          <w:sz w:val="32"/>
          <w:szCs w:val="32"/>
          <w:highlight w:val="none"/>
        </w:rPr>
        <w:t>、</w:t>
      </w:r>
      <w:r>
        <w:rPr>
          <w:rFonts w:hint="eastAsia" w:ascii="黑体" w:hAnsi="黑体" w:eastAsia="黑体" w:cs="黑体"/>
          <w:spacing w:val="0"/>
          <w:sz w:val="32"/>
          <w:szCs w:val="32"/>
          <w:highlight w:val="none"/>
          <w:lang w:val="en-US" w:eastAsia="zh-CN"/>
        </w:rPr>
        <w:t>2025年度举借债务的主要用途及偿债计划</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pacing w:val="0"/>
          <w:sz w:val="32"/>
          <w:szCs w:val="32"/>
          <w:highlight w:val="none"/>
          <w:lang w:val="en-US" w:eastAsia="zh-CN"/>
        </w:rPr>
      </w:pPr>
      <w:r>
        <w:rPr>
          <w:rFonts w:hint="eastAsia" w:ascii="仿宋_GB2312" w:hAnsi="仿宋_GB2312" w:eastAsia="仿宋_GB2312" w:cs="仿宋_GB2312"/>
          <w:spacing w:val="0"/>
          <w:sz w:val="32"/>
          <w:szCs w:val="32"/>
          <w:highlight w:val="none"/>
          <w:lang w:val="en-US" w:eastAsia="zh-CN"/>
        </w:rPr>
        <w:t>为更好的统筹发展和安全，持续用好用足新增债券，将严格按照国家和自治区规定的政府债券投向领域和国务院严控新建政府投资项目有关要求，储备符合条件的优质项目，执行负面清单管理。在确保债务总体可控的情况下，继续积极向上争取很多债券额度，保障在续建重点项目，带动扩大有效投资，助推全市经济社会发展。</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spacing w:val="0"/>
          <w:highlight w:val="none"/>
        </w:rPr>
      </w:pPr>
      <w:r>
        <w:rPr>
          <w:rFonts w:hint="eastAsia" w:ascii="仿宋_GB2312" w:hAnsi="仿宋_GB2312" w:eastAsia="仿宋_GB2312" w:cs="仿宋_GB2312"/>
          <w:spacing w:val="0"/>
          <w:sz w:val="32"/>
          <w:szCs w:val="32"/>
          <w:highlight w:val="none"/>
          <w:lang w:eastAsia="zh-CN"/>
        </w:rPr>
        <w:t>经测算，</w:t>
      </w:r>
      <w:r>
        <w:rPr>
          <w:rFonts w:hint="eastAsia" w:ascii="仿宋_GB2312" w:hAnsi="仿宋_GB2312" w:eastAsia="仿宋_GB2312" w:cs="仿宋_GB2312"/>
          <w:spacing w:val="0"/>
          <w:sz w:val="32"/>
          <w:szCs w:val="32"/>
          <w:highlight w:val="none"/>
          <w:lang w:val="en-US" w:eastAsia="zh-CN"/>
        </w:rPr>
        <w:t>2025年全旗到期本金约3.23亿元，到期利息约0.79亿元。</w:t>
      </w:r>
      <w:r>
        <w:rPr>
          <w:rFonts w:hint="eastAsia" w:ascii="CESI仿宋-GB2312" w:hAnsi="CESI仿宋-GB2312" w:eastAsia="CESI仿宋-GB2312" w:cs="CESI仿宋-GB2312"/>
          <w:sz w:val="32"/>
          <w:szCs w:val="32"/>
          <w:highlight w:val="none"/>
          <w:lang w:eastAsia="zh-CN"/>
        </w:rPr>
        <w:t>按照国家和自治区通过预算资金偿还到期一般债券本金比例不低于</w:t>
      </w:r>
      <w:r>
        <w:rPr>
          <w:rFonts w:hint="eastAsia" w:ascii="CESI仿宋-GB2312" w:hAnsi="CESI仿宋-GB2312" w:eastAsia="CESI仿宋-GB2312" w:cs="CESI仿宋-GB2312"/>
          <w:sz w:val="32"/>
          <w:szCs w:val="32"/>
          <w:highlight w:val="none"/>
          <w:lang w:val="en-US" w:eastAsia="zh-CN"/>
        </w:rPr>
        <w:t>10%，自求平衡专项债券不可申请再融资债券的要求，全旗2025年法定债务还本付息至少需要安排自有资金约0.93亿元以上，要</w:t>
      </w:r>
      <w:r>
        <w:rPr>
          <w:rFonts w:hint="eastAsia" w:ascii="仿宋_GB2312" w:hAnsi="仿宋_GB2312" w:eastAsia="仿宋_GB2312" w:cs="仿宋_GB2312"/>
          <w:spacing w:val="0"/>
          <w:sz w:val="32"/>
          <w:szCs w:val="32"/>
          <w:highlight w:val="none"/>
        </w:rPr>
        <w:t>督促各地区</w:t>
      </w:r>
      <w:r>
        <w:rPr>
          <w:rFonts w:hint="eastAsia" w:ascii="CESI仿宋-GB2312" w:hAnsi="CESI仿宋-GB2312" w:eastAsia="CESI仿宋-GB2312" w:cs="CESI仿宋-GB2312"/>
          <w:sz w:val="32"/>
          <w:szCs w:val="32"/>
          <w:highlight w:val="none"/>
          <w:lang w:val="en-US" w:eastAsia="zh-CN"/>
        </w:rPr>
        <w:t>足额将该部分刚性支出列入预算</w:t>
      </w:r>
      <w:r>
        <w:rPr>
          <w:rFonts w:hint="eastAsia" w:ascii="仿宋_GB2312" w:hAnsi="仿宋_GB2312" w:eastAsia="仿宋_GB2312" w:cs="仿宋_GB2312"/>
          <w:spacing w:val="0"/>
          <w:sz w:val="32"/>
          <w:szCs w:val="32"/>
          <w:highlight w:val="none"/>
        </w:rPr>
        <w:t>，从源头防范逾期风险。</w:t>
      </w:r>
      <w:bookmarkStart w:id="0" w:name="_GoBack"/>
      <w:bookmarkEnd w:id="0"/>
    </w:p>
    <w:p>
      <w:pPr>
        <w:keepNext w:val="0"/>
        <w:keepLines w:val="0"/>
        <w:pageBreakBefore w:val="0"/>
        <w:kinsoku/>
        <w:wordWrap/>
        <w:overflowPunct/>
        <w:topLinePunct w:val="0"/>
        <w:autoSpaceDE/>
        <w:autoSpaceDN/>
        <w:bidi w:val="0"/>
        <w:adjustRightInd/>
        <w:snapToGrid/>
        <w:spacing w:line="600" w:lineRule="exact"/>
        <w:ind w:firstLine="420" w:firstLineChars="200"/>
        <w:textAlignment w:val="auto"/>
        <w:rPr>
          <w:spacing w:val="0"/>
          <w:highlight w:val="none"/>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CESI仿宋-GB2312">
    <w:altName w:val="仿宋"/>
    <w:panose1 w:val="02000500000000000000"/>
    <w:charset w:val="86"/>
    <w:family w:val="auto"/>
    <w:pitch w:val="default"/>
    <w:sig w:usb0="00000000" w:usb1="00000000" w:usb2="00000010" w:usb3="00000000" w:csb0="0004000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仿宋"/>
                              <w:lang w:eastAsia="zh-CN"/>
                            </w:rPr>
                          </w:pPr>
                          <w:r>
                            <w:rPr>
                              <w:rFonts w:hint="eastAsia" w:ascii="仿宋_GB2312" w:hAnsi="仿宋_GB2312" w:eastAsia="仿宋_GB2312" w:cs="仿宋_GB2312"/>
                              <w:sz w:val="28"/>
                              <w:szCs w:val="40"/>
                              <w:lang w:eastAsia="zh-CN"/>
                            </w:rPr>
                            <w:fldChar w:fldCharType="begin"/>
                          </w:r>
                          <w:r>
                            <w:rPr>
                              <w:rFonts w:hint="eastAsia" w:ascii="仿宋_GB2312" w:hAnsi="仿宋_GB2312" w:eastAsia="仿宋_GB2312" w:cs="仿宋_GB2312"/>
                              <w:sz w:val="28"/>
                              <w:szCs w:val="40"/>
                              <w:lang w:eastAsia="zh-CN"/>
                            </w:rPr>
                            <w:instrText xml:space="preserve"> PAGE  \* MERGEFORMAT </w:instrText>
                          </w:r>
                          <w:r>
                            <w:rPr>
                              <w:rFonts w:hint="eastAsia" w:ascii="仿宋_GB2312" w:hAnsi="仿宋_GB2312" w:eastAsia="仿宋_GB2312" w:cs="仿宋_GB2312"/>
                              <w:sz w:val="28"/>
                              <w:szCs w:val="40"/>
                              <w:lang w:eastAsia="zh-CN"/>
                            </w:rPr>
                            <w:fldChar w:fldCharType="separate"/>
                          </w:r>
                          <w:r>
                            <w:rPr>
                              <w:rFonts w:hint="eastAsia" w:ascii="仿宋_GB2312" w:hAnsi="仿宋_GB2312" w:eastAsia="仿宋_GB2312" w:cs="仿宋_GB2312"/>
                              <w:sz w:val="28"/>
                              <w:szCs w:val="40"/>
                              <w:lang w:eastAsia="zh-CN"/>
                            </w:rPr>
                            <w:t>1</w:t>
                          </w:r>
                          <w:r>
                            <w:rPr>
                              <w:rFonts w:hint="eastAsia" w:ascii="仿宋_GB2312" w:hAnsi="仿宋_GB2312" w:eastAsia="仿宋_GB2312" w:cs="仿宋_GB2312"/>
                              <w:sz w:val="28"/>
                              <w:szCs w:val="4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仿宋"/>
                        <w:lang w:eastAsia="zh-CN"/>
                      </w:rPr>
                    </w:pPr>
                    <w:r>
                      <w:rPr>
                        <w:rFonts w:hint="eastAsia" w:ascii="仿宋_GB2312" w:hAnsi="仿宋_GB2312" w:eastAsia="仿宋_GB2312" w:cs="仿宋_GB2312"/>
                        <w:sz w:val="28"/>
                        <w:szCs w:val="40"/>
                        <w:lang w:eastAsia="zh-CN"/>
                      </w:rPr>
                      <w:fldChar w:fldCharType="begin"/>
                    </w:r>
                    <w:r>
                      <w:rPr>
                        <w:rFonts w:hint="eastAsia" w:ascii="仿宋_GB2312" w:hAnsi="仿宋_GB2312" w:eastAsia="仿宋_GB2312" w:cs="仿宋_GB2312"/>
                        <w:sz w:val="28"/>
                        <w:szCs w:val="40"/>
                        <w:lang w:eastAsia="zh-CN"/>
                      </w:rPr>
                      <w:instrText xml:space="preserve"> PAGE  \* MERGEFORMAT </w:instrText>
                    </w:r>
                    <w:r>
                      <w:rPr>
                        <w:rFonts w:hint="eastAsia" w:ascii="仿宋_GB2312" w:hAnsi="仿宋_GB2312" w:eastAsia="仿宋_GB2312" w:cs="仿宋_GB2312"/>
                        <w:sz w:val="28"/>
                        <w:szCs w:val="40"/>
                        <w:lang w:eastAsia="zh-CN"/>
                      </w:rPr>
                      <w:fldChar w:fldCharType="separate"/>
                    </w:r>
                    <w:r>
                      <w:rPr>
                        <w:rFonts w:hint="eastAsia" w:ascii="仿宋_GB2312" w:hAnsi="仿宋_GB2312" w:eastAsia="仿宋_GB2312" w:cs="仿宋_GB2312"/>
                        <w:sz w:val="28"/>
                        <w:szCs w:val="40"/>
                        <w:lang w:eastAsia="zh-CN"/>
                      </w:rPr>
                      <w:t>1</w:t>
                    </w:r>
                    <w:r>
                      <w:rPr>
                        <w:rFonts w:hint="eastAsia" w:ascii="仿宋_GB2312" w:hAnsi="仿宋_GB2312" w:eastAsia="仿宋_GB2312" w:cs="仿宋_GB2312"/>
                        <w:sz w:val="28"/>
                        <w:szCs w:val="40"/>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YxNjVjYjVjNTIwZDc2NGU0YWFlNTYwZTM1MDg5NTIifQ=="/>
  </w:docVars>
  <w:rsids>
    <w:rsidRoot w:val="19CF375E"/>
    <w:rsid w:val="00357549"/>
    <w:rsid w:val="00F24A99"/>
    <w:rsid w:val="03415BF8"/>
    <w:rsid w:val="04AE367F"/>
    <w:rsid w:val="070A4FD0"/>
    <w:rsid w:val="0C850E1B"/>
    <w:rsid w:val="10715AD6"/>
    <w:rsid w:val="11AB2115"/>
    <w:rsid w:val="16FD1195"/>
    <w:rsid w:val="19CF375E"/>
    <w:rsid w:val="1A143B2C"/>
    <w:rsid w:val="1F2763F9"/>
    <w:rsid w:val="1FC45FDB"/>
    <w:rsid w:val="2AC665D6"/>
    <w:rsid w:val="2CFA1FAB"/>
    <w:rsid w:val="2DEB1843"/>
    <w:rsid w:val="3E6F05D8"/>
    <w:rsid w:val="44421112"/>
    <w:rsid w:val="45CF74D9"/>
    <w:rsid w:val="46F74870"/>
    <w:rsid w:val="472C598C"/>
    <w:rsid w:val="47BB59C5"/>
    <w:rsid w:val="494D47B0"/>
    <w:rsid w:val="4F98257A"/>
    <w:rsid w:val="4FA74E27"/>
    <w:rsid w:val="52C3080E"/>
    <w:rsid w:val="54580039"/>
    <w:rsid w:val="59BE0A64"/>
    <w:rsid w:val="5A9F9128"/>
    <w:rsid w:val="5B22733D"/>
    <w:rsid w:val="63FF5803"/>
    <w:rsid w:val="66225261"/>
    <w:rsid w:val="677D466F"/>
    <w:rsid w:val="6BFC17D4"/>
    <w:rsid w:val="6DB620A5"/>
    <w:rsid w:val="6EF7BEED"/>
    <w:rsid w:val="6FBFA3E6"/>
    <w:rsid w:val="6FFFB56F"/>
    <w:rsid w:val="736FA43A"/>
    <w:rsid w:val="74303C00"/>
    <w:rsid w:val="761E4ABF"/>
    <w:rsid w:val="79EF327C"/>
    <w:rsid w:val="7B9A1258"/>
    <w:rsid w:val="7BD34AD8"/>
    <w:rsid w:val="7BFE74EE"/>
    <w:rsid w:val="7D9F6493"/>
    <w:rsid w:val="7FF7023D"/>
    <w:rsid w:val="AF7BCB4F"/>
    <w:rsid w:val="D9FF3523"/>
    <w:rsid w:val="FDFCEF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2</Pages>
  <Words>763</Words>
  <Characters>862</Characters>
  <Lines>12</Lines>
  <Paragraphs>3</Paragraphs>
  <TotalTime>90</TotalTime>
  <ScaleCrop>false</ScaleCrop>
  <LinksUpToDate>false</LinksUpToDate>
  <CharactersWithSpaces>862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2021-02-25T17:13:00Z</dcterms:created>
  <dc:creator>Administrator</dc:creator>
  <cp:lastModifiedBy>#</cp:lastModifiedBy>
  <cp:lastPrinted>2024-02-05T08:45:00Z</cp:lastPrinted>
  <dcterms:modified xsi:type="dcterms:W3CDTF">2025-03-04T02:09:37Z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F212552C7B1D457B9FE2940C2A3094BE_13</vt:lpwstr>
  </property>
</Properties>
</file>