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pacing w:line="360" w:lineRule="auto"/>
        <w:ind w:left="0" w:leftChars="0" w:firstLine="0" w:firstLineChars="0"/>
        <w:jc w:val="center"/>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t>2024年预算绩效工作开展情况的说明</w:t>
      </w:r>
    </w:p>
    <w:p>
      <w:pPr>
        <w:bidi w:val="0"/>
        <w:ind w:firstLine="640" w:firstLineChars="200"/>
        <w:rPr>
          <w:rFonts w:hint="eastAsia" w:ascii="宋体" w:hAnsi="宋体" w:eastAsia="宋体" w:cs="宋体"/>
          <w:b/>
          <w:bCs/>
          <w:kern w:val="2"/>
          <w:sz w:val="32"/>
          <w:szCs w:val="32"/>
          <w:lang w:val="en-US" w:eastAsia="zh-CN" w:bidi="ar-SA"/>
        </w:rPr>
      </w:pPr>
      <w:r>
        <w:rPr>
          <w:rFonts w:hint="eastAsia" w:ascii="宋体" w:hAnsi="宋体" w:eastAsia="宋体" w:cs="宋体"/>
          <w:b w:val="0"/>
          <w:bCs w:val="0"/>
          <w:i w:val="0"/>
          <w:iCs w:val="0"/>
          <w:caps w:val="0"/>
          <w:color w:val="555555"/>
          <w:spacing w:val="0"/>
          <w:sz w:val="32"/>
          <w:szCs w:val="32"/>
          <w:shd w:val="clear" w:fill="FFFFFF"/>
          <w:lang w:val="en-US" w:eastAsia="zh-CN"/>
        </w:rPr>
        <w:t>2024年，莫旗财政局深入贯彻落实国家和自治区关于预算绩效管理的相关要求，结合地方实际，积极推动绩效管理工作，为全旗经济社会发展提供了坚实的财政保障，</w:t>
      </w:r>
      <w:r>
        <w:rPr>
          <w:rFonts w:hint="eastAsia" w:ascii="宋体" w:hAnsi="宋体" w:eastAsia="宋体" w:cs="宋体"/>
          <w:sz w:val="32"/>
          <w:szCs w:val="32"/>
          <w:lang w:eastAsia="zh-CN"/>
        </w:rPr>
        <w:t>现</w:t>
      </w:r>
      <w:r>
        <w:rPr>
          <w:rFonts w:hint="eastAsia" w:ascii="宋体" w:hAnsi="宋体" w:eastAsia="宋体" w:cs="宋体"/>
          <w:sz w:val="32"/>
          <w:szCs w:val="32"/>
        </w:rPr>
        <w:t>将202</w:t>
      </w:r>
      <w:r>
        <w:rPr>
          <w:rFonts w:hint="eastAsia" w:ascii="宋体" w:hAnsi="宋体" w:eastAsia="宋体" w:cs="宋体"/>
          <w:sz w:val="32"/>
          <w:szCs w:val="32"/>
          <w:lang w:val="en-US" w:eastAsia="zh-CN"/>
        </w:rPr>
        <w:t>4</w:t>
      </w:r>
      <w:r>
        <w:rPr>
          <w:rFonts w:hint="eastAsia" w:ascii="宋体" w:hAnsi="宋体" w:eastAsia="宋体" w:cs="宋体"/>
          <w:sz w:val="32"/>
          <w:szCs w:val="32"/>
        </w:rPr>
        <w:t>年</w:t>
      </w:r>
      <w:r>
        <w:rPr>
          <w:rFonts w:hint="eastAsia" w:ascii="宋体" w:hAnsi="宋体" w:eastAsia="宋体" w:cs="宋体"/>
          <w:sz w:val="32"/>
          <w:szCs w:val="32"/>
          <w:lang w:eastAsia="zh-CN"/>
        </w:rPr>
        <w:t>预算</w:t>
      </w:r>
      <w:r>
        <w:rPr>
          <w:rFonts w:hint="eastAsia" w:ascii="宋体" w:hAnsi="宋体" w:eastAsia="宋体" w:cs="宋体"/>
          <w:sz w:val="32"/>
          <w:szCs w:val="32"/>
        </w:rPr>
        <w:t>绩效</w:t>
      </w:r>
      <w:r>
        <w:rPr>
          <w:rFonts w:hint="eastAsia" w:ascii="宋体" w:hAnsi="宋体" w:eastAsia="宋体" w:cs="宋体"/>
          <w:sz w:val="32"/>
          <w:szCs w:val="32"/>
          <w:lang w:eastAsia="zh-CN"/>
        </w:rPr>
        <w:t>管理</w:t>
      </w:r>
      <w:r>
        <w:rPr>
          <w:rFonts w:hint="eastAsia" w:ascii="宋体" w:hAnsi="宋体" w:eastAsia="宋体" w:cs="宋体"/>
          <w:sz w:val="32"/>
          <w:szCs w:val="32"/>
        </w:rPr>
        <w:t>工作</w:t>
      </w:r>
      <w:r>
        <w:rPr>
          <w:rFonts w:hint="eastAsia" w:ascii="宋体" w:hAnsi="宋体" w:eastAsia="宋体" w:cs="宋体"/>
          <w:sz w:val="32"/>
          <w:szCs w:val="32"/>
          <w:lang w:val="en-US" w:eastAsia="zh-CN"/>
        </w:rPr>
        <w:t>开展情况</w:t>
      </w:r>
      <w:r>
        <w:rPr>
          <w:rFonts w:hint="eastAsia" w:ascii="宋体" w:hAnsi="宋体" w:eastAsia="宋体" w:cs="宋体"/>
          <w:sz w:val="32"/>
          <w:szCs w:val="32"/>
          <w:lang w:eastAsia="zh-CN"/>
        </w:rPr>
        <w:t>说明</w:t>
      </w:r>
      <w:r>
        <w:rPr>
          <w:rFonts w:hint="eastAsia" w:ascii="宋体" w:hAnsi="宋体" w:eastAsia="宋体" w:cs="宋体"/>
          <w:sz w:val="32"/>
          <w:szCs w:val="32"/>
        </w:rPr>
        <w:t>如下</w:t>
      </w:r>
      <w:r>
        <w:rPr>
          <w:rFonts w:hint="eastAsia" w:ascii="宋体" w:hAnsi="宋体" w:eastAsia="宋体" w:cs="宋体"/>
          <w:sz w:val="32"/>
          <w:szCs w:val="32"/>
          <w:lang w:eastAsia="zh-CN"/>
        </w:rPr>
        <w:t>：</w:t>
      </w:r>
    </w:p>
    <w:p>
      <w:pPr>
        <w:pStyle w:val="14"/>
        <w:keepNext w:val="0"/>
        <w:keepLines w:val="0"/>
        <w:pageBreakBefore w:val="0"/>
        <w:widowControl w:val="0"/>
        <w:kinsoku/>
        <w:wordWrap/>
        <w:overflowPunct/>
        <w:topLinePunct w:val="0"/>
        <w:autoSpaceDE/>
        <w:autoSpaceDN/>
        <w:bidi w:val="0"/>
        <w:adjustRightInd/>
        <w:snapToGrid/>
        <w:spacing w:after="0" w:line="360" w:lineRule="auto"/>
        <w:ind w:firstLine="643" w:firstLineChars="200"/>
        <w:jc w:val="left"/>
        <w:textAlignment w:val="baseline"/>
        <w:outlineLvl w:val="0"/>
        <w:rPr>
          <w:rFonts w:hint="eastAsia" w:ascii="宋体" w:hAnsi="宋体" w:eastAsia="宋体" w:cs="宋体"/>
          <w:b/>
          <w:bCs/>
          <w:i w:val="0"/>
          <w:iCs w:val="0"/>
          <w:caps w:val="0"/>
          <w:color w:val="555555"/>
          <w:spacing w:val="0"/>
          <w:kern w:val="2"/>
          <w:sz w:val="32"/>
          <w:szCs w:val="32"/>
          <w:shd w:val="clear" w:fill="FFFFFF"/>
          <w:lang w:val="en-US" w:eastAsia="zh-CN" w:bidi="ar-SA"/>
        </w:rPr>
      </w:pPr>
      <w:r>
        <w:rPr>
          <w:rFonts w:hint="eastAsia" w:ascii="宋体" w:hAnsi="宋体" w:eastAsia="宋体" w:cs="宋体"/>
          <w:b/>
          <w:bCs/>
          <w:i w:val="0"/>
          <w:iCs w:val="0"/>
          <w:caps w:val="0"/>
          <w:color w:val="555555"/>
          <w:spacing w:val="0"/>
          <w:kern w:val="2"/>
          <w:sz w:val="32"/>
          <w:szCs w:val="32"/>
          <w:shd w:val="clear" w:fill="FFFFFF"/>
          <w:lang w:val="en-US" w:eastAsia="zh-CN" w:bidi="ar-SA"/>
        </w:rPr>
        <w:t>一、绩效管理体系建设取得新进展</w:t>
      </w:r>
    </w:p>
    <w:p>
      <w:pPr>
        <w:pStyle w:val="14"/>
        <w:keepNext w:val="0"/>
        <w:keepLines w:val="0"/>
        <w:pageBreakBefore w:val="0"/>
        <w:widowControl w:val="0"/>
        <w:kinsoku/>
        <w:wordWrap/>
        <w:overflowPunct/>
        <w:topLinePunct w:val="0"/>
        <w:autoSpaceDE/>
        <w:autoSpaceDN/>
        <w:bidi w:val="0"/>
        <w:adjustRightInd/>
        <w:snapToGrid/>
        <w:spacing w:after="0" w:line="360" w:lineRule="auto"/>
        <w:ind w:firstLine="640" w:firstLineChars="200"/>
        <w:jc w:val="left"/>
        <w:textAlignment w:val="baseline"/>
        <w:rPr>
          <w:rFonts w:hint="eastAsia" w:ascii="宋体" w:hAnsi="宋体" w:eastAsia="宋体" w:cs="宋体"/>
          <w:b w:val="0"/>
          <w:bCs w:val="0"/>
          <w:i w:val="0"/>
          <w:iCs w:val="0"/>
          <w:caps w:val="0"/>
          <w:color w:val="555555"/>
          <w:spacing w:val="0"/>
          <w:kern w:val="2"/>
          <w:sz w:val="32"/>
          <w:szCs w:val="32"/>
          <w:shd w:val="clear" w:fill="FFFFFF"/>
          <w:lang w:val="en-US" w:eastAsia="zh-CN" w:bidi="ar-SA"/>
        </w:rPr>
      </w:pPr>
      <w:r>
        <w:rPr>
          <w:rFonts w:hint="eastAsia" w:ascii="宋体" w:hAnsi="宋体" w:eastAsia="宋体" w:cs="宋体"/>
          <w:b w:val="0"/>
          <w:bCs w:val="0"/>
          <w:i w:val="0"/>
          <w:iCs w:val="0"/>
          <w:caps w:val="0"/>
          <w:color w:val="555555"/>
          <w:spacing w:val="0"/>
          <w:kern w:val="2"/>
          <w:sz w:val="32"/>
          <w:szCs w:val="32"/>
          <w:shd w:val="clear" w:fill="FFFFFF"/>
          <w:lang w:val="en-US" w:eastAsia="zh-CN" w:bidi="ar-SA"/>
        </w:rPr>
        <w:t>1.预算</w:t>
      </w:r>
      <w:r>
        <w:rPr>
          <w:rFonts w:hint="eastAsia" w:ascii="宋体" w:hAnsi="宋体" w:eastAsia="宋体" w:cs="宋体"/>
          <w:b w:val="0"/>
          <w:bCs w:val="0"/>
          <w:i w:val="0"/>
          <w:iCs w:val="0"/>
          <w:caps w:val="0"/>
          <w:color w:val="555555"/>
          <w:spacing w:val="0"/>
          <w:kern w:val="2"/>
          <w:sz w:val="32"/>
          <w:szCs w:val="32"/>
          <w:shd w:val="clear" w:fill="FFFFFF"/>
          <w:lang w:val="en-US" w:eastAsia="zh-CN" w:bidi="ar-SA"/>
        </w:rPr>
        <w:t>绩效管理制度建设。莫旗财政局相继出台了多项预算绩效管理的综合性制度文件，以及绩效管理考核、规范第三方机构参与绩效管理等相关具体制度办法，2024年更新出台《莫力达瓦达斡尔族自治旗财政局全面实施预算绩效管理意见》。</w:t>
      </w:r>
    </w:p>
    <w:p>
      <w:pPr>
        <w:pStyle w:val="14"/>
        <w:keepNext w:val="0"/>
        <w:keepLines w:val="0"/>
        <w:pageBreakBefore w:val="0"/>
        <w:widowControl w:val="0"/>
        <w:kinsoku/>
        <w:wordWrap/>
        <w:overflowPunct/>
        <w:topLinePunct w:val="0"/>
        <w:autoSpaceDE/>
        <w:autoSpaceDN/>
        <w:bidi w:val="0"/>
        <w:adjustRightInd/>
        <w:snapToGrid/>
        <w:spacing w:after="0" w:line="360" w:lineRule="auto"/>
        <w:ind w:firstLine="640" w:firstLineChars="200"/>
        <w:jc w:val="left"/>
        <w:textAlignment w:val="baseline"/>
        <w:rPr>
          <w:rFonts w:hint="eastAsia" w:ascii="宋体" w:hAnsi="宋体" w:eastAsia="宋体" w:cs="宋体"/>
          <w:b w:val="0"/>
          <w:bCs w:val="0"/>
          <w:i w:val="0"/>
          <w:iCs w:val="0"/>
          <w:caps w:val="0"/>
          <w:color w:val="555555"/>
          <w:spacing w:val="0"/>
          <w:kern w:val="2"/>
          <w:sz w:val="32"/>
          <w:szCs w:val="32"/>
          <w:shd w:val="clear" w:fill="FFFFFF"/>
          <w:lang w:val="en-US" w:eastAsia="zh-CN" w:bidi="ar-SA"/>
        </w:rPr>
      </w:pPr>
      <w:r>
        <w:rPr>
          <w:rFonts w:hint="eastAsia" w:ascii="宋体" w:hAnsi="宋体" w:eastAsia="宋体" w:cs="宋体"/>
          <w:b w:val="0"/>
          <w:bCs w:val="0"/>
          <w:i w:val="0"/>
          <w:iCs w:val="0"/>
          <w:caps w:val="0"/>
          <w:color w:val="555555"/>
          <w:spacing w:val="0"/>
          <w:kern w:val="2"/>
          <w:sz w:val="32"/>
          <w:szCs w:val="32"/>
          <w:shd w:val="clear" w:fill="FFFFFF"/>
          <w:lang w:val="en-US" w:eastAsia="zh-CN" w:bidi="ar-SA"/>
        </w:rPr>
        <w:t>2.绩效指标体系建设。莫旗财政局2023年已完成建立12476条分行业、分领域的绩效指标体系以及共性绩效指标框架，2024年更新绩效指标和标准体系指标数据，其中包括：共性项目绩效指标17类，共计1019条；个性绩效指标5442条，行业领域18类。</w:t>
      </w:r>
    </w:p>
    <w:p>
      <w:pPr>
        <w:pStyle w:val="14"/>
        <w:keepNext w:val="0"/>
        <w:keepLines w:val="0"/>
        <w:pageBreakBefore w:val="0"/>
        <w:widowControl w:val="0"/>
        <w:kinsoku/>
        <w:wordWrap/>
        <w:overflowPunct/>
        <w:topLinePunct w:val="0"/>
        <w:autoSpaceDE/>
        <w:autoSpaceDN/>
        <w:bidi w:val="0"/>
        <w:adjustRightInd/>
        <w:snapToGrid/>
        <w:spacing w:after="0" w:line="360" w:lineRule="auto"/>
        <w:ind w:firstLine="643" w:firstLineChars="200"/>
        <w:jc w:val="left"/>
        <w:textAlignment w:val="baseline"/>
        <w:outlineLvl w:val="0"/>
        <w:rPr>
          <w:rFonts w:hint="eastAsia" w:ascii="宋体" w:hAnsi="宋体" w:eastAsia="宋体" w:cs="宋体"/>
          <w:b/>
          <w:bCs/>
          <w:i w:val="0"/>
          <w:iCs w:val="0"/>
          <w:caps w:val="0"/>
          <w:color w:val="555555"/>
          <w:spacing w:val="0"/>
          <w:kern w:val="2"/>
          <w:sz w:val="32"/>
          <w:szCs w:val="32"/>
          <w:shd w:val="clear" w:fill="FFFFFF"/>
          <w:lang w:val="en-US" w:eastAsia="zh-CN" w:bidi="ar-SA"/>
        </w:rPr>
      </w:pPr>
      <w:bookmarkStart w:id="0" w:name="_Toc30333"/>
      <w:r>
        <w:rPr>
          <w:rFonts w:hint="eastAsia" w:ascii="宋体" w:hAnsi="宋体" w:eastAsia="宋体" w:cs="宋体"/>
          <w:b/>
          <w:bCs/>
          <w:i w:val="0"/>
          <w:iCs w:val="0"/>
          <w:caps w:val="0"/>
          <w:color w:val="555555"/>
          <w:spacing w:val="0"/>
          <w:kern w:val="2"/>
          <w:sz w:val="32"/>
          <w:szCs w:val="32"/>
          <w:shd w:val="clear" w:fill="FFFFFF"/>
          <w:lang w:val="en-US" w:eastAsia="zh-CN" w:bidi="ar-SA"/>
        </w:rPr>
        <w:t>二、加强绩效培训学习及工作宣传</w:t>
      </w:r>
      <w:bookmarkEnd w:id="0"/>
    </w:p>
    <w:p>
      <w:pPr>
        <w:pStyle w:val="14"/>
        <w:keepNext w:val="0"/>
        <w:keepLines w:val="0"/>
        <w:pageBreakBefore w:val="0"/>
        <w:widowControl w:val="0"/>
        <w:kinsoku/>
        <w:wordWrap/>
        <w:overflowPunct/>
        <w:topLinePunct w:val="0"/>
        <w:autoSpaceDE/>
        <w:autoSpaceDN/>
        <w:bidi w:val="0"/>
        <w:adjustRightInd/>
        <w:snapToGrid/>
        <w:spacing w:after="0" w:line="360" w:lineRule="auto"/>
        <w:ind w:firstLine="640" w:firstLineChars="200"/>
        <w:jc w:val="left"/>
        <w:textAlignment w:val="baseline"/>
        <w:rPr>
          <w:rFonts w:hint="eastAsia" w:ascii="宋体" w:hAnsi="宋体" w:eastAsia="宋体" w:cs="宋体"/>
          <w:b w:val="0"/>
          <w:bCs w:val="0"/>
          <w:i w:val="0"/>
          <w:iCs w:val="0"/>
          <w:caps w:val="0"/>
          <w:color w:val="555555"/>
          <w:spacing w:val="0"/>
          <w:kern w:val="2"/>
          <w:sz w:val="32"/>
          <w:szCs w:val="32"/>
          <w:shd w:val="clear" w:fill="FFFFFF"/>
          <w:lang w:val="en-US" w:eastAsia="zh-CN" w:bidi="ar-SA"/>
        </w:rPr>
      </w:pPr>
      <w:r>
        <w:rPr>
          <w:rFonts w:hint="eastAsia" w:ascii="宋体" w:hAnsi="宋体" w:eastAsia="宋体" w:cs="宋体"/>
          <w:b w:val="0"/>
          <w:bCs w:val="0"/>
          <w:i w:val="0"/>
          <w:iCs w:val="0"/>
          <w:caps w:val="0"/>
          <w:color w:val="555555"/>
          <w:spacing w:val="0"/>
          <w:kern w:val="2"/>
          <w:sz w:val="32"/>
          <w:szCs w:val="32"/>
          <w:shd w:val="clear" w:fill="FFFFFF"/>
          <w:lang w:val="en-US" w:eastAsia="zh-CN" w:bidi="ar-SA"/>
        </w:rPr>
        <w:t>2024年共完成为期四天八场的绩效业务培训，对170家预算单位200余人分股室进行关于“财政资金支出绩效目标填报、绩效自评填报及绩效监控填报业务”的培训以及现场辅导工作。</w:t>
      </w:r>
    </w:p>
    <w:p>
      <w:pPr>
        <w:pStyle w:val="14"/>
        <w:keepNext w:val="0"/>
        <w:keepLines w:val="0"/>
        <w:pageBreakBefore w:val="0"/>
        <w:widowControl w:val="0"/>
        <w:kinsoku/>
        <w:wordWrap/>
        <w:overflowPunct/>
        <w:topLinePunct w:val="0"/>
        <w:autoSpaceDE/>
        <w:autoSpaceDN/>
        <w:bidi w:val="0"/>
        <w:adjustRightInd/>
        <w:snapToGrid/>
        <w:spacing w:after="0" w:line="360" w:lineRule="auto"/>
        <w:ind w:firstLine="640" w:firstLineChars="200"/>
        <w:jc w:val="left"/>
        <w:textAlignment w:val="baseline"/>
        <w:rPr>
          <w:rFonts w:hint="eastAsia" w:ascii="宋体" w:hAnsi="宋体" w:eastAsia="宋体" w:cs="宋体"/>
          <w:b w:val="0"/>
          <w:bCs w:val="0"/>
          <w:i w:val="0"/>
          <w:iCs w:val="0"/>
          <w:caps w:val="0"/>
          <w:color w:val="555555"/>
          <w:spacing w:val="0"/>
          <w:kern w:val="2"/>
          <w:sz w:val="32"/>
          <w:szCs w:val="32"/>
          <w:shd w:val="clear" w:fill="FFFFFF"/>
          <w:lang w:val="en-US" w:eastAsia="zh-CN" w:bidi="ar-SA"/>
        </w:rPr>
      </w:pPr>
      <w:r>
        <w:rPr>
          <w:rFonts w:hint="eastAsia" w:ascii="宋体" w:hAnsi="宋体" w:eastAsia="宋体" w:cs="宋体"/>
          <w:b w:val="0"/>
          <w:bCs w:val="0"/>
          <w:i w:val="0"/>
          <w:iCs w:val="0"/>
          <w:caps w:val="0"/>
          <w:color w:val="555555"/>
          <w:spacing w:val="0"/>
          <w:kern w:val="2"/>
          <w:sz w:val="32"/>
          <w:szCs w:val="32"/>
          <w:shd w:val="clear" w:fill="FFFFFF"/>
          <w:lang w:val="en-US" w:eastAsia="zh-CN" w:bidi="ar-SA"/>
        </w:rPr>
        <w:t>2024年1月份在中国财经报发稿总结2023年度莫旗绩效工作管理情况；2024年3月和8月在旗财政局微信公众号、旗政府信息公开网站对绩效培训的工作过程进行记录和公开；制作预算绩效管理宣传视频（第二期）等。</w:t>
      </w:r>
    </w:p>
    <w:p>
      <w:pPr>
        <w:pStyle w:val="14"/>
        <w:keepNext w:val="0"/>
        <w:keepLines w:val="0"/>
        <w:pageBreakBefore w:val="0"/>
        <w:widowControl w:val="0"/>
        <w:kinsoku/>
        <w:wordWrap/>
        <w:overflowPunct/>
        <w:topLinePunct w:val="0"/>
        <w:autoSpaceDE/>
        <w:autoSpaceDN/>
        <w:bidi w:val="0"/>
        <w:adjustRightInd/>
        <w:snapToGrid/>
        <w:spacing w:after="0" w:line="360" w:lineRule="auto"/>
        <w:ind w:firstLine="643" w:firstLineChars="200"/>
        <w:jc w:val="left"/>
        <w:textAlignment w:val="baseline"/>
        <w:outlineLvl w:val="0"/>
        <w:rPr>
          <w:rFonts w:hint="eastAsia" w:ascii="宋体" w:hAnsi="宋体" w:eastAsia="宋体" w:cs="宋体"/>
          <w:b/>
          <w:bCs/>
          <w:i w:val="0"/>
          <w:iCs w:val="0"/>
          <w:caps w:val="0"/>
          <w:color w:val="555555"/>
          <w:spacing w:val="0"/>
          <w:kern w:val="2"/>
          <w:sz w:val="32"/>
          <w:szCs w:val="32"/>
          <w:shd w:val="clear" w:fill="FFFFFF"/>
          <w:lang w:val="en-US" w:eastAsia="zh-CN" w:bidi="ar-SA"/>
        </w:rPr>
      </w:pPr>
      <w:bookmarkStart w:id="1" w:name="_Toc29599"/>
      <w:r>
        <w:rPr>
          <w:rFonts w:hint="eastAsia" w:ascii="宋体" w:hAnsi="宋体" w:eastAsia="宋体" w:cs="宋体"/>
          <w:b/>
          <w:bCs/>
          <w:i w:val="0"/>
          <w:iCs w:val="0"/>
          <w:caps w:val="0"/>
          <w:color w:val="555555"/>
          <w:spacing w:val="0"/>
          <w:kern w:val="2"/>
          <w:sz w:val="32"/>
          <w:szCs w:val="32"/>
          <w:shd w:val="clear" w:fill="FFFFFF"/>
          <w:lang w:val="en-US" w:eastAsia="zh-CN" w:bidi="ar-SA"/>
        </w:rPr>
        <w:t>三、</w:t>
      </w:r>
      <w:r>
        <w:rPr>
          <w:rFonts w:hint="eastAsia" w:ascii="宋体" w:hAnsi="宋体" w:eastAsia="宋体" w:cs="宋体"/>
          <w:b/>
          <w:bCs/>
          <w:i w:val="0"/>
          <w:iCs w:val="0"/>
          <w:caps w:val="0"/>
          <w:color w:val="555555"/>
          <w:spacing w:val="0"/>
          <w:kern w:val="2"/>
          <w:sz w:val="32"/>
          <w:szCs w:val="32"/>
          <w:highlight w:val="none"/>
          <w:shd w:val="clear" w:fill="FFFFFF"/>
          <w:lang w:val="en-US" w:eastAsia="zh-CN" w:bidi="ar-SA"/>
        </w:rPr>
        <w:t>事前绩效评估</w:t>
      </w:r>
      <w:bookmarkEnd w:id="1"/>
    </w:p>
    <w:p>
      <w:pPr>
        <w:pStyle w:val="10"/>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jc w:val="left"/>
        <w:textAlignment w:val="auto"/>
        <w:rPr>
          <w:rFonts w:hint="eastAsia" w:ascii="宋体" w:hAnsi="宋体" w:eastAsia="宋体" w:cs="宋体"/>
          <w:b w:val="0"/>
          <w:bCs w:val="0"/>
          <w:i w:val="0"/>
          <w:iCs w:val="0"/>
          <w:caps w:val="0"/>
          <w:color w:val="555555"/>
          <w:spacing w:val="0"/>
          <w:kern w:val="2"/>
          <w:sz w:val="32"/>
          <w:szCs w:val="32"/>
          <w:shd w:val="clear" w:fill="FFFFFF"/>
          <w:lang w:val="en-US" w:eastAsia="zh-CN" w:bidi="ar-SA"/>
        </w:rPr>
      </w:pPr>
      <w:r>
        <w:rPr>
          <w:rFonts w:hint="eastAsia" w:ascii="宋体" w:hAnsi="宋体" w:eastAsia="宋体" w:cs="宋体"/>
          <w:b w:val="0"/>
          <w:bCs w:val="0"/>
          <w:i w:val="0"/>
          <w:iCs w:val="0"/>
          <w:caps w:val="0"/>
          <w:color w:val="555555"/>
          <w:spacing w:val="0"/>
          <w:kern w:val="2"/>
          <w:sz w:val="32"/>
          <w:szCs w:val="32"/>
          <w:highlight w:val="none"/>
          <w:shd w:val="clear" w:fill="FFFFFF"/>
          <w:lang w:val="en-US" w:eastAsia="zh-CN" w:bidi="ar-SA"/>
        </w:rPr>
        <w:t>莫旗财政局通过与各部门各单位的沟通，组织第三方机构对2024年新项目独立开展两个项目的绩效评估工作，包括：①计划生育事业费项目事前绩效评估报告②亚曲赛经费项目事前绩效评估报告。</w:t>
      </w:r>
    </w:p>
    <w:p>
      <w:pPr>
        <w:pStyle w:val="14"/>
        <w:keepNext w:val="0"/>
        <w:keepLines w:val="0"/>
        <w:pageBreakBefore w:val="0"/>
        <w:widowControl w:val="0"/>
        <w:kinsoku/>
        <w:wordWrap/>
        <w:overflowPunct/>
        <w:topLinePunct w:val="0"/>
        <w:autoSpaceDE/>
        <w:autoSpaceDN/>
        <w:bidi w:val="0"/>
        <w:adjustRightInd/>
        <w:snapToGrid/>
        <w:spacing w:after="0" w:line="360" w:lineRule="auto"/>
        <w:ind w:firstLine="643" w:firstLineChars="200"/>
        <w:jc w:val="left"/>
        <w:textAlignment w:val="baseline"/>
        <w:outlineLvl w:val="0"/>
        <w:rPr>
          <w:rFonts w:hint="eastAsia" w:ascii="宋体" w:hAnsi="宋体" w:eastAsia="宋体" w:cs="宋体"/>
          <w:b/>
          <w:bCs/>
          <w:i w:val="0"/>
          <w:iCs w:val="0"/>
          <w:caps w:val="0"/>
          <w:color w:val="555555"/>
          <w:spacing w:val="0"/>
          <w:kern w:val="2"/>
          <w:sz w:val="32"/>
          <w:szCs w:val="32"/>
          <w:shd w:val="clear" w:fill="FFFFFF"/>
          <w:lang w:val="en-US" w:eastAsia="zh-CN" w:bidi="ar-SA"/>
        </w:rPr>
      </w:pPr>
      <w:r>
        <w:rPr>
          <w:rFonts w:hint="eastAsia" w:ascii="宋体" w:hAnsi="宋体" w:eastAsia="宋体" w:cs="宋体"/>
          <w:b/>
          <w:bCs/>
          <w:i w:val="0"/>
          <w:iCs w:val="0"/>
          <w:caps w:val="0"/>
          <w:color w:val="555555"/>
          <w:spacing w:val="0"/>
          <w:kern w:val="2"/>
          <w:sz w:val="32"/>
          <w:szCs w:val="32"/>
          <w:shd w:val="clear" w:fill="FFFFFF"/>
          <w:lang w:val="en-US" w:eastAsia="zh-CN" w:bidi="ar-SA"/>
        </w:rPr>
        <w:t>四、加强预算绩效目标管理</w:t>
      </w:r>
    </w:p>
    <w:p>
      <w:pPr>
        <w:pStyle w:val="14"/>
        <w:keepNext w:val="0"/>
        <w:keepLines w:val="0"/>
        <w:pageBreakBefore w:val="0"/>
        <w:widowControl w:val="0"/>
        <w:kinsoku/>
        <w:wordWrap/>
        <w:overflowPunct/>
        <w:topLinePunct w:val="0"/>
        <w:autoSpaceDE/>
        <w:autoSpaceDN/>
        <w:bidi w:val="0"/>
        <w:adjustRightInd/>
        <w:snapToGrid/>
        <w:spacing w:after="0" w:line="360" w:lineRule="auto"/>
        <w:ind w:firstLine="640" w:firstLineChars="200"/>
        <w:jc w:val="left"/>
        <w:textAlignment w:val="baseline"/>
        <w:rPr>
          <w:rFonts w:hint="eastAsia" w:ascii="宋体" w:hAnsi="宋体" w:eastAsia="宋体" w:cs="宋体"/>
          <w:b w:val="0"/>
          <w:bCs w:val="0"/>
          <w:i w:val="0"/>
          <w:iCs w:val="0"/>
          <w:caps w:val="0"/>
          <w:color w:val="555555"/>
          <w:spacing w:val="0"/>
          <w:kern w:val="2"/>
          <w:sz w:val="32"/>
          <w:szCs w:val="32"/>
          <w:highlight w:val="yellow"/>
          <w:shd w:val="clear" w:fill="FFFFFF"/>
          <w:lang w:val="en-US" w:eastAsia="zh-CN" w:bidi="ar-SA"/>
        </w:rPr>
      </w:pPr>
      <w:r>
        <w:rPr>
          <w:rFonts w:hint="eastAsia" w:ascii="宋体" w:hAnsi="宋体" w:eastAsia="宋体" w:cs="宋体"/>
          <w:b w:val="0"/>
          <w:bCs w:val="0"/>
          <w:i w:val="0"/>
          <w:iCs w:val="0"/>
          <w:caps w:val="0"/>
          <w:color w:val="555555"/>
          <w:spacing w:val="0"/>
          <w:kern w:val="2"/>
          <w:sz w:val="32"/>
          <w:szCs w:val="32"/>
          <w:shd w:val="clear" w:fill="FFFFFF"/>
          <w:lang w:val="en-US" w:eastAsia="zh-CN" w:bidi="ar-SA"/>
        </w:rPr>
        <w:t>2024年度完成1844个项目进行绩效目标审核，金额418,762.18万元。</w:t>
      </w:r>
    </w:p>
    <w:p>
      <w:pPr>
        <w:pStyle w:val="14"/>
        <w:keepNext w:val="0"/>
        <w:keepLines w:val="0"/>
        <w:pageBreakBefore w:val="0"/>
        <w:widowControl w:val="0"/>
        <w:kinsoku/>
        <w:wordWrap/>
        <w:overflowPunct/>
        <w:topLinePunct w:val="0"/>
        <w:autoSpaceDE/>
        <w:autoSpaceDN/>
        <w:bidi w:val="0"/>
        <w:adjustRightInd/>
        <w:snapToGrid/>
        <w:spacing w:after="0" w:line="360" w:lineRule="auto"/>
        <w:ind w:firstLine="643" w:firstLineChars="200"/>
        <w:jc w:val="left"/>
        <w:textAlignment w:val="baseline"/>
        <w:outlineLvl w:val="0"/>
        <w:rPr>
          <w:rFonts w:hint="eastAsia" w:ascii="宋体" w:hAnsi="宋体" w:eastAsia="宋体" w:cs="宋体"/>
          <w:b/>
          <w:bCs/>
          <w:i w:val="0"/>
          <w:iCs w:val="0"/>
          <w:caps w:val="0"/>
          <w:color w:val="555555"/>
          <w:spacing w:val="0"/>
          <w:kern w:val="2"/>
          <w:sz w:val="32"/>
          <w:szCs w:val="32"/>
          <w:highlight w:val="none"/>
          <w:shd w:val="clear" w:fill="FFFFFF"/>
          <w:lang w:val="en-US" w:eastAsia="zh-CN" w:bidi="ar-SA"/>
        </w:rPr>
      </w:pPr>
      <w:r>
        <w:rPr>
          <w:rFonts w:hint="eastAsia" w:ascii="宋体" w:hAnsi="宋体" w:eastAsia="宋体" w:cs="宋体"/>
          <w:b/>
          <w:bCs/>
          <w:i w:val="0"/>
          <w:iCs w:val="0"/>
          <w:caps w:val="0"/>
          <w:color w:val="555555"/>
          <w:spacing w:val="0"/>
          <w:kern w:val="2"/>
          <w:sz w:val="32"/>
          <w:szCs w:val="32"/>
          <w:shd w:val="clear" w:fill="FFFFFF"/>
          <w:lang w:val="en-US" w:eastAsia="zh-CN" w:bidi="ar-SA"/>
        </w:rPr>
        <w:t>五、</w:t>
      </w:r>
      <w:r>
        <w:rPr>
          <w:rFonts w:hint="eastAsia" w:ascii="宋体" w:hAnsi="宋体" w:eastAsia="宋体" w:cs="宋体"/>
          <w:b/>
          <w:bCs/>
          <w:i w:val="0"/>
          <w:iCs w:val="0"/>
          <w:caps w:val="0"/>
          <w:color w:val="555555"/>
          <w:spacing w:val="0"/>
          <w:kern w:val="2"/>
          <w:sz w:val="32"/>
          <w:szCs w:val="32"/>
          <w:highlight w:val="none"/>
          <w:shd w:val="clear" w:fill="FFFFFF"/>
          <w:lang w:val="en-US" w:eastAsia="zh-CN" w:bidi="ar-SA"/>
        </w:rPr>
        <w:t>绩效监控工作持续强化</w:t>
      </w:r>
    </w:p>
    <w:p>
      <w:pPr>
        <w:pStyle w:val="10"/>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firstLine="420"/>
        <w:jc w:val="left"/>
        <w:textAlignment w:val="auto"/>
        <w:rPr>
          <w:rFonts w:hint="eastAsia" w:ascii="宋体" w:hAnsi="宋体" w:eastAsia="宋体" w:cs="宋体"/>
          <w:b w:val="0"/>
          <w:bCs w:val="0"/>
          <w:i w:val="0"/>
          <w:iCs w:val="0"/>
          <w:caps w:val="0"/>
          <w:color w:val="555555"/>
          <w:spacing w:val="0"/>
          <w:kern w:val="2"/>
          <w:sz w:val="32"/>
          <w:szCs w:val="32"/>
          <w:shd w:val="clear" w:fill="FFFFFF"/>
          <w:lang w:val="en-US" w:eastAsia="zh-CN" w:bidi="ar-SA"/>
        </w:rPr>
      </w:pPr>
      <w:r>
        <w:rPr>
          <w:rFonts w:hint="eastAsia" w:ascii="宋体" w:hAnsi="宋体" w:eastAsia="宋体" w:cs="宋体"/>
          <w:b w:val="0"/>
          <w:bCs w:val="0"/>
          <w:i w:val="0"/>
          <w:iCs w:val="0"/>
          <w:caps w:val="0"/>
          <w:color w:val="555555"/>
          <w:spacing w:val="0"/>
          <w:kern w:val="2"/>
          <w:sz w:val="32"/>
          <w:szCs w:val="32"/>
          <w:shd w:val="clear" w:fill="FFFFFF"/>
          <w:lang w:val="en-US" w:eastAsia="zh-CN" w:bidi="ar-SA"/>
        </w:rPr>
        <w:t>2024年度开展</w:t>
      </w:r>
      <w:r>
        <w:rPr>
          <w:rFonts w:hint="eastAsia" w:ascii="宋体" w:hAnsi="宋体" w:eastAsia="宋体" w:cs="宋体"/>
          <w:b w:val="0"/>
          <w:bCs w:val="0"/>
          <w:i w:val="0"/>
          <w:iCs w:val="0"/>
          <w:caps w:val="0"/>
          <w:color w:val="555555"/>
          <w:spacing w:val="0"/>
          <w:kern w:val="2"/>
          <w:sz w:val="32"/>
          <w:szCs w:val="32"/>
          <w:highlight w:val="none"/>
          <w:shd w:val="clear" w:fill="FFFFFF"/>
          <w:lang w:val="en-US" w:eastAsia="zh-CN" w:bidi="ar-SA"/>
        </w:rPr>
        <w:t>旗本级部门绩效运行监控工作，部门整体支出应上报97家，各部门整体支出1-7月累计预算安排223271.53万元；项目总数量1856个，部门预算项目与专项资金1-7月累计预算安排433173.45万元，实际执行165513.98万元，执行率38.21%。</w:t>
      </w:r>
      <w:r>
        <w:rPr>
          <w:rFonts w:hint="eastAsia" w:ascii="宋体" w:hAnsi="宋体" w:eastAsia="宋体" w:cs="宋体"/>
          <w:b w:val="0"/>
          <w:bCs w:val="0"/>
          <w:i w:val="0"/>
          <w:iCs w:val="0"/>
          <w:caps w:val="0"/>
          <w:color w:val="555555"/>
          <w:spacing w:val="0"/>
          <w:kern w:val="2"/>
          <w:sz w:val="32"/>
          <w:szCs w:val="32"/>
          <w:shd w:val="clear" w:fill="FFFFFF"/>
          <w:lang w:val="en-US" w:eastAsia="zh-CN" w:bidi="ar-SA"/>
        </w:rPr>
        <w:t>重点监控项目54个，项目支出1-7月累计预算安排68257.99万元，实际执行完成46178.58万元，执行率67.65%。</w:t>
      </w:r>
    </w:p>
    <w:p>
      <w:pPr>
        <w:pStyle w:val="14"/>
        <w:keepNext w:val="0"/>
        <w:keepLines w:val="0"/>
        <w:pageBreakBefore w:val="0"/>
        <w:widowControl w:val="0"/>
        <w:kinsoku/>
        <w:wordWrap/>
        <w:overflowPunct/>
        <w:topLinePunct w:val="0"/>
        <w:autoSpaceDE/>
        <w:autoSpaceDN/>
        <w:bidi w:val="0"/>
        <w:adjustRightInd/>
        <w:snapToGrid/>
        <w:spacing w:after="0" w:line="360" w:lineRule="auto"/>
        <w:ind w:firstLine="643" w:firstLineChars="200"/>
        <w:jc w:val="left"/>
        <w:textAlignment w:val="baseline"/>
        <w:outlineLvl w:val="0"/>
        <w:rPr>
          <w:rFonts w:hint="eastAsia" w:ascii="宋体" w:hAnsi="宋体" w:eastAsia="宋体" w:cs="宋体"/>
          <w:b/>
          <w:bCs/>
          <w:i w:val="0"/>
          <w:iCs w:val="0"/>
          <w:caps w:val="0"/>
          <w:color w:val="555555"/>
          <w:spacing w:val="0"/>
          <w:kern w:val="2"/>
          <w:sz w:val="32"/>
          <w:szCs w:val="32"/>
          <w:shd w:val="clear" w:fill="FFFFFF"/>
          <w:lang w:val="en-US" w:eastAsia="zh-CN" w:bidi="ar-SA"/>
        </w:rPr>
      </w:pPr>
      <w:bookmarkStart w:id="2" w:name="_Toc16419"/>
      <w:r>
        <w:rPr>
          <w:rFonts w:hint="eastAsia" w:ascii="宋体" w:hAnsi="宋体" w:eastAsia="宋体" w:cs="宋体"/>
          <w:b/>
          <w:bCs/>
          <w:i w:val="0"/>
          <w:iCs w:val="0"/>
          <w:caps w:val="0"/>
          <w:color w:val="555555"/>
          <w:spacing w:val="0"/>
          <w:kern w:val="2"/>
          <w:sz w:val="32"/>
          <w:szCs w:val="32"/>
          <w:shd w:val="clear" w:fill="FFFFFF"/>
          <w:lang w:val="en-US" w:eastAsia="zh-CN" w:bidi="ar-SA"/>
        </w:rPr>
        <w:t>六、绩效评价管理</w:t>
      </w:r>
      <w:bookmarkEnd w:id="2"/>
    </w:p>
    <w:p>
      <w:pPr>
        <w:pStyle w:val="14"/>
        <w:keepNext w:val="0"/>
        <w:keepLines w:val="0"/>
        <w:pageBreakBefore w:val="0"/>
        <w:widowControl w:val="0"/>
        <w:kinsoku/>
        <w:wordWrap/>
        <w:overflowPunct/>
        <w:topLinePunct w:val="0"/>
        <w:autoSpaceDE/>
        <w:autoSpaceDN/>
        <w:bidi w:val="0"/>
        <w:adjustRightInd/>
        <w:snapToGrid/>
        <w:spacing w:after="0" w:line="360" w:lineRule="auto"/>
        <w:ind w:firstLine="640" w:firstLineChars="200"/>
        <w:jc w:val="left"/>
        <w:textAlignment w:val="baseline"/>
        <w:rPr>
          <w:rFonts w:hint="eastAsia" w:ascii="宋体" w:hAnsi="宋体" w:eastAsia="宋体" w:cs="宋体"/>
          <w:b w:val="0"/>
          <w:bCs w:val="0"/>
          <w:i w:val="0"/>
          <w:iCs w:val="0"/>
          <w:caps w:val="0"/>
          <w:color w:val="555555"/>
          <w:spacing w:val="0"/>
          <w:kern w:val="2"/>
          <w:sz w:val="32"/>
          <w:szCs w:val="32"/>
          <w:highlight w:val="none"/>
          <w:shd w:val="clear" w:fill="FFFFFF"/>
          <w:lang w:val="en-US" w:eastAsia="zh-CN" w:bidi="ar-SA"/>
        </w:rPr>
      </w:pPr>
      <w:r>
        <w:rPr>
          <w:rFonts w:hint="eastAsia" w:ascii="宋体" w:hAnsi="宋体" w:eastAsia="宋体" w:cs="宋体"/>
          <w:b w:val="0"/>
          <w:bCs w:val="0"/>
          <w:i w:val="0"/>
          <w:iCs w:val="0"/>
          <w:caps w:val="0"/>
          <w:color w:val="555555"/>
          <w:spacing w:val="0"/>
          <w:kern w:val="2"/>
          <w:sz w:val="32"/>
          <w:szCs w:val="32"/>
          <w:shd w:val="clear" w:fill="FFFFFF"/>
          <w:lang w:val="en-US" w:eastAsia="zh-CN" w:bidi="ar-SA"/>
        </w:rPr>
        <w:t>1.绩效自评管理。莫旗2024年度各部门（单位）预算绩效管理一体化系统（以下简称“一体化系统”）绩效自评项目共计3103个，金额924796.19万元，部门整体支出93个，金额218112.56万元。</w:t>
      </w:r>
    </w:p>
    <w:p>
      <w:pPr>
        <w:pStyle w:val="10"/>
        <w:keepNext w:val="0"/>
        <w:keepLines w:val="0"/>
        <w:pageBreakBefore w:val="0"/>
        <w:widowControl/>
        <w:suppressLineNumbers w:val="0"/>
        <w:kinsoku/>
        <w:wordWrap/>
        <w:overflowPunct/>
        <w:topLinePunct w:val="0"/>
        <w:autoSpaceDE/>
        <w:autoSpaceDN/>
        <w:bidi w:val="0"/>
        <w:spacing w:before="0" w:beforeAutospacing="0" w:after="0" w:afterAutospacing="0"/>
        <w:ind w:left="0" w:right="0" w:firstLine="0"/>
        <w:jc w:val="left"/>
        <w:rPr>
          <w:rFonts w:hint="eastAsia" w:ascii="宋体" w:hAnsi="宋体" w:eastAsia="宋体" w:cs="宋体"/>
          <w:b w:val="0"/>
          <w:bCs w:val="0"/>
          <w:i w:val="0"/>
          <w:iCs w:val="0"/>
          <w:caps w:val="0"/>
          <w:color w:val="555555"/>
          <w:spacing w:val="0"/>
          <w:kern w:val="2"/>
          <w:sz w:val="32"/>
          <w:szCs w:val="32"/>
          <w:highlight w:val="yellow"/>
          <w:shd w:val="clear" w:fill="FFFFFF"/>
          <w:lang w:val="en-US" w:eastAsia="zh-CN" w:bidi="ar-SA"/>
        </w:rPr>
      </w:pPr>
      <w:r>
        <w:rPr>
          <w:rFonts w:hint="eastAsia" w:ascii="宋体" w:hAnsi="宋体" w:eastAsia="宋体" w:cs="宋体"/>
          <w:b w:val="0"/>
          <w:bCs w:val="0"/>
          <w:i w:val="0"/>
          <w:iCs w:val="0"/>
          <w:caps w:val="0"/>
          <w:color w:val="555555"/>
          <w:spacing w:val="0"/>
          <w:kern w:val="2"/>
          <w:sz w:val="32"/>
          <w:szCs w:val="32"/>
          <w:shd w:val="clear" w:fill="FFFFFF"/>
          <w:lang w:val="en-US" w:eastAsia="zh-CN" w:bidi="ar-SA"/>
        </w:rPr>
        <w:t>2.绩效自评复核。2024年度对自评结果进行抽查核验，总计17个单位169个项目，金额26639.79万元。评定结果优160个，良6个，中3个。</w:t>
      </w:r>
    </w:p>
    <w:p>
      <w:pPr>
        <w:pStyle w:val="10"/>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firstLine="420"/>
        <w:jc w:val="left"/>
        <w:textAlignment w:val="auto"/>
        <w:rPr>
          <w:rFonts w:hint="eastAsia" w:ascii="宋体" w:hAnsi="宋体" w:eastAsia="宋体" w:cs="宋体"/>
          <w:b w:val="0"/>
          <w:bCs w:val="0"/>
          <w:i w:val="0"/>
          <w:iCs w:val="0"/>
          <w:caps w:val="0"/>
          <w:color w:val="555555"/>
          <w:spacing w:val="0"/>
          <w:kern w:val="2"/>
          <w:sz w:val="32"/>
          <w:szCs w:val="32"/>
          <w:highlight w:val="none"/>
          <w:shd w:val="clear" w:fill="FFFFFF"/>
          <w:lang w:val="en-US" w:eastAsia="zh-CN" w:bidi="ar-SA"/>
        </w:rPr>
      </w:pPr>
      <w:r>
        <w:rPr>
          <w:rFonts w:hint="eastAsia" w:ascii="宋体" w:hAnsi="宋体" w:eastAsia="宋体" w:cs="宋体"/>
          <w:b w:val="0"/>
          <w:bCs w:val="0"/>
          <w:i w:val="0"/>
          <w:iCs w:val="0"/>
          <w:caps w:val="0"/>
          <w:color w:val="555555"/>
          <w:spacing w:val="0"/>
          <w:kern w:val="2"/>
          <w:sz w:val="32"/>
          <w:szCs w:val="32"/>
          <w:highlight w:val="none"/>
          <w:shd w:val="clear" w:fill="FFFFFF"/>
          <w:lang w:val="en-US" w:eastAsia="zh-CN" w:bidi="ar-SA"/>
        </w:rPr>
        <w:t>3.重点绩效评价。选取15个预算安排的项目开展重点绩效评价，涉及财政资金12249.18万元，评价结果等级“优”14个、“良”1个。选取一个部门整体支出开展绩效评价工作，评价为“良”。</w:t>
      </w:r>
    </w:p>
    <w:p>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firstLine="643" w:firstLineChars="200"/>
        <w:jc w:val="left"/>
        <w:textAlignment w:val="auto"/>
        <w:outlineLvl w:val="0"/>
        <w:rPr>
          <w:rFonts w:hint="eastAsia" w:ascii="宋体" w:hAnsi="宋体" w:eastAsia="宋体" w:cs="宋体"/>
          <w:b/>
          <w:bCs/>
          <w:i w:val="0"/>
          <w:iCs w:val="0"/>
          <w:caps w:val="0"/>
          <w:color w:val="555555"/>
          <w:spacing w:val="0"/>
          <w:kern w:val="2"/>
          <w:sz w:val="32"/>
          <w:szCs w:val="32"/>
          <w:shd w:val="clear" w:fill="FFFFFF"/>
          <w:lang w:val="en-US" w:eastAsia="zh-CN" w:bidi="ar-SA"/>
        </w:rPr>
      </w:pPr>
      <w:bookmarkStart w:id="3" w:name="_Toc23051"/>
      <w:r>
        <w:rPr>
          <w:rFonts w:hint="eastAsia" w:ascii="宋体" w:hAnsi="宋体" w:eastAsia="宋体" w:cs="宋体"/>
          <w:b/>
          <w:bCs/>
          <w:i w:val="0"/>
          <w:iCs w:val="0"/>
          <w:caps w:val="0"/>
          <w:color w:val="555555"/>
          <w:spacing w:val="0"/>
          <w:kern w:val="2"/>
          <w:sz w:val="32"/>
          <w:szCs w:val="32"/>
          <w:shd w:val="clear" w:fill="FFFFFF"/>
          <w:lang w:val="en-US" w:eastAsia="zh-CN" w:bidi="ar-SA"/>
        </w:rPr>
        <w:t>七、全过程预算绩效结果应用</w:t>
      </w:r>
      <w:bookmarkEnd w:id="3"/>
    </w:p>
    <w:p>
      <w:pPr>
        <w:pStyle w:val="10"/>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firstLine="640" w:firstLineChars="200"/>
        <w:jc w:val="left"/>
        <w:textAlignment w:val="auto"/>
        <w:rPr>
          <w:rFonts w:hint="eastAsia" w:ascii="宋体" w:hAnsi="宋体" w:eastAsia="宋体" w:cs="宋体"/>
          <w:b w:val="0"/>
          <w:bCs w:val="0"/>
          <w:i w:val="0"/>
          <w:iCs w:val="0"/>
          <w:caps w:val="0"/>
          <w:color w:val="555555"/>
          <w:spacing w:val="0"/>
          <w:kern w:val="2"/>
          <w:sz w:val="32"/>
          <w:szCs w:val="32"/>
          <w:highlight w:val="none"/>
          <w:shd w:val="clear" w:fill="FFFFFF"/>
          <w:lang w:val="en-US" w:eastAsia="zh-CN" w:bidi="ar-SA"/>
        </w:rPr>
      </w:pPr>
      <w:r>
        <w:rPr>
          <w:rFonts w:hint="eastAsia" w:ascii="宋体" w:hAnsi="宋体" w:eastAsia="宋体" w:cs="宋体"/>
          <w:b w:val="0"/>
          <w:bCs w:val="0"/>
          <w:i w:val="0"/>
          <w:iCs w:val="0"/>
          <w:caps w:val="0"/>
          <w:color w:val="555555"/>
          <w:spacing w:val="0"/>
          <w:kern w:val="2"/>
          <w:sz w:val="32"/>
          <w:szCs w:val="32"/>
          <w:shd w:val="clear" w:fill="FFFFFF"/>
          <w:lang w:val="en-US" w:eastAsia="zh-CN" w:bidi="ar-SA"/>
        </w:rPr>
        <w:t>事前绩效评估、目标审核、</w:t>
      </w:r>
      <w:r>
        <w:rPr>
          <w:rFonts w:hint="eastAsia" w:ascii="宋体" w:hAnsi="宋体" w:eastAsia="宋体" w:cs="宋体"/>
          <w:b w:val="0"/>
          <w:bCs w:val="0"/>
          <w:i w:val="0"/>
          <w:iCs w:val="0"/>
          <w:caps w:val="0"/>
          <w:color w:val="555555"/>
          <w:spacing w:val="0"/>
          <w:kern w:val="2"/>
          <w:sz w:val="32"/>
          <w:szCs w:val="32"/>
          <w:highlight w:val="none"/>
          <w:shd w:val="clear" w:fill="FFFFFF"/>
          <w:lang w:val="en-US" w:eastAsia="zh-CN" w:bidi="ar-SA"/>
        </w:rPr>
        <w:t>绩效评价等</w:t>
      </w:r>
      <w:r>
        <w:rPr>
          <w:rFonts w:hint="eastAsia" w:ascii="宋体" w:hAnsi="宋体" w:eastAsia="宋体" w:cs="宋体"/>
          <w:b w:val="0"/>
          <w:bCs w:val="0"/>
          <w:i w:val="0"/>
          <w:iCs w:val="0"/>
          <w:caps w:val="0"/>
          <w:color w:val="555555"/>
          <w:spacing w:val="0"/>
          <w:kern w:val="2"/>
          <w:sz w:val="32"/>
          <w:szCs w:val="32"/>
          <w:shd w:val="clear" w:fill="FFFFFF"/>
          <w:lang w:val="en-US" w:eastAsia="zh-CN" w:bidi="ar-SA"/>
        </w:rPr>
        <w:t>结果应用，已通过财政发文通知各预算单位预算绩效结果，</w:t>
      </w:r>
      <w:r>
        <w:rPr>
          <w:rFonts w:hint="eastAsia" w:ascii="宋体" w:hAnsi="宋体" w:eastAsia="宋体" w:cs="宋体"/>
          <w:b w:val="0"/>
          <w:bCs w:val="0"/>
          <w:i w:val="0"/>
          <w:iCs w:val="0"/>
          <w:caps w:val="0"/>
          <w:color w:val="555555"/>
          <w:spacing w:val="0"/>
          <w:kern w:val="2"/>
          <w:sz w:val="32"/>
          <w:szCs w:val="32"/>
          <w:highlight w:val="none"/>
          <w:shd w:val="clear" w:fill="FFFFFF"/>
          <w:lang w:val="en-US" w:eastAsia="zh-CN" w:bidi="ar-SA"/>
        </w:rPr>
        <w:t>并且发文通知各预算单位进行整改以及各预算单位反馈整改意见，</w:t>
      </w:r>
      <w:r>
        <w:rPr>
          <w:rFonts w:hint="eastAsia" w:ascii="宋体" w:hAnsi="宋体" w:eastAsia="宋体" w:cs="宋体"/>
          <w:b w:val="0"/>
          <w:bCs w:val="0"/>
          <w:i w:val="0"/>
          <w:iCs w:val="0"/>
          <w:caps w:val="0"/>
          <w:color w:val="555555"/>
          <w:spacing w:val="0"/>
          <w:kern w:val="2"/>
          <w:sz w:val="32"/>
          <w:szCs w:val="32"/>
          <w:shd w:val="clear" w:fill="FFFFFF"/>
          <w:lang w:val="en-US" w:eastAsia="zh-CN" w:bidi="ar-SA"/>
        </w:rPr>
        <w:t>我局会以全过程预算绩效结果作为第二年预算安排的重要参考依据，</w:t>
      </w:r>
      <w:r>
        <w:rPr>
          <w:rFonts w:hint="eastAsia" w:ascii="宋体" w:hAnsi="宋体" w:eastAsia="宋体" w:cs="宋体"/>
          <w:b w:val="0"/>
          <w:bCs w:val="0"/>
          <w:i w:val="0"/>
          <w:iCs w:val="0"/>
          <w:caps w:val="0"/>
          <w:color w:val="555555"/>
          <w:spacing w:val="0"/>
          <w:kern w:val="2"/>
          <w:sz w:val="32"/>
          <w:szCs w:val="32"/>
          <w:highlight w:val="none"/>
          <w:shd w:val="clear" w:fill="FFFFFF"/>
          <w:lang w:val="en-US" w:eastAsia="zh-CN" w:bidi="ar-SA"/>
        </w:rPr>
        <w:t>2024年旗级目标审核、绩效监控以及绩效自评结果将作为2025年度预算编制的重要参考依据，对结论为“中”和“差”的项目，预算审核从严、资金安排从紧。</w:t>
      </w:r>
    </w:p>
    <w:p>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3" w:firstLineChars="200"/>
        <w:jc w:val="left"/>
        <w:textAlignment w:val="auto"/>
        <w:rPr>
          <w:rFonts w:hint="eastAsia" w:ascii="宋体" w:hAnsi="宋体" w:eastAsia="宋体" w:cs="宋体"/>
          <w:b/>
          <w:bCs/>
          <w:kern w:val="2"/>
          <w:sz w:val="32"/>
          <w:szCs w:val="32"/>
          <w:lang w:val="en-US" w:eastAsia="zh-CN" w:bidi="ar-SA"/>
        </w:rPr>
      </w:pPr>
      <w:r>
        <w:rPr>
          <w:rFonts w:hint="eastAsia" w:ascii="宋体" w:hAnsi="宋体" w:eastAsia="宋体" w:cs="宋体"/>
          <w:b/>
          <w:bCs/>
          <w:kern w:val="2"/>
          <w:sz w:val="32"/>
          <w:szCs w:val="32"/>
          <w:lang w:val="en-US" w:eastAsia="zh-CN" w:bidi="ar-SA"/>
        </w:rPr>
        <w:t>八、绩效信息报送人大情况</w:t>
      </w:r>
    </w:p>
    <w:p>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right="0" w:rightChars="0" w:firstLine="640" w:firstLineChars="200"/>
        <w:jc w:val="left"/>
        <w:textAlignment w:val="auto"/>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t>2024年我局继续将重要绩效目标与年度预算草案同步报送同级人大，并将绩效评价结果与决算草案同步报送同级人大参阅。</w:t>
      </w:r>
    </w:p>
    <w:p>
      <w:pPr>
        <w:pStyle w:val="14"/>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640" w:firstLineChars="200"/>
        <w:jc w:val="left"/>
        <w:textAlignment w:val="baseline"/>
        <w:rPr>
          <w:rFonts w:hint="eastAsia" w:ascii="宋体" w:hAnsi="宋体" w:eastAsia="宋体" w:cs="宋体"/>
          <w:b w:val="0"/>
          <w:bCs w:val="0"/>
          <w:i w:val="0"/>
          <w:iCs w:val="0"/>
          <w:caps w:val="0"/>
          <w:color w:val="555555"/>
          <w:spacing w:val="0"/>
          <w:kern w:val="2"/>
          <w:sz w:val="32"/>
          <w:szCs w:val="32"/>
          <w:shd w:val="clear" w:fill="FFFFFF"/>
          <w:lang w:val="en-US" w:eastAsia="zh-CN" w:bidi="ar-SA"/>
        </w:rPr>
      </w:pPr>
      <w:bookmarkStart w:id="4" w:name="_GoBack"/>
      <w:bookmarkEnd w:id="4"/>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00"/>
      </w:pPr>
      <w:r>
        <w:separator/>
      </w:r>
    </w:p>
  </w:endnote>
  <w:endnote w:type="continuationSeparator" w:id="1">
    <w:p>
      <w:pPr>
        <w:spacing w:line="240" w:lineRule="auto"/>
        <w:ind w:firstLine="60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00"/>
      </w:pPr>
      <w:r>
        <w:separator/>
      </w:r>
    </w:p>
  </w:footnote>
  <w:footnote w:type="continuationSeparator" w:id="1">
    <w:p>
      <w:pPr>
        <w:spacing w:line="360" w:lineRule="auto"/>
        <w:ind w:firstLine="60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jZTQwYjNhZDA4YjY1NmE0ZmI1MTVlZTM2ZjBhNTcifQ=="/>
  </w:docVars>
  <w:rsids>
    <w:rsidRoot w:val="152E4C38"/>
    <w:rsid w:val="03C350C4"/>
    <w:rsid w:val="05CE0B13"/>
    <w:rsid w:val="08164F5F"/>
    <w:rsid w:val="09F03B75"/>
    <w:rsid w:val="0D5C45C0"/>
    <w:rsid w:val="0DE93CA0"/>
    <w:rsid w:val="101C546C"/>
    <w:rsid w:val="10E105BD"/>
    <w:rsid w:val="113D2012"/>
    <w:rsid w:val="116C6AB0"/>
    <w:rsid w:val="124E72A0"/>
    <w:rsid w:val="14DD7852"/>
    <w:rsid w:val="152754B3"/>
    <w:rsid w:val="152E4C38"/>
    <w:rsid w:val="191875F2"/>
    <w:rsid w:val="19B74F71"/>
    <w:rsid w:val="1B043BA1"/>
    <w:rsid w:val="1BAA23EF"/>
    <w:rsid w:val="1BCB6238"/>
    <w:rsid w:val="1CEE132F"/>
    <w:rsid w:val="1DB23D88"/>
    <w:rsid w:val="1E0245F3"/>
    <w:rsid w:val="1E0653C3"/>
    <w:rsid w:val="1E0F3028"/>
    <w:rsid w:val="1E461337"/>
    <w:rsid w:val="1E553B84"/>
    <w:rsid w:val="1ED241B0"/>
    <w:rsid w:val="1F833C2E"/>
    <w:rsid w:val="1F9A2BCE"/>
    <w:rsid w:val="22007147"/>
    <w:rsid w:val="26176B56"/>
    <w:rsid w:val="27DC1F8E"/>
    <w:rsid w:val="28247DDA"/>
    <w:rsid w:val="28D93EA4"/>
    <w:rsid w:val="2BDF043E"/>
    <w:rsid w:val="2C680433"/>
    <w:rsid w:val="2EF92079"/>
    <w:rsid w:val="315C190C"/>
    <w:rsid w:val="3264199E"/>
    <w:rsid w:val="33C26DC0"/>
    <w:rsid w:val="3526331C"/>
    <w:rsid w:val="357C0AAC"/>
    <w:rsid w:val="35895846"/>
    <w:rsid w:val="36DF1773"/>
    <w:rsid w:val="39E6508D"/>
    <w:rsid w:val="3AB341F2"/>
    <w:rsid w:val="3C577B7C"/>
    <w:rsid w:val="3D4C55B7"/>
    <w:rsid w:val="40C00A97"/>
    <w:rsid w:val="42202ED5"/>
    <w:rsid w:val="432E153D"/>
    <w:rsid w:val="440F5161"/>
    <w:rsid w:val="450A2CB0"/>
    <w:rsid w:val="46B36C86"/>
    <w:rsid w:val="4856502A"/>
    <w:rsid w:val="485E62D4"/>
    <w:rsid w:val="48764364"/>
    <w:rsid w:val="49515611"/>
    <w:rsid w:val="499A554C"/>
    <w:rsid w:val="49A72BF3"/>
    <w:rsid w:val="4A9F106C"/>
    <w:rsid w:val="4AB80380"/>
    <w:rsid w:val="4B1B7A81"/>
    <w:rsid w:val="4B7B4293"/>
    <w:rsid w:val="4B9D30D2"/>
    <w:rsid w:val="4C286E40"/>
    <w:rsid w:val="4D4C7640"/>
    <w:rsid w:val="502B5E12"/>
    <w:rsid w:val="50F7642A"/>
    <w:rsid w:val="51053BF3"/>
    <w:rsid w:val="516401E3"/>
    <w:rsid w:val="51710FD9"/>
    <w:rsid w:val="51937CD8"/>
    <w:rsid w:val="57B509A3"/>
    <w:rsid w:val="58D80AA9"/>
    <w:rsid w:val="5A4F646B"/>
    <w:rsid w:val="5AB0697E"/>
    <w:rsid w:val="5B856C33"/>
    <w:rsid w:val="5D040B14"/>
    <w:rsid w:val="5E3512E2"/>
    <w:rsid w:val="5F98502F"/>
    <w:rsid w:val="63CA286B"/>
    <w:rsid w:val="64622CD4"/>
    <w:rsid w:val="659D1FEC"/>
    <w:rsid w:val="66A57B39"/>
    <w:rsid w:val="676E418D"/>
    <w:rsid w:val="678E4C9F"/>
    <w:rsid w:val="67C938CC"/>
    <w:rsid w:val="67F81964"/>
    <w:rsid w:val="68BE73F9"/>
    <w:rsid w:val="690E4206"/>
    <w:rsid w:val="6AAA2146"/>
    <w:rsid w:val="6AF6040F"/>
    <w:rsid w:val="6D8223FC"/>
    <w:rsid w:val="6E9006FC"/>
    <w:rsid w:val="702A6D7B"/>
    <w:rsid w:val="709A7A5C"/>
    <w:rsid w:val="73306456"/>
    <w:rsid w:val="74016BAD"/>
    <w:rsid w:val="750162FC"/>
    <w:rsid w:val="75F927F2"/>
    <w:rsid w:val="767B290A"/>
    <w:rsid w:val="7B2A5CF7"/>
    <w:rsid w:val="7B937ECA"/>
    <w:rsid w:val="7BEB3EE2"/>
    <w:rsid w:val="7BF26821"/>
    <w:rsid w:val="7D4854C2"/>
    <w:rsid w:val="7D9A1E8A"/>
    <w:rsid w:val="7E875323"/>
    <w:rsid w:val="7F943B2D"/>
    <w:rsid w:val="7FB60923"/>
    <w:rsid w:val="7FD446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99"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auto"/>
      <w:ind w:firstLine="200" w:firstLineChars="200"/>
      <w:jc w:val="both"/>
    </w:pPr>
    <w:rPr>
      <w:rFonts w:ascii="Times New Roman" w:hAnsi="Times New Roman" w:eastAsia="仿宋_GB2312" w:cs="Times New Roman"/>
      <w:kern w:val="2"/>
      <w:sz w:val="30"/>
      <w:szCs w:val="24"/>
      <w:lang w:val="en-US" w:eastAsia="zh-CN" w:bidi="ar-SA"/>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adjustRightInd w:val="0"/>
      <w:spacing w:before="60" w:after="60" w:line="312" w:lineRule="atLeast"/>
      <w:ind w:firstLine="420"/>
      <w:textAlignment w:val="baseline"/>
    </w:pPr>
    <w:rPr>
      <w:kern w:val="0"/>
      <w:sz w:val="24"/>
    </w:rPr>
  </w:style>
  <w:style w:type="paragraph" w:styleId="3">
    <w:name w:val="Body Text"/>
    <w:basedOn w:val="1"/>
    <w:next w:val="4"/>
    <w:unhideWhenUsed/>
    <w:qFormat/>
    <w:uiPriority w:val="99"/>
    <w:pPr>
      <w:spacing w:after="120"/>
    </w:pPr>
    <w:rPr>
      <w:rFonts w:hint="default" w:ascii="Calibri" w:hAnsi="Calibri"/>
      <w:sz w:val="21"/>
    </w:rPr>
  </w:style>
  <w:style w:type="paragraph" w:styleId="4">
    <w:name w:val="Date"/>
    <w:basedOn w:val="1"/>
    <w:next w:val="1"/>
    <w:unhideWhenUsed/>
    <w:qFormat/>
    <w:uiPriority w:val="99"/>
    <w:pPr>
      <w:ind w:left="100" w:leftChars="2500"/>
    </w:pPr>
  </w:style>
  <w:style w:type="paragraph" w:styleId="5">
    <w:name w:val="Body Text Indent"/>
    <w:basedOn w:val="1"/>
    <w:qFormat/>
    <w:uiPriority w:val="0"/>
    <w:pPr>
      <w:spacing w:after="120" w:afterLines="0" w:afterAutospacing="0"/>
      <w:ind w:left="420" w:leftChars="2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Body Text First Indent 2"/>
    <w:basedOn w:val="5"/>
    <w:qFormat/>
    <w:uiPriority w:val="0"/>
    <w:pPr>
      <w:ind w:firstLine="420" w:firstLineChars="200"/>
    </w:pPr>
  </w:style>
  <w:style w:type="paragraph" w:customStyle="1" w:styleId="14">
    <w:name w:val="BodyText"/>
    <w:basedOn w:val="1"/>
    <w:qFormat/>
    <w:uiPriority w:val="0"/>
    <w:pPr>
      <w:spacing w:before="0" w:after="120" w:line="240" w:lineRule="auto"/>
      <w:ind w:left="0" w:right="0"/>
      <w:jc w:val="both"/>
      <w:textAlignment w:val="baseline"/>
    </w:pPr>
    <w:rPr>
      <w:rFonts w:ascii="Calibri" w:hAnsi="Calibri" w:eastAsia="宋体"/>
      <w:kern w:val="2"/>
      <w:sz w:val="21"/>
      <w:szCs w:val="24"/>
      <w:lang w:val="en-US" w:eastAsia="zh-CN"/>
    </w:rPr>
  </w:style>
  <w:style w:type="character" w:customStyle="1" w:styleId="15">
    <w:name w:val="font11"/>
    <w:basedOn w:val="13"/>
    <w:qFormat/>
    <w:uiPriority w:val="0"/>
    <w:rPr>
      <w:rFonts w:hint="eastAsia" w:ascii="宋体" w:hAnsi="宋体" w:eastAsia="宋体" w:cs="宋体"/>
      <w:b/>
      <w:bCs/>
      <w:color w:val="000000"/>
      <w:sz w:val="32"/>
      <w:szCs w:val="32"/>
      <w:u w:val="none"/>
    </w:rPr>
  </w:style>
  <w:style w:type="character" w:customStyle="1" w:styleId="16">
    <w:name w:val="font31"/>
    <w:basedOn w:val="13"/>
    <w:qFormat/>
    <w:uiPriority w:val="0"/>
    <w:rPr>
      <w:rFonts w:hint="eastAsia" w:ascii="宋体" w:hAnsi="宋体" w:eastAsia="宋体" w:cs="宋体"/>
      <w:b/>
      <w:bCs/>
      <w:color w:val="000000"/>
      <w:sz w:val="24"/>
      <w:szCs w:val="24"/>
      <w:u w:val="none"/>
    </w:rPr>
  </w:style>
  <w:style w:type="character" w:customStyle="1" w:styleId="17">
    <w:name w:val="font71"/>
    <w:basedOn w:val="13"/>
    <w:qFormat/>
    <w:uiPriority w:val="0"/>
    <w:rPr>
      <w:rFonts w:hint="eastAsia" w:ascii="宋体" w:hAnsi="宋体" w:eastAsia="宋体" w:cs="宋体"/>
      <w:b/>
      <w:bCs/>
      <w:color w:val="000000"/>
      <w:sz w:val="18"/>
      <w:szCs w:val="18"/>
      <w:u w:val="none"/>
    </w:rPr>
  </w:style>
  <w:style w:type="paragraph" w:customStyle="1" w:styleId="18">
    <w:name w:val="WPSOffice手动目录 1"/>
    <w:qFormat/>
    <w:uiPriority w:val="0"/>
    <w:pPr>
      <w:ind w:leftChars="0"/>
    </w:pPr>
    <w:rPr>
      <w:rFonts w:ascii="Times New Roman" w:hAnsi="Times New Roman" w:eastAsia="宋体" w:cs="Times New Roman"/>
      <w:sz w:val="20"/>
      <w:szCs w:val="20"/>
    </w:rPr>
  </w:style>
  <w:style w:type="paragraph" w:customStyle="1" w:styleId="19">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1264</Words>
  <Characters>1451</Characters>
  <Lines>0</Lines>
  <Paragraphs>0</Paragraphs>
  <TotalTime>10</TotalTime>
  <ScaleCrop>false</ScaleCrop>
  <LinksUpToDate>false</LinksUpToDate>
  <CharactersWithSpaces>1451</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2023-11-13T00:53:00Z</dcterms:created>
  <dc:creator>武敬轩</dc:creator>
  <cp:lastModifiedBy>Administrator</cp:lastModifiedBy>
  <dcterms:modified xsi:type="dcterms:W3CDTF">2025-03-04T03:54:52Z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E623E274E6F64C069712107CB0937FED_13</vt:lpwstr>
  </property>
</Properties>
</file>