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2024年转移支付情况说明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2025年预算中，上级补助我旗资金共计343,156万元，其中：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税收返还4,707万元；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般性转移支付收入361,175万元，其中：均衡性转移支付90,719万元，重点生态功能区转移支付5,800万元，民族地区转移支付9,566万元，欠发达地区转移支付收入5,383万元，县级基本财力保障机制奖补11,703万元，固定数额补助26,886万元，产粮大县奖励24,883万元，结算补助收入1,568万元，共同事权转移支付174,267万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3.专项转移支付收入68万元，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专项转移支付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68万元，按照指标下达要求，分配用于档案信息化工作保障和激励奖补专项资金40万元，乌兰牧骑演出补助资金5元，老放映员生活困难补贴资金23万元。</w:t>
      </w:r>
      <w:bookmarkStart w:id="0" w:name="_GoBack"/>
      <w:bookmarkEnd w:id="0"/>
    </w:p>
    <w:p>
      <w:pPr>
        <w:numPr>
          <w:ilvl w:val="0"/>
          <w:numId w:val="0"/>
        </w:num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14EE38C"/>
    <w:multiLevelType w:val="singleLevel"/>
    <w:tmpl w:val="E14EE38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4F8"/>
    <w:rsid w:val="01042D0B"/>
    <w:rsid w:val="086825E4"/>
    <w:rsid w:val="16965819"/>
    <w:rsid w:val="16DA06BB"/>
    <w:rsid w:val="204E2BC6"/>
    <w:rsid w:val="26D63185"/>
    <w:rsid w:val="27004DCE"/>
    <w:rsid w:val="2B933842"/>
    <w:rsid w:val="32832469"/>
    <w:rsid w:val="497D0205"/>
    <w:rsid w:val="58C660DC"/>
    <w:rsid w:val="59734762"/>
    <w:rsid w:val="60B379C3"/>
    <w:rsid w:val="63080A09"/>
    <w:rsid w:val="71125EC1"/>
    <w:rsid w:val="799D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99"/>
    <w:pPr>
      <w:widowControl w:val="0"/>
      <w:adjustRightInd/>
      <w:snapToGrid/>
      <w:spacing w:after="120" w:line="480" w:lineRule="auto"/>
      <w:jc w:val="both"/>
    </w:pPr>
    <w:rPr>
      <w:rFonts w:ascii="Calibri" w:hAnsi="Calibri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2022-03-01T03:10:00Z</dcterms:created>
  <dc:creator>Administrator</dc:creator>
  <cp:lastModifiedBy>何辉</cp:lastModifiedBy>
  <dcterms:modified xsi:type="dcterms:W3CDTF">2025-03-03T07:17:41Z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