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25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年莫旗地方财政预算公开说明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按照《中华人民共和国预算法》及地方政府预算公开相关要求，现就20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年莫旗地方政府预算公开相关内容说明如下：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一、20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25</w:t>
      </w:r>
      <w:r>
        <w:rPr>
          <w:rFonts w:hint="eastAsia" w:ascii="黑体" w:hAnsi="黑体" w:eastAsia="黑体" w:cs="黑体"/>
          <w:sz w:val="32"/>
          <w:szCs w:val="32"/>
        </w:rPr>
        <w:t>年本级一般公共预算收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支</w:t>
      </w:r>
      <w:r>
        <w:rPr>
          <w:rFonts w:hint="eastAsia" w:ascii="黑体" w:hAnsi="黑体" w:eastAsia="黑体" w:cs="黑体"/>
          <w:sz w:val="32"/>
          <w:szCs w:val="32"/>
        </w:rPr>
        <w:t>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根据</w:t>
      </w:r>
      <w:r>
        <w:rPr>
          <w:rFonts w:hint="eastAsia" w:ascii="仿宋" w:hAnsi="仿宋" w:eastAsia="仿宋" w:cs="仿宋"/>
          <w:sz w:val="32"/>
          <w:szCs w:val="32"/>
        </w:rPr>
        <w:t>莫旗实际，综合分析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收支增减因素</w:t>
      </w:r>
      <w:r>
        <w:rPr>
          <w:rFonts w:hint="eastAsia" w:ascii="仿宋" w:hAnsi="仿宋" w:eastAsia="仿宋" w:cs="仿宋"/>
          <w:sz w:val="32"/>
          <w:szCs w:val="32"/>
        </w:rPr>
        <w:t>，经测算，20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年旗本级一般公共预算收入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27,352</w:t>
      </w:r>
      <w:r>
        <w:rPr>
          <w:rFonts w:hint="eastAsia" w:ascii="仿宋" w:hAnsi="仿宋" w:eastAsia="仿宋" w:cs="仿宋"/>
          <w:sz w:val="32"/>
          <w:szCs w:val="32"/>
        </w:rPr>
        <w:t>万元，较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,868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16.48%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其中：税收收入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10,679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1,868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下降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14.88%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非税收入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673</w:t>
      </w:r>
      <w:r>
        <w:rPr>
          <w:rFonts w:hint="eastAsia" w:ascii="仿宋" w:hAnsi="仿宋" w:eastAsia="仿宋" w:cs="仿宋"/>
          <w:sz w:val="32"/>
          <w:szCs w:val="32"/>
        </w:rPr>
        <w:t>万元，较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上年</w:t>
      </w:r>
      <w:r>
        <w:rPr>
          <w:rFonts w:hint="eastAsia" w:ascii="仿宋" w:hAnsi="仿宋" w:eastAsia="仿宋" w:cs="仿宋"/>
          <w:sz w:val="32"/>
          <w:szCs w:val="32"/>
        </w:rPr>
        <w:t>决算数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530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highlight w:val="none"/>
          <w:lang w:val="en-US" w:eastAsia="zh-CN"/>
        </w:rPr>
        <w:t>下降17.47%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年旗本级一般公共预算支出安排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422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highlight w:val="none"/>
          <w:lang w:val="en-US" w:eastAsia="zh-CN"/>
        </w:rPr>
        <w:t>,006</w:t>
      </w:r>
      <w:r>
        <w:rPr>
          <w:rFonts w:hint="eastAsia" w:ascii="仿宋" w:hAnsi="仿宋" w:eastAsia="仿宋" w:cs="仿宋"/>
          <w:sz w:val="32"/>
          <w:szCs w:val="32"/>
        </w:rPr>
        <w:t>万元，包括：基本支出预算安排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135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261</w:t>
      </w:r>
      <w:r>
        <w:rPr>
          <w:rFonts w:hint="eastAsia" w:ascii="仿宋" w:hAnsi="仿宋" w:eastAsia="仿宋" w:cs="仿宋"/>
          <w:sz w:val="32"/>
          <w:szCs w:val="32"/>
        </w:rPr>
        <w:t>万元，较上年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43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874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24.49</w:t>
      </w:r>
      <w:r>
        <w:rPr>
          <w:rFonts w:hint="eastAsia" w:ascii="仿宋" w:hAnsi="仿宋" w:eastAsia="仿宋" w:cs="仿宋"/>
          <w:sz w:val="32"/>
          <w:szCs w:val="32"/>
        </w:rPr>
        <w:t>%，占总财力的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32.05</w:t>
      </w:r>
      <w:r>
        <w:rPr>
          <w:rFonts w:hint="eastAsia" w:ascii="仿宋" w:hAnsi="仿宋" w:eastAsia="仿宋" w:cs="仿宋"/>
          <w:sz w:val="32"/>
          <w:szCs w:val="32"/>
        </w:rPr>
        <w:t>%；项目支出安排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286,745</w:t>
      </w:r>
      <w:r>
        <w:rPr>
          <w:rFonts w:hint="eastAsia" w:ascii="仿宋" w:hAnsi="仿宋" w:eastAsia="仿宋" w:cs="仿宋"/>
          <w:sz w:val="32"/>
          <w:szCs w:val="32"/>
        </w:rPr>
        <w:t>万元，较上年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减少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363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下降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3.16</w:t>
      </w:r>
      <w:r>
        <w:rPr>
          <w:rFonts w:hint="eastAsia" w:ascii="仿宋" w:hAnsi="仿宋" w:eastAsia="仿宋" w:cs="仿宋"/>
          <w:sz w:val="32"/>
          <w:szCs w:val="32"/>
        </w:rPr>
        <w:t>%，占总财力的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67.95</w:t>
      </w:r>
      <w:r>
        <w:rPr>
          <w:rFonts w:hint="eastAsia" w:ascii="仿宋" w:hAnsi="仿宋" w:eastAsia="仿宋" w:cs="仿宋"/>
          <w:sz w:val="32"/>
          <w:szCs w:val="32"/>
        </w:rPr>
        <w:t>%，主要为提前下达市专项及民生性、政策性和考核性支出。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二、转移性支付情况</w:t>
      </w:r>
    </w:p>
    <w:p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（一）转移支付情况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年，年初预算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转移支付</w:t>
      </w:r>
      <w:r>
        <w:rPr>
          <w:rFonts w:hint="eastAsia" w:ascii="仿宋" w:hAnsi="仿宋" w:eastAsia="仿宋" w:cs="仿宋"/>
          <w:sz w:val="32"/>
          <w:szCs w:val="32"/>
        </w:rPr>
        <w:t>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394,654</w:t>
      </w:r>
      <w:r>
        <w:rPr>
          <w:rFonts w:hint="eastAsia" w:ascii="仿宋" w:hAnsi="仿宋" w:eastAsia="仿宋" w:cs="仿宋"/>
          <w:sz w:val="32"/>
          <w:szCs w:val="32"/>
        </w:rPr>
        <w:t>万元，其中：税收返还性收入4,707万元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</w:rPr>
        <w:t>一般性转移支付收入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350,775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专项转移支付收入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</w:t>
      </w:r>
      <w:r>
        <w:rPr>
          <w:rFonts w:hint="eastAsia" w:ascii="仿宋" w:hAnsi="仿宋" w:eastAsia="仿宋" w:cs="仿宋"/>
          <w:sz w:val="32"/>
          <w:szCs w:val="32"/>
        </w:rPr>
        <w:t>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。交易指标转移性收入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10,400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调入资金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17,020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上年结转</w:t>
      </w:r>
      <w:r>
        <w:rPr>
          <w:rFonts w:hint="eastAsia" w:ascii="仿宋" w:hAnsi="仿宋" w:eastAsia="仿宋" w:cs="仿宋"/>
          <w:sz w:val="32"/>
          <w:szCs w:val="32"/>
        </w:rPr>
        <w:t>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11,684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（二）转移支付安排情况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一般公共预算支出按资金来源划分，年初预算财力安排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382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902</w:t>
      </w:r>
      <w:r>
        <w:rPr>
          <w:rFonts w:hint="eastAsia" w:ascii="仿宋" w:hAnsi="仿宋" w:eastAsia="仿宋" w:cs="仿宋"/>
          <w:sz w:val="32"/>
          <w:szCs w:val="32"/>
        </w:rPr>
        <w:t>万元，专项转移支付收入安排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</w:t>
      </w:r>
      <w:r>
        <w:rPr>
          <w:rFonts w:hint="eastAsia" w:ascii="仿宋" w:hAnsi="仿宋" w:eastAsia="仿宋" w:cs="仿宋"/>
          <w:sz w:val="32"/>
          <w:szCs w:val="32"/>
        </w:rPr>
        <w:t>万元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，动用上年结转安排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684万元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专项转移支付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68万元，按照指标下达要求，分配用于档案信息化工作保障和激励奖补专项资金40万元，乌兰牧骑演出补助资金5元，老放映员生活困难补贴资金23万元。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上年结转资金11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684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万元，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按照指标下达要求，主要分配用于衔接资金375万元，科技创新政策兑现资金14万元，农村人居环境整治794万元，中央基建投资金1,400万元，外经贸发展专项资金500万元，中央农业防灾减灾资金52万元。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三、政府性基金预算收支情况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年，旗本级政府性基金收入预算安排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75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,632</w:t>
      </w:r>
      <w:r>
        <w:rPr>
          <w:rFonts w:hint="eastAsia" w:ascii="仿宋" w:hAnsi="仿宋" w:eastAsia="仿宋" w:cs="仿宋"/>
          <w:sz w:val="32"/>
          <w:szCs w:val="32"/>
        </w:rPr>
        <w:t>万元，加上上级提前下达基金转移支付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380</w:t>
      </w:r>
      <w:r>
        <w:rPr>
          <w:rFonts w:hint="eastAsia" w:ascii="仿宋" w:hAnsi="仿宋" w:eastAsia="仿宋" w:cs="仿宋"/>
          <w:sz w:val="32"/>
          <w:szCs w:val="32"/>
        </w:rPr>
        <w:t>万元，结转上年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96</w:t>
      </w:r>
      <w:r>
        <w:rPr>
          <w:rFonts w:hint="eastAsia" w:ascii="仿宋" w:hAnsi="仿宋" w:eastAsia="仿宋" w:cs="仿宋"/>
          <w:sz w:val="32"/>
          <w:szCs w:val="32"/>
        </w:rPr>
        <w:t>,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674</w:t>
      </w:r>
      <w:r>
        <w:rPr>
          <w:rFonts w:hint="eastAsia" w:ascii="仿宋" w:hAnsi="仿宋" w:eastAsia="仿宋" w:cs="仿宋"/>
          <w:sz w:val="32"/>
          <w:szCs w:val="32"/>
        </w:rPr>
        <w:t>万元，旗本级政府性基金预算财力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,686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较上年增加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140,074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万元，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下降429.52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%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与收入相对应，按照基金支出项目需求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以及指标下达要求</w:t>
      </w:r>
      <w:r>
        <w:rPr>
          <w:rFonts w:hint="eastAsia" w:ascii="仿宋" w:hAnsi="仿宋" w:eastAsia="仿宋" w:cs="仿宋"/>
          <w:sz w:val="32"/>
          <w:szCs w:val="32"/>
        </w:rPr>
        <w:t>安排相关支出，主要用于债务化解、基础设施配套费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</w:rPr>
        <w:t>污水处理费安排的支出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以及农林水及交通运输方面支出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四、社保基金预算收入情况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按照统筹级次，医疗保险基金、城乡居民基本养老保险由市级统筹，工伤保险通过自治区调剂金实行省级统筹，企业职工基本养老保险实行统收统支形式的省级统筹，因此我旗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社会保险基金收支预算只安排机关事业单位基本养老保险。收入支出预算安排均为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38,257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zh-CN"/>
        </w:rPr>
        <w:t>万元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五、国有资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本</w:t>
      </w:r>
      <w:r>
        <w:rPr>
          <w:rFonts w:hint="eastAsia" w:ascii="黑体" w:hAnsi="黑体" w:eastAsia="黑体" w:cs="黑体"/>
          <w:sz w:val="32"/>
          <w:szCs w:val="32"/>
        </w:rPr>
        <w:t>经营收支预算情况</w:t>
      </w:r>
    </w:p>
    <w:p>
      <w:pPr>
        <w:spacing w:line="576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pacing w:val="-6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20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年，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国有资本经营收入预算安排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37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万元，其中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zh-CN"/>
        </w:rPr>
        <w:t>旗本级收入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万元,收入来源是国有企业预缴利润收入；上年结转专项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万元。202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年国</w:t>
      </w:r>
      <w:r>
        <w:rPr>
          <w:rFonts w:hint="eastAsia" w:ascii="仿宋_GB2312" w:hAnsi="仿宋_GB2312" w:eastAsia="仿宋_GB2312" w:cs="仿宋_GB2312"/>
          <w:color w:val="000000"/>
          <w:spacing w:val="-6"/>
          <w:kern w:val="0"/>
          <w:sz w:val="32"/>
          <w:szCs w:val="32"/>
        </w:rPr>
        <w:t>有资本经营支出安排3</w:t>
      </w:r>
      <w:r>
        <w:rPr>
          <w:rFonts w:hint="eastAsia" w:ascii="仿宋_GB2312" w:hAnsi="仿宋_GB2312" w:eastAsia="仿宋_GB2312" w:cs="仿宋_GB2312"/>
          <w:color w:val="000000"/>
          <w:spacing w:val="-6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000000"/>
          <w:spacing w:val="-6"/>
          <w:kern w:val="0"/>
          <w:sz w:val="32"/>
          <w:szCs w:val="32"/>
        </w:rPr>
        <w:t>万元，本级收入用于补充国有企业注册资本金，结转专项按照规定用途使用。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六、地方政府举借债务情况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76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val="en-US" w:eastAsia="zh-CN"/>
        </w:rPr>
        <w:t>2024年，自治区财政厅核定我旗政府债务限额271,317万元（其中：一般债务限额174,657万元、专项债务限额96,660万元），新增政府债务限额41,617万元（一般债务限额5,057万元、专项债务限额36,560万元）。全旗政府债务余额267,830万元（其中：一般债务余额171,519万元、专项债务余额96,311万元），总体控制在自治区财政厅核定我旗限额内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七、莫旗本级一般公共预算“三公”经费预算安排情况</w:t>
      </w:r>
    </w:p>
    <w:p>
      <w:pPr>
        <w:ind w:firstLine="640" w:firstLineChars="200"/>
        <w:rPr>
          <w:rFonts w:ascii="仿宋_GB2312" w:hAnsi="微软雅黑" w:eastAsia="仿宋_GB2312" w:cs="宋体"/>
          <w:kern w:val="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24</w:t>
      </w:r>
      <w:r>
        <w:rPr>
          <w:rFonts w:hint="eastAsia" w:ascii="仿宋" w:hAnsi="仿宋" w:eastAsia="仿宋" w:cs="仿宋"/>
          <w:sz w:val="32"/>
          <w:szCs w:val="32"/>
        </w:rPr>
        <w:t>年，莫旗本级一般公共预算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“三公”经费预算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安排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898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万元，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比上年减少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万元，同比下降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%，继续保持只减不增。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eastAsia="zh-CN"/>
        </w:rPr>
        <w:t>其中：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公务接待费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204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万元，比上年减少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8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万元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,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同比下降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%；公务用车购置及运行费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694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万元，比上年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eastAsia="zh-CN"/>
        </w:rPr>
        <w:t>增加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万元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,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同比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eastAsia="zh-CN"/>
        </w:rPr>
        <w:t>增长</w:t>
      </w:r>
      <w:r>
        <w:rPr>
          <w:rFonts w:hint="eastAsia" w:ascii="仿宋_GB2312" w:hAnsi="微软雅黑" w:eastAsia="仿宋_GB2312" w:cs="宋体"/>
          <w:kern w:val="0"/>
          <w:sz w:val="32"/>
          <w:szCs w:val="32"/>
          <w:lang w:val="en-US" w:eastAsia="zh-CN"/>
        </w:rPr>
        <w:t>0.1</w:t>
      </w:r>
      <w:r>
        <w:rPr>
          <w:rFonts w:hint="eastAsia" w:ascii="仿宋_GB2312" w:hAnsi="微软雅黑" w:eastAsia="仿宋_GB2312" w:cs="宋体"/>
          <w:kern w:val="0"/>
          <w:sz w:val="32"/>
          <w:szCs w:val="32"/>
        </w:rPr>
        <w:t>%。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八、政府采购预算情况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年，政府采购预算安排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1,025</w:t>
      </w:r>
      <w:r>
        <w:rPr>
          <w:rFonts w:hint="eastAsia" w:ascii="仿宋" w:hAnsi="仿宋" w:eastAsia="仿宋" w:cs="仿宋"/>
          <w:sz w:val="32"/>
          <w:szCs w:val="32"/>
        </w:rPr>
        <w:t>万元，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主要</w:t>
      </w:r>
      <w:r>
        <w:rPr>
          <w:rFonts w:hint="eastAsia" w:ascii="仿宋" w:hAnsi="仿宋" w:eastAsia="仿宋" w:cs="仿宋"/>
          <w:sz w:val="32"/>
          <w:szCs w:val="32"/>
        </w:rPr>
        <w:t>用于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办公物品采购、动物疫病防治服务等方面支出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九、财政衔接资金安排及分配情况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年初预算共计安排衔接推进乡村振兴资金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7,754万元，已分配到项目主管部门农牧和科技局及民族事务委员会，按级次划分：中央财政衔接推进乡村振兴补助资金5,383万元，旗本级安排2,371万元。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十、重点项目绩效目标说明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因财力有限，年初预算未安排重点项目，所以无重点项目绩效目标。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《莫旗财政专项扶贫资金管理办法》（莫财字[2017]264号）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此说明。</w:t>
      </w:r>
    </w:p>
    <w:p>
      <w:pPr>
        <w:ind w:firstLine="4480" w:firstLineChars="14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22A50"/>
    <w:rsid w:val="010C7813"/>
    <w:rsid w:val="01120F21"/>
    <w:rsid w:val="014F5652"/>
    <w:rsid w:val="02B745BB"/>
    <w:rsid w:val="030B4AE9"/>
    <w:rsid w:val="033F41BF"/>
    <w:rsid w:val="049B4957"/>
    <w:rsid w:val="050F0F52"/>
    <w:rsid w:val="051628F2"/>
    <w:rsid w:val="05513CC8"/>
    <w:rsid w:val="061474A9"/>
    <w:rsid w:val="06357D08"/>
    <w:rsid w:val="08530458"/>
    <w:rsid w:val="092F2D67"/>
    <w:rsid w:val="0A565FA5"/>
    <w:rsid w:val="0ACD4016"/>
    <w:rsid w:val="0AD56406"/>
    <w:rsid w:val="0B080F48"/>
    <w:rsid w:val="0B771433"/>
    <w:rsid w:val="0BCF2A48"/>
    <w:rsid w:val="0DFF421B"/>
    <w:rsid w:val="0FD641FF"/>
    <w:rsid w:val="114C32A2"/>
    <w:rsid w:val="13612400"/>
    <w:rsid w:val="139624C9"/>
    <w:rsid w:val="14690575"/>
    <w:rsid w:val="14D27FB0"/>
    <w:rsid w:val="1579554E"/>
    <w:rsid w:val="15AD6823"/>
    <w:rsid w:val="15DE35BB"/>
    <w:rsid w:val="168645C0"/>
    <w:rsid w:val="174526BB"/>
    <w:rsid w:val="17D02B52"/>
    <w:rsid w:val="17DE3E7E"/>
    <w:rsid w:val="1838531C"/>
    <w:rsid w:val="18B94948"/>
    <w:rsid w:val="191E6016"/>
    <w:rsid w:val="19BF1CFD"/>
    <w:rsid w:val="1B1B3A44"/>
    <w:rsid w:val="1D1A4543"/>
    <w:rsid w:val="1E1D6442"/>
    <w:rsid w:val="1EB31FD1"/>
    <w:rsid w:val="1ECC368C"/>
    <w:rsid w:val="1FFF369D"/>
    <w:rsid w:val="205E7064"/>
    <w:rsid w:val="21FA1532"/>
    <w:rsid w:val="22FD7171"/>
    <w:rsid w:val="24072B09"/>
    <w:rsid w:val="2470169E"/>
    <w:rsid w:val="259719A2"/>
    <w:rsid w:val="25E8585D"/>
    <w:rsid w:val="276C0662"/>
    <w:rsid w:val="290D7E08"/>
    <w:rsid w:val="298E115C"/>
    <w:rsid w:val="299579A0"/>
    <w:rsid w:val="2A42782D"/>
    <w:rsid w:val="2AC73CDF"/>
    <w:rsid w:val="2B814FC9"/>
    <w:rsid w:val="2C295B6F"/>
    <w:rsid w:val="2C494C22"/>
    <w:rsid w:val="2E1C33BF"/>
    <w:rsid w:val="2E6A28CD"/>
    <w:rsid w:val="303E7768"/>
    <w:rsid w:val="309E2100"/>
    <w:rsid w:val="30A11864"/>
    <w:rsid w:val="30BD6290"/>
    <w:rsid w:val="31054E69"/>
    <w:rsid w:val="32FB642F"/>
    <w:rsid w:val="34F32FC7"/>
    <w:rsid w:val="35115042"/>
    <w:rsid w:val="35A259DE"/>
    <w:rsid w:val="35D73F8B"/>
    <w:rsid w:val="369633A8"/>
    <w:rsid w:val="37F0513D"/>
    <w:rsid w:val="38385740"/>
    <w:rsid w:val="39F7724D"/>
    <w:rsid w:val="3A2D7007"/>
    <w:rsid w:val="3A3F5E92"/>
    <w:rsid w:val="3AAC3FE7"/>
    <w:rsid w:val="3B052520"/>
    <w:rsid w:val="3C083199"/>
    <w:rsid w:val="3D121943"/>
    <w:rsid w:val="3D2F5FDC"/>
    <w:rsid w:val="3D955849"/>
    <w:rsid w:val="3E996E0C"/>
    <w:rsid w:val="3F3A476B"/>
    <w:rsid w:val="3F943FF8"/>
    <w:rsid w:val="401426C8"/>
    <w:rsid w:val="41BB131E"/>
    <w:rsid w:val="4342383B"/>
    <w:rsid w:val="43622A50"/>
    <w:rsid w:val="43BB766F"/>
    <w:rsid w:val="43F20E54"/>
    <w:rsid w:val="44801E6D"/>
    <w:rsid w:val="45D41FEB"/>
    <w:rsid w:val="45F77058"/>
    <w:rsid w:val="46017BAA"/>
    <w:rsid w:val="48DA130D"/>
    <w:rsid w:val="48E006BC"/>
    <w:rsid w:val="49EF0CBE"/>
    <w:rsid w:val="4A440024"/>
    <w:rsid w:val="4AEF389D"/>
    <w:rsid w:val="4B8B6E19"/>
    <w:rsid w:val="4C363BD0"/>
    <w:rsid w:val="4C890B8C"/>
    <w:rsid w:val="4D732165"/>
    <w:rsid w:val="4F25312D"/>
    <w:rsid w:val="4FBB321F"/>
    <w:rsid w:val="4FE82013"/>
    <w:rsid w:val="509C1CD3"/>
    <w:rsid w:val="51B52654"/>
    <w:rsid w:val="51CE1511"/>
    <w:rsid w:val="53D53F78"/>
    <w:rsid w:val="57935ACA"/>
    <w:rsid w:val="57A71FE7"/>
    <w:rsid w:val="58935443"/>
    <w:rsid w:val="59C24228"/>
    <w:rsid w:val="5AFE437F"/>
    <w:rsid w:val="5DC335C3"/>
    <w:rsid w:val="5DDC137F"/>
    <w:rsid w:val="5EA51C99"/>
    <w:rsid w:val="5F370C97"/>
    <w:rsid w:val="5FC55397"/>
    <w:rsid w:val="614771E3"/>
    <w:rsid w:val="63082656"/>
    <w:rsid w:val="64FD20DE"/>
    <w:rsid w:val="658B7D0E"/>
    <w:rsid w:val="66BA77DA"/>
    <w:rsid w:val="6844388D"/>
    <w:rsid w:val="6871103A"/>
    <w:rsid w:val="696528A3"/>
    <w:rsid w:val="6BF26527"/>
    <w:rsid w:val="6CC3173F"/>
    <w:rsid w:val="6FF73404"/>
    <w:rsid w:val="7129729C"/>
    <w:rsid w:val="71754506"/>
    <w:rsid w:val="720A5465"/>
    <w:rsid w:val="72695B25"/>
    <w:rsid w:val="74C94560"/>
    <w:rsid w:val="754B799E"/>
    <w:rsid w:val="75FB68C4"/>
    <w:rsid w:val="76877552"/>
    <w:rsid w:val="76CF6144"/>
    <w:rsid w:val="78A40C28"/>
    <w:rsid w:val="78DB08B6"/>
    <w:rsid w:val="7B010CBA"/>
    <w:rsid w:val="7B5C4051"/>
    <w:rsid w:val="7CD467C6"/>
    <w:rsid w:val="7CDB08D6"/>
    <w:rsid w:val="7D483CDF"/>
    <w:rsid w:val="7D52219D"/>
    <w:rsid w:val="7DB10584"/>
    <w:rsid w:val="7E463BB7"/>
    <w:rsid w:val="7F645AD4"/>
    <w:rsid w:val="7FCB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nhideWhenUsed/>
    <w:qFormat/>
    <w:uiPriority w:val="99"/>
    <w:pPr>
      <w:widowControl w:val="0"/>
      <w:adjustRightInd/>
      <w:snapToGrid/>
      <w:spacing w:after="120" w:line="480" w:lineRule="auto"/>
      <w:jc w:val="both"/>
    </w:pPr>
    <w:rPr>
      <w:rFonts w:ascii="Calibri" w:hAnsi="Calibri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2020-04-15T01:26:00Z</dcterms:created>
  <dc:creator>李晶岩</dc:creator>
  <cp:lastModifiedBy>何辉</cp:lastModifiedBy>
  <dcterms:modified xsi:type="dcterms:W3CDTF">2025-03-03T07:11:37Z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