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64CFE5">
      <w:pPr>
        <w:keepNext w:val="0"/>
        <w:keepLines w:val="0"/>
        <w:pageBreakBefore w:val="0"/>
        <w:widowControl/>
        <w:kinsoku w:val="0"/>
        <w:wordWrap/>
        <w:overflowPunct/>
        <w:topLinePunct w:val="0"/>
        <w:autoSpaceDE w:val="0"/>
        <w:autoSpaceDN w:val="0"/>
        <w:bidi w:val="0"/>
        <w:adjustRightInd w:val="0"/>
        <w:snapToGrid w:val="0"/>
        <w:spacing w:line="600" w:lineRule="exact"/>
        <w:ind w:right="0" w:firstLine="0" w:firstLineChars="0"/>
        <w:jc w:val="left"/>
        <w:textAlignment w:val="baseline"/>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附件：</w:t>
      </w:r>
    </w:p>
    <w:p w14:paraId="087E8902">
      <w:pPr>
        <w:keepNext w:val="0"/>
        <w:keepLines w:val="0"/>
        <w:pageBreakBefore w:val="0"/>
        <w:widowControl/>
        <w:kinsoku w:val="0"/>
        <w:wordWrap/>
        <w:overflowPunct/>
        <w:topLinePunct w:val="0"/>
        <w:autoSpaceDE w:val="0"/>
        <w:autoSpaceDN w:val="0"/>
        <w:bidi w:val="0"/>
        <w:adjustRightInd w:val="0"/>
        <w:snapToGrid w:val="0"/>
        <w:spacing w:line="600" w:lineRule="exact"/>
        <w:ind w:right="0" w:firstLine="0" w:firstLineChars="0"/>
        <w:jc w:val="center"/>
        <w:textAlignment w:val="baseline"/>
        <w:rPr>
          <w:rFonts w:hint="eastAsia" w:ascii="方正小标宋简体" w:hAnsi="方正小标宋简体" w:eastAsia="方正小标宋简体" w:cs="方正小标宋简体"/>
          <w:sz w:val="44"/>
          <w:szCs w:val="44"/>
        </w:rPr>
      </w:pPr>
      <w:bookmarkStart w:id="0" w:name="_GoBack"/>
      <w:r>
        <w:rPr>
          <w:rFonts w:hint="eastAsia" w:ascii="方正小标宋简体" w:hAnsi="方正小标宋简体" w:eastAsia="方正小标宋简体" w:cs="方正小标宋简体"/>
          <w:sz w:val="44"/>
          <w:szCs w:val="44"/>
        </w:rPr>
        <w:t>202</w:t>
      </w:r>
      <w:r>
        <w:rPr>
          <w:rFonts w:hint="eastAsia" w:ascii="方正小标宋简体" w:hAnsi="方正小标宋简体" w:eastAsia="方正小标宋简体" w:cs="方正小标宋简体"/>
          <w:sz w:val="44"/>
          <w:szCs w:val="44"/>
          <w:lang w:val="en-US" w:eastAsia="zh-CN"/>
        </w:rPr>
        <w:t>4</w:t>
      </w:r>
      <w:r>
        <w:rPr>
          <w:rFonts w:hint="eastAsia" w:ascii="方正小标宋简体" w:hAnsi="方正小标宋简体" w:eastAsia="方正小标宋简体" w:cs="方正小标宋简体"/>
          <w:sz w:val="44"/>
          <w:szCs w:val="44"/>
        </w:rPr>
        <w:t>年莫旗耕地地力保护补贴工作实施方案</w:t>
      </w:r>
    </w:p>
    <w:bookmarkEnd w:id="0"/>
    <w:p w14:paraId="17217EA9">
      <w:pPr>
        <w:pStyle w:val="2"/>
        <w:pageBreakBefore w:val="0"/>
        <w:wordWrap/>
        <w:overflowPunct/>
        <w:topLinePunct w:val="0"/>
        <w:bidi w:val="0"/>
        <w:spacing w:line="600" w:lineRule="exact"/>
        <w:jc w:val="center"/>
        <w:rPr>
          <w:rFonts w:hint="eastAsia" w:eastAsia="方正小标宋简体"/>
          <w:lang w:eastAsia="zh-CN"/>
        </w:rPr>
      </w:pPr>
    </w:p>
    <w:p w14:paraId="26B496E4">
      <w:pPr>
        <w:keepNext w:val="0"/>
        <w:keepLines w:val="0"/>
        <w:pageBreakBefore w:val="0"/>
        <w:widowControl w:val="0"/>
        <w:kinsoku/>
        <w:wordWrap/>
        <w:overflowPunct/>
        <w:topLinePunct w:val="0"/>
        <w:autoSpaceDE/>
        <w:autoSpaceDN/>
        <w:bidi w:val="0"/>
        <w:adjustRightInd/>
        <w:snapToGrid/>
        <w:spacing w:beforeAutospacing="0" w:line="600" w:lineRule="exact"/>
        <w:ind w:firstLine="640" w:firstLineChars="200"/>
        <w:jc w:val="both"/>
        <w:textAlignment w:val="auto"/>
        <w:rPr>
          <w:rFonts w:hint="eastAsia" w:ascii="仿宋GB2312" w:hAnsi="仿宋GB2312" w:eastAsia="仿宋GB2312" w:cs="仿宋GB2312"/>
          <w:b w:val="0"/>
          <w:bCs w:val="0"/>
          <w:kern w:val="2"/>
          <w:sz w:val="32"/>
          <w:szCs w:val="32"/>
          <w:lang w:val="en-US" w:eastAsia="zh-CN" w:bidi="ar-SA"/>
        </w:rPr>
      </w:pPr>
      <w:r>
        <w:rPr>
          <w:rFonts w:hint="eastAsia" w:ascii="仿宋GB2312" w:hAnsi="仿宋GB2312" w:eastAsia="仿宋GB2312" w:cs="仿宋GB2312"/>
          <w:b w:val="0"/>
          <w:bCs w:val="0"/>
          <w:kern w:val="2"/>
          <w:sz w:val="32"/>
          <w:szCs w:val="32"/>
          <w:lang w:val="en-US" w:eastAsia="zh-CN" w:bidi="ar-SA"/>
        </w:rPr>
        <w:t>为贯彻落实党中央关于“严防死守18亿亩耕地红线，采取‘长牙齿’的硬措施，落实最严格的耕地保护制度”的决策部署，充分调动广大农民群众保护耕地、提升地力的积极性和主动性，根据呼伦贝尔市农牧局、财政局《2024年呼伦贝尔市耕地地力保护补贴工作实施方案》（呼农牧办发〔2024〕252号）文件要求，结合我旗耕地地力保护实际，制定本方案。</w:t>
      </w:r>
    </w:p>
    <w:p w14:paraId="538754E4">
      <w:pPr>
        <w:keepNext w:val="0"/>
        <w:keepLines w:val="0"/>
        <w:pageBreakBefore w:val="0"/>
        <w:widowControl w:val="0"/>
        <w:kinsoku/>
        <w:wordWrap/>
        <w:overflowPunct/>
        <w:topLinePunct w:val="0"/>
        <w:autoSpaceDE/>
        <w:autoSpaceDN/>
        <w:bidi w:val="0"/>
        <w:adjustRightInd/>
        <w:snapToGrid w:val="0"/>
        <w:spacing w:beforeAutospacing="0" w:line="600" w:lineRule="exact"/>
        <w:ind w:right="0" w:firstLine="640" w:firstLineChars="200"/>
        <w:jc w:val="both"/>
        <w:textAlignment w:val="auto"/>
        <w:rPr>
          <w:rFonts w:hint="eastAsia" w:ascii="黑体" w:hAnsi="黑体" w:eastAsia="黑体" w:cs="黑体"/>
          <w:snapToGrid/>
          <w:color w:val="auto"/>
          <w:kern w:val="2"/>
          <w:sz w:val="32"/>
          <w:szCs w:val="32"/>
          <w:lang w:val="en-US" w:eastAsia="zh-CN" w:bidi="ar-SA"/>
        </w:rPr>
      </w:pPr>
      <w:r>
        <w:rPr>
          <w:rFonts w:hint="eastAsia" w:ascii="黑体" w:hAnsi="黑体" w:eastAsia="黑体" w:cs="黑体"/>
          <w:snapToGrid/>
          <w:color w:val="auto"/>
          <w:kern w:val="2"/>
          <w:sz w:val="32"/>
          <w:szCs w:val="32"/>
          <w:lang w:val="en-US" w:eastAsia="zh-CN" w:bidi="ar-SA"/>
        </w:rPr>
        <w:t>一、总体思路</w:t>
      </w:r>
    </w:p>
    <w:p w14:paraId="795AD68C">
      <w:pPr>
        <w:keepNext w:val="0"/>
        <w:keepLines w:val="0"/>
        <w:pageBreakBefore w:val="0"/>
        <w:widowControl w:val="0"/>
        <w:kinsoku/>
        <w:wordWrap/>
        <w:overflowPunct/>
        <w:topLinePunct w:val="0"/>
        <w:autoSpaceDE/>
        <w:autoSpaceDN/>
        <w:bidi w:val="0"/>
        <w:adjustRightInd/>
        <w:snapToGrid/>
        <w:spacing w:beforeAutospacing="0" w:line="600" w:lineRule="exact"/>
        <w:ind w:firstLine="640" w:firstLineChars="200"/>
        <w:jc w:val="both"/>
        <w:textAlignment w:val="auto"/>
        <w:rPr>
          <w:rFonts w:hint="eastAsia" w:ascii="仿宋GB2312" w:hAnsi="仿宋GB2312" w:eastAsia="仿宋GB2312" w:cs="仿宋GB2312"/>
          <w:b w:val="0"/>
          <w:bCs w:val="0"/>
          <w:kern w:val="2"/>
          <w:sz w:val="32"/>
          <w:szCs w:val="32"/>
          <w:lang w:val="en-US" w:eastAsia="zh-CN" w:bidi="ar-SA"/>
        </w:rPr>
      </w:pPr>
      <w:r>
        <w:rPr>
          <w:rFonts w:hint="eastAsia" w:ascii="仿宋GB2312" w:hAnsi="仿宋GB2312" w:eastAsia="仿宋GB2312" w:cs="仿宋GB2312"/>
          <w:b w:val="0"/>
          <w:bCs w:val="0"/>
          <w:kern w:val="2"/>
          <w:sz w:val="32"/>
          <w:szCs w:val="32"/>
          <w:lang w:val="en-US" w:eastAsia="zh-CN" w:bidi="ar-SA"/>
        </w:rPr>
        <w:t>以习近平新时代中国特色社会主义思想为指导，深入贯彻落实习近平总书记关于“三农”工作重要论述，以铸牢中华民族共同体意识为主线，坚持走生态优先、绿色发展为导向的高质量发展新路子，强化政策扶持和科技支撑，引导农民采取耕地地力保护措施，切实加强农业生态资源保护，不断改善提升耕地地力，提高单产，促进我旗现代农业绿色高质量发展。</w:t>
      </w:r>
    </w:p>
    <w:p w14:paraId="0F7B2E64">
      <w:pPr>
        <w:keepNext w:val="0"/>
        <w:keepLines w:val="0"/>
        <w:pageBreakBefore w:val="0"/>
        <w:widowControl w:val="0"/>
        <w:kinsoku/>
        <w:wordWrap/>
        <w:overflowPunct/>
        <w:topLinePunct w:val="0"/>
        <w:autoSpaceDE/>
        <w:autoSpaceDN/>
        <w:bidi w:val="0"/>
        <w:adjustRightInd/>
        <w:snapToGrid w:val="0"/>
        <w:spacing w:beforeAutospacing="0" w:line="600" w:lineRule="exact"/>
        <w:ind w:right="0" w:firstLine="640" w:firstLineChars="200"/>
        <w:jc w:val="both"/>
        <w:textAlignment w:val="auto"/>
        <w:rPr>
          <w:rFonts w:hint="eastAsia" w:ascii="黑体" w:hAnsi="黑体" w:eastAsia="黑体" w:cs="黑体"/>
          <w:snapToGrid/>
          <w:color w:val="auto"/>
          <w:kern w:val="2"/>
          <w:sz w:val="32"/>
          <w:szCs w:val="32"/>
          <w:lang w:val="en-US" w:eastAsia="zh-CN" w:bidi="ar-SA"/>
        </w:rPr>
      </w:pPr>
      <w:r>
        <w:rPr>
          <w:rFonts w:hint="eastAsia" w:ascii="黑体" w:hAnsi="黑体" w:eastAsia="黑体" w:cs="黑体"/>
          <w:snapToGrid/>
          <w:color w:val="auto"/>
          <w:kern w:val="2"/>
          <w:sz w:val="32"/>
          <w:szCs w:val="32"/>
          <w:lang w:val="en-US" w:eastAsia="zh-CN" w:bidi="ar-SA"/>
        </w:rPr>
        <w:t>二、实施要求</w:t>
      </w:r>
    </w:p>
    <w:p w14:paraId="4DC63604">
      <w:pPr>
        <w:keepNext w:val="0"/>
        <w:keepLines w:val="0"/>
        <w:pageBreakBefore w:val="0"/>
        <w:widowControl w:val="0"/>
        <w:kinsoku/>
        <w:wordWrap/>
        <w:overflowPunct/>
        <w:topLinePunct w:val="0"/>
        <w:autoSpaceDE/>
        <w:autoSpaceDN/>
        <w:bidi w:val="0"/>
        <w:adjustRightInd/>
        <w:snapToGrid/>
        <w:spacing w:beforeAutospacing="0" w:line="600" w:lineRule="exact"/>
        <w:ind w:firstLine="640" w:firstLineChars="200"/>
        <w:jc w:val="both"/>
        <w:textAlignment w:val="auto"/>
        <w:rPr>
          <w:rFonts w:hint="eastAsia" w:ascii="仿宋GB2312" w:hAnsi="仿宋GB2312" w:eastAsia="仿宋GB2312" w:cs="仿宋GB2312"/>
          <w:b w:val="0"/>
          <w:bCs w:val="0"/>
          <w:kern w:val="2"/>
          <w:sz w:val="32"/>
          <w:szCs w:val="32"/>
          <w:lang w:val="en-US" w:eastAsia="zh-CN" w:bidi="ar-SA"/>
        </w:rPr>
      </w:pPr>
      <w:r>
        <w:rPr>
          <w:rFonts w:hint="eastAsia" w:ascii="仿宋GB2312" w:hAnsi="仿宋GB2312" w:eastAsia="仿宋GB2312" w:cs="仿宋GB2312"/>
          <w:b w:val="0"/>
          <w:bCs w:val="0"/>
          <w:kern w:val="2"/>
          <w:sz w:val="32"/>
          <w:szCs w:val="32"/>
          <w:lang w:val="en-US" w:eastAsia="zh-CN" w:bidi="ar-SA"/>
        </w:rPr>
        <w:t>耕地地力保护补贴是现阶段党中央强农惠农政策的重要内容，补贴资金直接发放给广大农户，涉及农民群众切身利益，事关农村社会和谐稳定，政策性强、涉及面广、社会关注度高，各单位应充分认识补贴政策的重要性，按照“总体稳定、审慎探索、精准有效”的原则，稳妥有序探索推进耕地地力保护补贴与耕地地力保护行为相挂钩的有效机制，提高补贴效能，夯实粮食生产基础，保障农民合法权益，促进农业高质量发展。</w:t>
      </w:r>
    </w:p>
    <w:p w14:paraId="45009A96">
      <w:pPr>
        <w:keepNext w:val="0"/>
        <w:keepLines w:val="0"/>
        <w:pageBreakBefore w:val="0"/>
        <w:widowControl w:val="0"/>
        <w:kinsoku/>
        <w:wordWrap/>
        <w:overflowPunct/>
        <w:topLinePunct w:val="0"/>
        <w:autoSpaceDE/>
        <w:autoSpaceDN/>
        <w:bidi w:val="0"/>
        <w:adjustRightInd/>
        <w:snapToGrid w:val="0"/>
        <w:spacing w:beforeAutospacing="0" w:line="600" w:lineRule="exact"/>
        <w:ind w:right="0" w:firstLine="640" w:firstLineChars="200"/>
        <w:jc w:val="both"/>
        <w:textAlignment w:val="auto"/>
        <w:rPr>
          <w:rFonts w:hint="eastAsia" w:ascii="黑体" w:hAnsi="黑体" w:eastAsia="黑体" w:cs="黑体"/>
          <w:snapToGrid/>
          <w:color w:val="auto"/>
          <w:kern w:val="2"/>
          <w:sz w:val="32"/>
          <w:szCs w:val="32"/>
          <w:lang w:val="en-US" w:eastAsia="zh-CN" w:bidi="ar-SA"/>
        </w:rPr>
      </w:pPr>
      <w:r>
        <w:rPr>
          <w:rFonts w:hint="eastAsia" w:ascii="黑体" w:hAnsi="黑体" w:eastAsia="黑体" w:cs="黑体"/>
          <w:snapToGrid/>
          <w:color w:val="auto"/>
          <w:kern w:val="2"/>
          <w:sz w:val="32"/>
          <w:szCs w:val="32"/>
          <w:lang w:val="en-US" w:eastAsia="zh-CN" w:bidi="ar-SA"/>
        </w:rPr>
        <w:t>三、补贴政策主要内容</w:t>
      </w:r>
    </w:p>
    <w:p w14:paraId="2946A608">
      <w:pPr>
        <w:pStyle w:val="3"/>
        <w:keepNext w:val="0"/>
        <w:keepLines w:val="0"/>
        <w:pageBreakBefore w:val="0"/>
        <w:widowControl w:val="0"/>
        <w:kinsoku/>
        <w:wordWrap/>
        <w:overflowPunct/>
        <w:topLinePunct w:val="0"/>
        <w:autoSpaceDE/>
        <w:autoSpaceDN/>
        <w:bidi w:val="0"/>
        <w:adjustRightInd/>
        <w:snapToGrid w:val="0"/>
        <w:spacing w:line="600" w:lineRule="exact"/>
        <w:ind w:right="0" w:firstLine="640" w:firstLineChars="200"/>
        <w:textAlignment w:val="auto"/>
        <w:rPr>
          <w:rFonts w:hint="eastAsia" w:ascii="仿宋GB2312" w:hAnsi="仿宋GB2312" w:eastAsia="仿宋GB2312" w:cs="仿宋GB2312"/>
          <w:b w:val="0"/>
          <w:bCs w:val="0"/>
          <w:kern w:val="2"/>
          <w:sz w:val="32"/>
          <w:szCs w:val="32"/>
          <w:lang w:val="en-US" w:eastAsia="zh-CN" w:bidi="ar-SA"/>
        </w:rPr>
      </w:pPr>
      <w:r>
        <w:rPr>
          <w:rFonts w:hint="eastAsia" w:ascii="楷体" w:hAnsi="楷体" w:eastAsia="楷体" w:cs="楷体"/>
          <w:snapToGrid/>
          <w:color w:val="auto"/>
          <w:kern w:val="2"/>
          <w:sz w:val="32"/>
          <w:szCs w:val="32"/>
          <w:lang w:val="en-US" w:eastAsia="zh-CN" w:bidi="ar-SA"/>
        </w:rPr>
        <w:t>(一）补贴对象。</w:t>
      </w:r>
      <w:r>
        <w:rPr>
          <w:rFonts w:hint="eastAsia" w:ascii="仿宋GB2312" w:hAnsi="仿宋GB2312" w:eastAsia="仿宋GB2312" w:cs="仿宋GB2312"/>
          <w:b w:val="0"/>
          <w:bCs w:val="0"/>
          <w:kern w:val="2"/>
          <w:sz w:val="32"/>
          <w:szCs w:val="32"/>
          <w:lang w:val="en-US" w:eastAsia="zh-CN" w:bidi="ar-SA"/>
        </w:rPr>
        <w:t>耕地地力保护补贴对象原则上为拥有耕地承包权的种地农民(农场职工）。</w:t>
      </w:r>
    </w:p>
    <w:p w14:paraId="3F25B508">
      <w:pPr>
        <w:pStyle w:val="3"/>
        <w:keepNext w:val="0"/>
        <w:keepLines w:val="0"/>
        <w:pageBreakBefore w:val="0"/>
        <w:widowControl w:val="0"/>
        <w:kinsoku/>
        <w:wordWrap/>
        <w:overflowPunct/>
        <w:topLinePunct w:val="0"/>
        <w:autoSpaceDE/>
        <w:autoSpaceDN/>
        <w:bidi w:val="0"/>
        <w:adjustRightInd/>
        <w:snapToGrid w:val="0"/>
        <w:spacing w:line="600" w:lineRule="exact"/>
        <w:ind w:right="0" w:firstLine="640" w:firstLineChars="200"/>
        <w:textAlignment w:val="auto"/>
        <w:rPr>
          <w:rFonts w:hint="eastAsia" w:ascii="仿宋GB2312" w:hAnsi="仿宋GB2312" w:eastAsia="仿宋GB2312" w:cs="仿宋GB2312"/>
          <w:snapToGrid/>
          <w:color w:val="auto"/>
          <w:kern w:val="2"/>
          <w:sz w:val="32"/>
          <w:szCs w:val="32"/>
          <w:lang w:val="en-US" w:eastAsia="zh-CN" w:bidi="ar-SA"/>
        </w:rPr>
      </w:pPr>
      <w:r>
        <w:rPr>
          <w:rFonts w:hint="eastAsia" w:ascii="楷体" w:hAnsi="楷体" w:eastAsia="楷体" w:cs="楷体"/>
          <w:snapToGrid/>
          <w:color w:val="auto"/>
          <w:kern w:val="2"/>
          <w:sz w:val="32"/>
          <w:szCs w:val="32"/>
          <w:lang w:val="en-US" w:eastAsia="zh-CN" w:bidi="ar-SA"/>
        </w:rPr>
        <w:t>(二）补贴方式和标准。</w:t>
      </w:r>
      <w:r>
        <w:rPr>
          <w:rFonts w:hint="eastAsia" w:ascii="仿宋GB2312" w:hAnsi="仿宋GB2312" w:eastAsia="仿宋GB2312" w:cs="仿宋GB2312"/>
          <w:snapToGrid/>
          <w:color w:val="auto"/>
          <w:kern w:val="2"/>
          <w:sz w:val="32"/>
          <w:szCs w:val="32"/>
          <w:lang w:val="en-US" w:eastAsia="zh-CN" w:bidi="ar-SA"/>
        </w:rPr>
        <w:t>补贴资金全部通过“一卡通”发放。补贴依据为</w:t>
      </w:r>
      <w:r>
        <w:rPr>
          <w:rFonts w:ascii="仿宋" w:hAnsi="仿宋" w:eastAsia="仿宋" w:cs="仿宋"/>
          <w:spacing w:val="-1"/>
          <w:sz w:val="32"/>
          <w:szCs w:val="32"/>
        </w:rPr>
        <w:t>计税耕地面积</w:t>
      </w:r>
      <w:r>
        <w:rPr>
          <w:rFonts w:hint="eastAsia" w:ascii="仿宋GB2312" w:hAnsi="仿宋GB2312" w:eastAsia="仿宋GB2312" w:cs="仿宋GB2312"/>
          <w:snapToGrid/>
          <w:color w:val="auto"/>
          <w:kern w:val="2"/>
          <w:sz w:val="32"/>
          <w:szCs w:val="32"/>
          <w:lang w:val="en-US" w:eastAsia="zh-CN" w:bidi="ar-SA"/>
        </w:rPr>
        <w:t>。由呼伦贝尔市测算并下达资金，市级提级发放。实行统一补贴标准。</w:t>
      </w:r>
    </w:p>
    <w:p w14:paraId="32CCE363">
      <w:pPr>
        <w:pStyle w:val="3"/>
        <w:keepNext w:val="0"/>
        <w:keepLines w:val="0"/>
        <w:pageBreakBefore w:val="0"/>
        <w:widowControl w:val="0"/>
        <w:kinsoku/>
        <w:wordWrap/>
        <w:overflowPunct/>
        <w:topLinePunct w:val="0"/>
        <w:autoSpaceDE/>
        <w:autoSpaceDN/>
        <w:bidi w:val="0"/>
        <w:adjustRightInd/>
        <w:snapToGrid w:val="0"/>
        <w:spacing w:line="600" w:lineRule="exact"/>
        <w:ind w:right="0" w:firstLine="640" w:firstLineChars="200"/>
        <w:textAlignment w:val="auto"/>
        <w:rPr>
          <w:rFonts w:hint="eastAsia" w:ascii="仿宋GB2312" w:hAnsi="仿宋GB2312" w:eastAsia="仿宋GB2312" w:cs="仿宋GB2312"/>
          <w:snapToGrid/>
          <w:color w:val="auto"/>
          <w:kern w:val="2"/>
          <w:sz w:val="32"/>
          <w:szCs w:val="32"/>
          <w:lang w:val="en-US" w:eastAsia="zh-CN" w:bidi="ar-SA"/>
        </w:rPr>
      </w:pPr>
      <w:r>
        <w:rPr>
          <w:rFonts w:hint="eastAsia" w:ascii="楷体" w:hAnsi="楷体" w:eastAsia="楷体" w:cs="楷体"/>
          <w:snapToGrid/>
          <w:color w:val="auto"/>
          <w:kern w:val="2"/>
          <w:sz w:val="32"/>
          <w:szCs w:val="32"/>
          <w:lang w:val="en-US" w:eastAsia="zh-CN" w:bidi="ar-SA"/>
        </w:rPr>
        <w:t>(三）不予补贴的情况。</w:t>
      </w:r>
      <w:r>
        <w:rPr>
          <w:rFonts w:hint="eastAsia" w:ascii="仿宋GB2312" w:hAnsi="仿宋GB2312" w:eastAsia="仿宋GB2312" w:cs="仿宋GB2312"/>
          <w:snapToGrid/>
          <w:color w:val="auto"/>
          <w:kern w:val="2"/>
          <w:sz w:val="32"/>
          <w:szCs w:val="32"/>
          <w:lang w:val="en-US" w:eastAsia="zh-CN" w:bidi="ar-SA"/>
        </w:rPr>
        <w:t>对已种植林木和已作为畜牧养殖场使用的耕地、成片粮田转为设施农业用地、附属和配套设施用地、非农业征(占）用耕地等已改变用途的耕地、占补平衡中“补”的 面积和质量达不到耕种条件的耕地(即不符合原自治区农牧业厅、国土资源厅《补充耕地质量评定技术规范》的耕地）和已经列入自治区退耕范围的不予补贴；对已抛荒一年以上的，取消今年补贴资金；对使用地膜，但未采取地膜离田措施或离田比例未达到自治区要求的，缓发或暂停发放补贴资金。</w:t>
      </w:r>
    </w:p>
    <w:p w14:paraId="089BB2E1">
      <w:pPr>
        <w:keepNext w:val="0"/>
        <w:keepLines w:val="0"/>
        <w:pageBreakBefore w:val="0"/>
        <w:widowControl w:val="0"/>
        <w:kinsoku/>
        <w:wordWrap/>
        <w:overflowPunct/>
        <w:topLinePunct w:val="0"/>
        <w:autoSpaceDE/>
        <w:autoSpaceDN/>
        <w:bidi w:val="0"/>
        <w:adjustRightInd/>
        <w:snapToGrid w:val="0"/>
        <w:spacing w:beforeAutospacing="0" w:line="600" w:lineRule="exact"/>
        <w:ind w:right="0" w:firstLine="640" w:firstLineChars="200"/>
        <w:jc w:val="both"/>
        <w:textAlignment w:val="auto"/>
        <w:rPr>
          <w:rFonts w:hint="eastAsia" w:ascii="黑体" w:hAnsi="黑体" w:eastAsia="黑体" w:cs="黑体"/>
          <w:snapToGrid/>
          <w:color w:val="auto"/>
          <w:kern w:val="2"/>
          <w:sz w:val="32"/>
          <w:szCs w:val="32"/>
          <w:lang w:val="en-US" w:eastAsia="zh-CN" w:bidi="ar-SA"/>
        </w:rPr>
      </w:pPr>
      <w:r>
        <w:rPr>
          <w:rFonts w:hint="eastAsia" w:ascii="黑体" w:hAnsi="黑体" w:eastAsia="黑体" w:cs="黑体"/>
          <w:snapToGrid/>
          <w:color w:val="auto"/>
          <w:kern w:val="2"/>
          <w:sz w:val="32"/>
          <w:szCs w:val="32"/>
          <w:lang w:val="en-US" w:eastAsia="zh-CN" w:bidi="ar-SA"/>
        </w:rPr>
        <w:t>四、相关工作要求</w:t>
      </w:r>
    </w:p>
    <w:p w14:paraId="5430A5BA">
      <w:pPr>
        <w:keepNext w:val="0"/>
        <w:keepLines w:val="0"/>
        <w:pageBreakBefore w:val="0"/>
        <w:widowControl w:val="0"/>
        <w:kinsoku/>
        <w:wordWrap/>
        <w:overflowPunct/>
        <w:topLinePunct w:val="0"/>
        <w:autoSpaceDE/>
        <w:autoSpaceDN/>
        <w:bidi w:val="0"/>
        <w:adjustRightInd/>
        <w:snapToGrid w:val="0"/>
        <w:spacing w:beforeAutospacing="0" w:line="600" w:lineRule="exact"/>
        <w:ind w:right="0" w:firstLine="640" w:firstLineChars="200"/>
        <w:jc w:val="both"/>
        <w:textAlignment w:val="auto"/>
        <w:rPr>
          <w:rFonts w:hint="eastAsia" w:ascii="仿宋GB2312" w:hAnsi="仿宋GB2312" w:eastAsia="仿宋GB2312" w:cs="仿宋GB2312"/>
          <w:snapToGrid/>
          <w:color w:val="auto"/>
          <w:kern w:val="2"/>
          <w:sz w:val="32"/>
          <w:szCs w:val="32"/>
          <w:lang w:val="en-US" w:eastAsia="zh-CN" w:bidi="ar-SA"/>
        </w:rPr>
      </w:pPr>
      <w:r>
        <w:rPr>
          <w:rFonts w:hint="eastAsia" w:ascii="楷体" w:hAnsi="楷体" w:eastAsia="楷体" w:cs="楷体"/>
          <w:snapToGrid/>
          <w:color w:val="auto"/>
          <w:kern w:val="2"/>
          <w:sz w:val="32"/>
          <w:szCs w:val="32"/>
          <w:lang w:val="en-US" w:eastAsia="zh-CN" w:bidi="ar-SA"/>
        </w:rPr>
        <w:t>(一）加强组织领导。</w:t>
      </w:r>
      <w:r>
        <w:rPr>
          <w:rFonts w:hint="eastAsia" w:ascii="仿宋GB2312" w:hAnsi="仿宋GB2312" w:eastAsia="仿宋GB2312" w:cs="仿宋GB2312"/>
          <w:snapToGrid/>
          <w:color w:val="auto"/>
          <w:kern w:val="2"/>
          <w:sz w:val="32"/>
          <w:szCs w:val="32"/>
          <w:lang w:val="en-US" w:eastAsia="zh-CN" w:bidi="ar-SA"/>
        </w:rPr>
        <w:t>耕地地力保护补贴工作由旗政府负总责，乡镇人民政府（各国有农牧场）是耕地地力保护补贴工作的责任主体，负责申报材料审核、实地核查、建立工作台账、公示、档案建设、“一卡通”系统基础信息录入及对补贴政策宣传等工作。要稳慎推进相关工作，要做好矛盾化解和信访维稳工作，坚决避免引发矛盾和上访。旗农牧和科技局、财政局负责对各乡镇人民政府、国有农场上报的补贴花名册进行审核、汇总，做好配合提级发放工作，并开展政策宣传工作，营造良好舆论氛围。</w:t>
      </w:r>
    </w:p>
    <w:p w14:paraId="5ECDF285">
      <w:pPr>
        <w:keepNext w:val="0"/>
        <w:keepLines w:val="0"/>
        <w:pageBreakBefore w:val="0"/>
        <w:widowControl w:val="0"/>
        <w:kinsoku/>
        <w:wordWrap/>
        <w:overflowPunct/>
        <w:topLinePunct w:val="0"/>
        <w:autoSpaceDE/>
        <w:autoSpaceDN/>
        <w:bidi w:val="0"/>
        <w:adjustRightInd/>
        <w:snapToGrid w:val="0"/>
        <w:spacing w:beforeAutospacing="0" w:line="600" w:lineRule="exact"/>
        <w:ind w:right="0" w:firstLine="640" w:firstLineChars="200"/>
        <w:jc w:val="both"/>
        <w:textAlignment w:val="auto"/>
        <w:rPr>
          <w:rFonts w:hint="eastAsia" w:ascii="仿宋GB2312" w:hAnsi="仿宋GB2312" w:eastAsia="仿宋GB2312" w:cs="仿宋GB2312"/>
          <w:snapToGrid/>
          <w:color w:val="auto"/>
          <w:kern w:val="2"/>
          <w:sz w:val="32"/>
          <w:szCs w:val="32"/>
          <w:lang w:val="en-US" w:eastAsia="zh-CN" w:bidi="ar-SA"/>
        </w:rPr>
      </w:pPr>
      <w:r>
        <w:rPr>
          <w:rFonts w:hint="eastAsia" w:ascii="楷体" w:hAnsi="楷体" w:eastAsia="楷体" w:cs="楷体"/>
          <w:snapToGrid/>
          <w:color w:val="auto"/>
          <w:kern w:val="2"/>
          <w:sz w:val="32"/>
          <w:szCs w:val="32"/>
          <w:lang w:val="en-US" w:eastAsia="zh-CN" w:bidi="ar-SA"/>
        </w:rPr>
        <w:t>(二）加强申报流程管理。</w:t>
      </w:r>
      <w:r>
        <w:rPr>
          <w:rFonts w:hint="eastAsia" w:ascii="仿宋GB2312" w:hAnsi="仿宋GB2312" w:eastAsia="仿宋GB2312" w:cs="仿宋GB2312"/>
          <w:snapToGrid/>
          <w:color w:val="auto"/>
          <w:kern w:val="2"/>
          <w:sz w:val="32"/>
          <w:szCs w:val="32"/>
          <w:lang w:val="en-US" w:eastAsia="zh-CN" w:bidi="ar-SA"/>
        </w:rPr>
        <w:t>各乡镇（各国有农牧场）、单位要集中力量，严格审核把关，确定补贴面积，在旗级方案下达20天内完成补贴面积统计和清册上报工作。严格实行“首报负责制度”和“公开公示制度”。</w:t>
      </w:r>
      <w:r>
        <w:rPr>
          <w:rFonts w:hint="eastAsia" w:ascii="仿宋GB2312" w:hAnsi="仿宋GB2312" w:eastAsia="仿宋GB2312" w:cs="仿宋GB2312"/>
          <w:b/>
          <w:bCs/>
          <w:snapToGrid/>
          <w:color w:val="auto"/>
          <w:kern w:val="2"/>
          <w:sz w:val="32"/>
          <w:szCs w:val="32"/>
          <w:lang w:val="en-US" w:eastAsia="zh-CN" w:bidi="ar-SA"/>
        </w:rPr>
        <w:t>村级</w:t>
      </w:r>
      <w:r>
        <w:rPr>
          <w:rFonts w:hint="eastAsia" w:ascii="仿宋GB2312" w:hAnsi="仿宋GB2312" w:eastAsia="仿宋GB2312" w:cs="仿宋GB2312"/>
          <w:snapToGrid/>
          <w:color w:val="auto"/>
          <w:kern w:val="2"/>
          <w:sz w:val="32"/>
          <w:szCs w:val="32"/>
          <w:lang w:val="en-US" w:eastAsia="zh-CN" w:bidi="ar-SA"/>
        </w:rPr>
        <w:t>负责组织本辖区内耕地地力保护补贴申报工作，初步核查后报乡镇人民政府。负责统计补贴人员和面积，完成登记造册，并在村务公开栏公示7天，公示期满后报送至乡镇，公示内容要包括补贴对象姓名、补贴面积、补贴标准、补贴金额、举报电话（村级、乡镇级、财政局：0470-4620332、农牧和科技局：13694702969）等内容。</w:t>
      </w:r>
      <w:r>
        <w:rPr>
          <w:rFonts w:hint="eastAsia" w:ascii="仿宋GB2312" w:hAnsi="仿宋GB2312" w:eastAsia="仿宋GB2312" w:cs="仿宋GB2312"/>
          <w:b/>
          <w:bCs/>
          <w:snapToGrid/>
          <w:color w:val="auto"/>
          <w:kern w:val="2"/>
          <w:sz w:val="32"/>
          <w:szCs w:val="32"/>
          <w:highlight w:val="none"/>
          <w:lang w:val="en-US" w:eastAsia="zh-CN" w:bidi="ar-SA"/>
        </w:rPr>
        <w:t>各乡镇人民政府</w:t>
      </w:r>
      <w:r>
        <w:rPr>
          <w:rFonts w:hint="eastAsia" w:ascii="仿宋GB2312" w:hAnsi="仿宋GB2312" w:eastAsia="仿宋GB2312" w:cs="仿宋GB2312"/>
          <w:snapToGrid/>
          <w:color w:val="auto"/>
          <w:kern w:val="2"/>
          <w:sz w:val="32"/>
          <w:szCs w:val="32"/>
          <w:highlight w:val="none"/>
          <w:lang w:val="en-US" w:eastAsia="zh-CN" w:bidi="ar-SA"/>
        </w:rPr>
        <w:t>负责辖区内各村报送的补贴清册及公示情况进行审核、实地核查。乡镇政府汇总审核后上报至旗农牧和科技局并录入系统。</w:t>
      </w:r>
      <w:r>
        <w:rPr>
          <w:rFonts w:hint="eastAsia" w:ascii="仿宋GB2312" w:hAnsi="仿宋GB2312" w:eastAsia="仿宋GB2312" w:cs="仿宋GB2312"/>
          <w:b/>
          <w:bCs/>
          <w:snapToGrid/>
          <w:color w:val="auto"/>
          <w:kern w:val="2"/>
          <w:sz w:val="32"/>
          <w:szCs w:val="32"/>
          <w:lang w:val="en-US" w:eastAsia="zh-CN" w:bidi="ar-SA"/>
        </w:rPr>
        <w:t>旗政府</w:t>
      </w:r>
      <w:r>
        <w:rPr>
          <w:rFonts w:hint="eastAsia" w:ascii="仿宋GB2312" w:hAnsi="仿宋GB2312" w:eastAsia="仿宋GB2312" w:cs="仿宋GB2312"/>
          <w:snapToGrid/>
          <w:color w:val="auto"/>
          <w:kern w:val="2"/>
          <w:sz w:val="32"/>
          <w:szCs w:val="32"/>
          <w:lang w:val="en-US" w:eastAsia="zh-CN" w:bidi="ar-SA"/>
        </w:rPr>
        <w:t>组织相关单位进行抽查复核，由旗农牧和科技局负责牵头，会同旗财政局、旗自然资源等部门对每个乡镇随机抽查1-2个村，每个村抽5-10个农户进行审核，若发现问题，要及时通知相关乡镇重新核实、公示，并在系统中进行修改。</w:t>
      </w:r>
    </w:p>
    <w:p w14:paraId="6F8550F7">
      <w:pPr>
        <w:keepNext w:val="0"/>
        <w:keepLines w:val="0"/>
        <w:pageBreakBefore w:val="0"/>
        <w:widowControl w:val="0"/>
        <w:kinsoku/>
        <w:wordWrap/>
        <w:overflowPunct/>
        <w:topLinePunct w:val="0"/>
        <w:autoSpaceDE/>
        <w:autoSpaceDN/>
        <w:bidi w:val="0"/>
        <w:adjustRightInd/>
        <w:snapToGrid w:val="0"/>
        <w:spacing w:beforeAutospacing="0" w:line="600" w:lineRule="exact"/>
        <w:ind w:right="0" w:firstLine="640" w:firstLineChars="200"/>
        <w:jc w:val="both"/>
        <w:textAlignment w:val="auto"/>
        <w:rPr>
          <w:rFonts w:hint="eastAsia" w:ascii="仿宋GB2312" w:hAnsi="仿宋GB2312" w:eastAsia="仿宋GB2312" w:cs="仿宋GB2312"/>
          <w:snapToGrid/>
          <w:color w:val="auto"/>
          <w:kern w:val="2"/>
          <w:sz w:val="32"/>
          <w:szCs w:val="32"/>
          <w:lang w:val="en-US" w:eastAsia="zh-CN" w:bidi="ar-SA"/>
        </w:rPr>
      </w:pPr>
      <w:r>
        <w:rPr>
          <w:rFonts w:hint="eastAsia" w:ascii="楷体" w:hAnsi="楷体" w:eastAsia="楷体" w:cs="楷体"/>
          <w:snapToGrid/>
          <w:color w:val="auto"/>
          <w:kern w:val="2"/>
          <w:sz w:val="32"/>
          <w:szCs w:val="32"/>
          <w:lang w:val="en-US" w:eastAsia="zh-CN" w:bidi="ar-SA"/>
        </w:rPr>
        <w:t>(三）做好提级发放。</w:t>
      </w:r>
      <w:r>
        <w:rPr>
          <w:rFonts w:hint="eastAsia" w:ascii="仿宋GB2312" w:hAnsi="仿宋GB2312" w:eastAsia="仿宋GB2312" w:cs="仿宋GB2312"/>
          <w:snapToGrid/>
          <w:color w:val="auto"/>
          <w:kern w:val="2"/>
          <w:sz w:val="32"/>
          <w:szCs w:val="32"/>
          <w:lang w:val="en-US" w:eastAsia="zh-CN" w:bidi="ar-SA"/>
        </w:rPr>
        <w:t>为确保耕地地力保护补贴资金及时、足额发放到户，配合市财政、市农牧局做好提级发放工作，由市财政部门直接兑付到补贴对象账户。农垦集团各农牧场要配合旗农牧和科技局、财政局做好补贴清册的审核和补贴资金的发放管理工作。</w:t>
      </w:r>
    </w:p>
    <w:p w14:paraId="3973B83C">
      <w:pPr>
        <w:keepNext w:val="0"/>
        <w:keepLines w:val="0"/>
        <w:pageBreakBefore w:val="0"/>
        <w:widowControl w:val="0"/>
        <w:kinsoku/>
        <w:wordWrap/>
        <w:overflowPunct/>
        <w:topLinePunct w:val="0"/>
        <w:autoSpaceDE/>
        <w:autoSpaceDN/>
        <w:bidi w:val="0"/>
        <w:adjustRightInd/>
        <w:snapToGrid w:val="0"/>
        <w:spacing w:beforeAutospacing="0" w:line="600" w:lineRule="exact"/>
        <w:ind w:right="0" w:firstLine="640" w:firstLineChars="200"/>
        <w:jc w:val="both"/>
        <w:textAlignment w:val="auto"/>
        <w:rPr>
          <w:rFonts w:hint="eastAsia" w:ascii="仿宋GB2312" w:hAnsi="仿宋GB2312" w:eastAsia="仿宋GB2312" w:cs="仿宋GB2312"/>
          <w:snapToGrid/>
          <w:color w:val="auto"/>
          <w:kern w:val="2"/>
          <w:sz w:val="32"/>
          <w:szCs w:val="32"/>
          <w:lang w:val="en-US" w:eastAsia="zh-CN" w:bidi="ar-SA"/>
        </w:rPr>
      </w:pPr>
      <w:r>
        <w:rPr>
          <w:rFonts w:hint="eastAsia" w:ascii="楷体" w:hAnsi="楷体" w:eastAsia="楷体" w:cs="楷体"/>
          <w:snapToGrid/>
          <w:color w:val="auto"/>
          <w:kern w:val="2"/>
          <w:sz w:val="32"/>
          <w:szCs w:val="32"/>
          <w:lang w:val="en-US" w:eastAsia="zh-CN" w:bidi="ar-SA"/>
        </w:rPr>
        <w:t>(四）加强补贴监管。</w:t>
      </w:r>
      <w:r>
        <w:rPr>
          <w:rFonts w:hint="eastAsia" w:ascii="仿宋GB2312" w:hAnsi="仿宋GB2312" w:eastAsia="仿宋GB2312" w:cs="仿宋GB2312"/>
          <w:snapToGrid/>
          <w:color w:val="auto"/>
          <w:kern w:val="2"/>
          <w:sz w:val="32"/>
          <w:szCs w:val="32"/>
          <w:lang w:val="en-US" w:eastAsia="zh-CN" w:bidi="ar-SA"/>
        </w:rPr>
        <w:t>各乡镇及农垦集团各农牧场要加强耕地地力保护补贴资金监管，坚持日常监管和重点抽查相结合，做好数据采集审核等工作，严禁将不符合政策规定的补贴对象和补贴面积纳入补贴范围，严防“跑冒滴漏”，对骗取、贪污、挤占、挪用或违规发放等行为，依法依规严肃处理。</w:t>
      </w:r>
    </w:p>
    <w:p w14:paraId="405DD12C">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rPr>
          <w:rFonts w:hint="eastAsia" w:ascii="仿宋_GB2312" w:hAnsi="仿宋_GB2312" w:eastAsia="仿宋_GB2312" w:cs="仿宋_GB2312"/>
          <w:sz w:val="32"/>
          <w:szCs w:val="32"/>
          <w:lang w:val="en-US" w:eastAsia="zh-CN"/>
        </w:rPr>
      </w:pPr>
      <w:r>
        <w:rPr>
          <w:rFonts w:hint="eastAsia" w:ascii="楷体" w:hAnsi="楷体" w:eastAsia="楷体" w:cs="楷体"/>
          <w:snapToGrid/>
          <w:color w:val="auto"/>
          <w:kern w:val="2"/>
          <w:sz w:val="32"/>
          <w:szCs w:val="32"/>
          <w:lang w:val="en-US" w:eastAsia="zh-CN" w:bidi="ar-SA"/>
        </w:rPr>
        <w:t>(五）强化宣传培训。</w:t>
      </w:r>
      <w:r>
        <w:rPr>
          <w:rFonts w:hint="eastAsia" w:ascii="仿宋GB2312" w:hAnsi="仿宋GB2312" w:eastAsia="仿宋GB2312" w:cs="仿宋GB2312"/>
          <w:snapToGrid/>
          <w:color w:val="auto"/>
          <w:kern w:val="2"/>
          <w:sz w:val="32"/>
          <w:szCs w:val="32"/>
          <w:lang w:val="en-US" w:eastAsia="zh-CN" w:bidi="ar-SA"/>
        </w:rPr>
        <w:t>各乡镇人民政府（各国有农牧场）要强化耕地地力保护补贴的政策解读，引导基层干部准确把握此项补贴的政策目标和管理要求，同时加强对农民的政策宣传，通过广播、电视、报纸、互联网、手机等渠道，确保将补贴政策内容宣传到村到户，减少矛盾。要及时做好农民的咨询和答疑，有效调动农民群众自觉保护耕地提升地力的积极性和主动性。</w:t>
      </w:r>
    </w:p>
    <w:p w14:paraId="508C0697">
      <w:pPr>
        <w:pStyle w:val="2"/>
        <w:pageBreakBefore w:val="0"/>
        <w:wordWrap/>
        <w:overflowPunct/>
        <w:topLinePunct w:val="0"/>
        <w:bidi w:val="0"/>
        <w:spacing w:line="600" w:lineRule="exact"/>
        <w:rPr>
          <w:rFonts w:hint="eastAsia"/>
          <w:lang w:val="en-US" w:eastAsia="zh-CN"/>
        </w:rPr>
      </w:pPr>
    </w:p>
    <w:p w14:paraId="31A89879"/>
    <w:sectPr>
      <w:headerReference r:id="rId3" w:type="default"/>
      <w:footerReference r:id="rId4" w:type="default"/>
      <w:pgSz w:w="11906" w:h="16838"/>
      <w:pgMar w:top="2098" w:right="1531" w:bottom="1984" w:left="153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AD104C0-3833-4A7B-922D-64D1BF76162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embedRegular r:id="rId2" w:fontKey="{AA48449E-E935-4744-B245-CDA926A46B1D}"/>
  </w:font>
  <w:font w:name="Segoe UI">
    <w:panose1 w:val="020B0502040204020203"/>
    <w:charset w:val="00"/>
    <w:family w:val="auto"/>
    <w:pitch w:val="default"/>
    <w:sig w:usb0="E4002EFF" w:usb1="C000E47F" w:usb2="00000009" w:usb3="00000000" w:csb0="200001FF" w:csb1="00000000"/>
  </w:font>
  <w:font w:name="Cambria">
    <w:panose1 w:val="02040503050406030204"/>
    <w:charset w:val="00"/>
    <w:family w:val="roman"/>
    <w:pitch w:val="default"/>
    <w:sig w:usb0="A00002EF" w:usb1="4000004B" w:usb2="00000000" w:usb3="00000000" w:csb0="2000009F" w:csb1="00000000"/>
  </w:font>
  <w:font w:name="仿宋">
    <w:panose1 w:val="02010609060101010101"/>
    <w:charset w:val="86"/>
    <w:family w:val="auto"/>
    <w:pitch w:val="default"/>
    <w:sig w:usb0="800002BF" w:usb1="38CF7CFA" w:usb2="00000016" w:usb3="00000000" w:csb0="00040001" w:csb1="00000000"/>
    <w:embedRegular r:id="rId3" w:fontKey="{C277D918-9EF9-4F14-B8C0-E1AA99564027}"/>
  </w:font>
  <w:font w:name="方正小标宋简体">
    <w:panose1 w:val="02000000000000000000"/>
    <w:charset w:val="86"/>
    <w:family w:val="auto"/>
    <w:pitch w:val="default"/>
    <w:sig w:usb0="00000001" w:usb1="08000000" w:usb2="00000000" w:usb3="00000000" w:csb0="00040000" w:csb1="00000000"/>
    <w:embedRegular r:id="rId4" w:fontKey="{12A10157-A923-4175-AE6F-B931FD141101}"/>
  </w:font>
  <w:font w:name="仿宋GB2312">
    <w:altName w:val="仿宋"/>
    <w:panose1 w:val="00000000000000000000"/>
    <w:charset w:val="00"/>
    <w:family w:val="auto"/>
    <w:pitch w:val="default"/>
    <w:sig w:usb0="00000000" w:usb1="00000000" w:usb2="00000000" w:usb3="00000000" w:csb0="00000000" w:csb1="00000000"/>
    <w:embedRegular r:id="rId5" w:fontKey="{4A4CB5DC-B432-4426-854C-E16A78477FAF}"/>
  </w:font>
  <w:font w:name="楷体">
    <w:panose1 w:val="02010609060101010101"/>
    <w:charset w:val="86"/>
    <w:family w:val="auto"/>
    <w:pitch w:val="default"/>
    <w:sig w:usb0="800002BF" w:usb1="38CF7CFA" w:usb2="00000016" w:usb3="00000000" w:csb0="00040001" w:csb1="00000000"/>
    <w:embedRegular r:id="rId6" w:fontKey="{A5244345-7D3F-4555-B7E7-B8E61ACEBCB2}"/>
  </w:font>
  <w:font w:name="仿宋_GB2312">
    <w:panose1 w:val="02010609030101010101"/>
    <w:charset w:val="86"/>
    <w:family w:val="modern"/>
    <w:pitch w:val="default"/>
    <w:sig w:usb0="00000001" w:usb1="080E0000" w:usb2="00000000" w:usb3="00000000" w:csb0="00040000" w:csb1="00000000"/>
    <w:embedRegular r:id="rId7" w:fontKey="{0CC0E1A0-2769-4A86-BFBB-DE4C14B2D80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EBDDE">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3D7A87">
                          <w:pPr>
                            <w:pStyle w:val="4"/>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A3D7A87">
                    <w:pPr>
                      <w:pStyle w:val="4"/>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7E3A66">
    <w:pPr>
      <w:pStyle w:val="5"/>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75738B"/>
    <w:rsid w:val="327573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next w:val="1"/>
    <w:qFormat/>
    <w:uiPriority w:val="0"/>
    <w:pPr>
      <w:keepNext/>
      <w:keepLines/>
      <w:widowControl w:val="0"/>
      <w:spacing w:line="416" w:lineRule="auto"/>
      <w:jc w:val="both"/>
      <w:outlineLvl w:val="1"/>
    </w:pPr>
    <w:rPr>
      <w:rFonts w:ascii="Cambria" w:hAnsi="Cambria" w:eastAsia="仿宋" w:cs="Times New Roman"/>
      <w:b/>
      <w:bCs/>
      <w:kern w:val="0"/>
      <w:sz w:val="32"/>
      <w:szCs w:val="32"/>
      <w:lang w:val="en-US" w:eastAsia="zh-CN" w:bidi="ar-SA"/>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w:basedOn w:val="1"/>
    <w:qFormat/>
    <w:uiPriority w:val="0"/>
    <w:rPr>
      <w:sz w:val="32"/>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2025-02-14T02:19:00Z</dcterms:created>
  <dc:creator>Administrator</dc:creator>
  <cp:lastModifiedBy>Administrator</cp:lastModifiedBy>
  <dcterms:modified xsi:type="dcterms:W3CDTF">2025-02-14T02:20:19Z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1CDE032E4FDF4F17819E6BA053EDAC02_11</vt:lpwstr>
  </property>
  <property fmtid="{D5CDD505-2E9C-101B-9397-08002B2CF9AE}" pid="4" name="KSOTemplateDocerSaveRecord">
    <vt:lpwstr>eyJoZGlkIjoiZTNiMjJkZjE0MTRjNjNhNjVjNWIzMDVkOWRmNzk1MzQiLCJ1c2VySWQiOiIyMTcxODc1NDQifQ==</vt:lpwstr>
  </property>
</Properties>
</file>