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b/>
          <w:bCs/>
          <w:sz w:val="52"/>
          <w:szCs w:val="52"/>
        </w:rPr>
      </w:pPr>
      <w:r>
        <w:rPr>
          <w:rFonts w:ascii="宋体" w:hAnsi="宋体"/>
          <w:b/>
          <w:bCs/>
          <w:sz w:val="52"/>
          <w:szCs w:val="52"/>
        </w:rPr>
        <w:t>2023</w:t>
      </w:r>
      <w:r>
        <w:rPr>
          <w:rFonts w:hint="eastAsia" w:ascii="宋体" w:hAnsi="宋体"/>
          <w:b/>
          <w:bCs/>
          <w:sz w:val="52"/>
          <w:szCs w:val="52"/>
        </w:rPr>
        <w:t>年度莫力达瓦达斡尔族自治旗登特科镇人民政府</w:t>
      </w: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ind w:firstLine="2240" w:firstLineChars="700"/>
        <w:jc w:val="left"/>
        <w:rPr>
          <w:rFonts w:hint="eastAsia" w:ascii="宋体" w:hAnsi="宋体"/>
          <w:sz w:val="32"/>
          <w:szCs w:val="32"/>
        </w:rPr>
      </w:pPr>
      <w:r>
        <w:rPr>
          <w:rFonts w:hint="eastAsia" w:ascii="宋体" w:hAnsi="宋体"/>
          <w:sz w:val="32"/>
          <w:szCs w:val="32"/>
        </w:rPr>
        <w:t>部门（单位）名称：莫力达瓦达斡尔族自治旗</w:t>
      </w:r>
    </w:p>
    <w:p>
      <w:pPr>
        <w:spacing w:line="360" w:lineRule="auto"/>
        <w:ind w:firstLine="5120" w:firstLineChars="1600"/>
        <w:jc w:val="left"/>
        <w:rPr>
          <w:rFonts w:ascii="宋体" w:hAnsi="宋体"/>
          <w:sz w:val="32"/>
          <w:szCs w:val="32"/>
        </w:rPr>
      </w:pPr>
      <w:r>
        <w:rPr>
          <w:rFonts w:hint="eastAsia" w:ascii="宋体" w:hAnsi="宋体"/>
          <w:sz w:val="32"/>
          <w:szCs w:val="32"/>
        </w:rPr>
        <w:t>登特科镇人民政府</w:t>
      </w:r>
    </w:p>
    <w:p>
      <w:pPr>
        <w:spacing w:line="360" w:lineRule="auto"/>
        <w:ind w:firstLine="2240" w:firstLineChars="700"/>
        <w:jc w:val="left"/>
        <w:rPr>
          <w:rFonts w:ascii="宋体" w:hAnsi="宋体"/>
          <w:sz w:val="32"/>
          <w:szCs w:val="32"/>
        </w:rPr>
      </w:pPr>
      <w:r>
        <w:rPr>
          <w:rFonts w:hint="eastAsia" w:ascii="宋体" w:hAnsi="宋体"/>
          <w:sz w:val="32"/>
          <w:szCs w:val="32"/>
        </w:rPr>
        <w:t>单位负责人：王闯</w:t>
      </w:r>
    </w:p>
    <w:p>
      <w:pPr>
        <w:spacing w:line="360" w:lineRule="auto"/>
        <w:ind w:firstLine="2240" w:firstLineChars="700"/>
        <w:jc w:val="left"/>
        <w:rPr>
          <w:rFonts w:hint="eastAsia" w:ascii="宋体" w:hAnsi="宋体"/>
          <w:sz w:val="32"/>
          <w:szCs w:val="32"/>
          <w:lang w:val="en-US" w:eastAsia="zh-CN"/>
        </w:rPr>
      </w:pPr>
      <w:r>
        <w:rPr>
          <w:rFonts w:hint="eastAsia" w:ascii="宋体" w:hAnsi="宋体"/>
          <w:sz w:val="32"/>
          <w:szCs w:val="32"/>
        </w:rPr>
        <w:t>财务负责人：</w:t>
      </w:r>
      <w:r>
        <w:rPr>
          <w:rFonts w:hint="eastAsia" w:ascii="宋体" w:hAnsi="宋体"/>
          <w:sz w:val="32"/>
          <w:szCs w:val="32"/>
          <w:lang w:val="en-US" w:eastAsia="zh-CN"/>
        </w:rPr>
        <w:t>程荣辉</w:t>
      </w:r>
    </w:p>
    <w:p>
      <w:pPr>
        <w:spacing w:line="360" w:lineRule="auto"/>
        <w:ind w:firstLine="2240" w:firstLineChars="700"/>
        <w:jc w:val="left"/>
        <w:rPr>
          <w:rFonts w:ascii="宋体" w:hAnsi="宋体"/>
          <w:sz w:val="32"/>
          <w:szCs w:val="32"/>
        </w:rPr>
      </w:pPr>
      <w:r>
        <w:rPr>
          <w:rFonts w:hint="eastAsia" w:ascii="宋体" w:hAnsi="宋体"/>
          <w:sz w:val="32"/>
          <w:szCs w:val="32"/>
        </w:rPr>
        <w:t>编制人：乌云高娃</w:t>
      </w:r>
    </w:p>
    <w:p>
      <w:pPr>
        <w:spacing w:line="360" w:lineRule="auto"/>
        <w:ind w:firstLine="2240" w:firstLineChars="700"/>
        <w:jc w:val="left"/>
        <w:rPr>
          <w:rFonts w:ascii="宋体" w:hAnsi="宋体"/>
          <w:sz w:val="32"/>
          <w:szCs w:val="32"/>
        </w:rPr>
      </w:pPr>
      <w:r>
        <w:rPr>
          <w:rFonts w:hint="eastAsia" w:ascii="宋体" w:hAnsi="宋体"/>
          <w:sz w:val="32"/>
          <w:szCs w:val="32"/>
        </w:rPr>
        <w:t>报送日期：</w:t>
      </w:r>
      <w:r>
        <w:rPr>
          <w:rFonts w:ascii="宋体" w:hAnsi="宋体"/>
          <w:sz w:val="32"/>
          <w:szCs w:val="32"/>
        </w:rPr>
        <w:t>2024</w:t>
      </w:r>
      <w:r>
        <w:rPr>
          <w:rFonts w:hint="eastAsia" w:ascii="宋体" w:hAnsi="宋体"/>
          <w:sz w:val="32"/>
          <w:szCs w:val="32"/>
        </w:rPr>
        <w:t>年10月</w:t>
      </w:r>
    </w:p>
    <w:p>
      <w:pPr>
        <w:ind w:firstLine="2249" w:firstLineChars="700"/>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p>
    <w:p>
      <w:pPr>
        <w:adjustRightInd w:val="0"/>
        <w:snapToGrid w:val="0"/>
        <w:rPr>
          <w:rFonts w:ascii="宋体" w:hAnsi="宋体"/>
          <w:b/>
          <w:sz w:val="32"/>
          <w:szCs w:val="32"/>
        </w:rPr>
      </w:pPr>
    </w:p>
    <w:p>
      <w:pPr>
        <w:widowControl/>
        <w:spacing w:after="240"/>
        <w:jc w:val="center"/>
        <w:rPr>
          <w:rFonts w:ascii="Times New Roman" w:hAnsi="Times New Roman" w:eastAsia="Times New Roman" w:cs="Times New Roman"/>
          <w:kern w:val="0"/>
          <w:sz w:val="24"/>
        </w:rPr>
      </w:pPr>
      <w:bookmarkStart w:id="0" w:name="a000"/>
      <w:r>
        <w:rPr>
          <w:rFonts w:ascii="fang_song_gb2312" w:hAnsi="fang_song_gb2312" w:eastAsia="fang_song_gb2312" w:cs="fang_song_gb2312"/>
          <w:b/>
          <w:bCs/>
          <w:kern w:val="0"/>
          <w:sz w:val="54"/>
          <w:szCs w:val="54"/>
        </w:rPr>
        <w:t>目 录</w:t>
      </w:r>
    </w:p>
    <w:p>
      <w:pPr>
        <w:widowControl/>
        <w:spacing w:before="240" w:after="240"/>
        <w:jc w:val="left"/>
        <w:rPr>
          <w:rFonts w:ascii="Times New Roman" w:hAnsi="Times New Roman" w:eastAsia="Times New Roman" w:cs="Times New Roman"/>
          <w:kern w:val="0"/>
          <w:sz w:val="24"/>
        </w:rPr>
      </w:pPr>
      <w:r>
        <w:rPr>
          <w:rFonts w:ascii="Times New Roman" w:hAnsi="Times New Roman" w:eastAsia="Times New Roman" w:cs="Times New Roman"/>
          <w:b/>
          <w:bCs/>
          <w:kern w:val="0"/>
          <w:sz w:val="24"/>
        </w:rPr>
        <w:t> </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第一部分 部门（单位）概况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一、主要职能、职责</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二、部门（单位）机构设置及决算单位构成情况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年度部门（单位）主要工作完成情况</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第二部分 部门（单位）决算情况说明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一、收入支出决算总体情况说明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二、收入决算情况说明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四、财政拨款收入支出决算总体情况说明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五、一般公共预算财政拨款支出决算情况说明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六、一般公共预算财政拨款基本支出决算情况说明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七、一般公共预算财政拨款项目支出决算情况说明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八、财政拨款“三公”经费支出决算情况说明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九、政府性基金预算财政拨款支出决算情况说明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十、国有资本经营预算财政拨款支出决算情况说明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十一、机构运行经费支出决算情况说明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十二、政府采购支出决算情况说明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十三、国有资产占用情况说明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十四、预算绩效情况说明</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第三部分 名词解释</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第四部分 决算公开联系方式及信息反馈渠道</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第五部分 部门（单位）决算表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一、收入支出决算总表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二、收入决算表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四、财政拨款收入支出决算总表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五、一般公共预算财政拨款支出决算表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六、一般公共预算财政拨款基本支出决算明细表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七、一般公共预算财政拨款项目支出决算明细表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八、政府性基金预算财政拨款收入支出决算表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九、国有资本经营预算财政拨款支出决算表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十、财政拨款“三公”经费支出决算表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十一、机构运行经费支出、国有资产占用情况及政府采购支出信息表</w:t>
      </w:r>
    </w:p>
    <w:p>
      <w:pPr>
        <w:widowControl/>
        <w:spacing w:before="240" w:after="240"/>
        <w:rPr>
          <w:rFonts w:ascii="Times New Roman" w:hAnsi="Times New Roman" w:eastAsia="Times New Roman" w:cs="Times New Roman"/>
          <w:kern w:val="0"/>
          <w:sz w:val="24"/>
        </w:rPr>
      </w:pPr>
    </w:p>
    <w:p>
      <w:pPr>
        <w:widowControl/>
        <w:spacing w:before="240" w:after="240"/>
        <w:jc w:val="center"/>
        <w:rPr>
          <w:rFonts w:ascii="Times New Roman" w:hAnsi="Times New Roman" w:eastAsia="Times New Roman" w:cs="Times New Roman"/>
          <w:kern w:val="0"/>
          <w:sz w:val="24"/>
        </w:rPr>
      </w:pPr>
      <w:r>
        <w:rPr>
          <w:rFonts w:ascii="fang_zheng_xiao_biao_song_ti" w:hAnsi="fang_zheng_xiao_biao_song_ti" w:eastAsia="fang_zheng_xiao_biao_song_ti" w:cs="fang_zheng_xiao_biao_song_ti"/>
          <w:b/>
          <w:bCs/>
          <w:color w:val="000000"/>
          <w:kern w:val="0"/>
          <w:sz w:val="36"/>
          <w:szCs w:val="36"/>
        </w:rPr>
        <w:t>第一部分 部门（单位）概况</w:t>
      </w:r>
    </w:p>
    <w:p>
      <w:pPr>
        <w:widowControl/>
        <w:spacing w:before="240" w:after="240"/>
        <w:jc w:val="left"/>
        <w:rPr>
          <w:rFonts w:ascii="黑体" w:hAnsi="黑体" w:eastAsia="黑体" w:cs="黑体"/>
          <w:kern w:val="0"/>
          <w:sz w:val="27"/>
          <w:szCs w:val="27"/>
        </w:rPr>
      </w:pPr>
      <w:r>
        <w:rPr>
          <w:rFonts w:ascii="Calibri" w:hAnsi="Calibri" w:eastAsia="Calibri" w:cs="Calibri"/>
          <w:b/>
          <w:bCs/>
          <w:kern w:val="0"/>
          <w:sz w:val="27"/>
          <w:szCs w:val="27"/>
        </w:rPr>
        <w:t> </w:t>
      </w:r>
      <w:r>
        <w:rPr>
          <w:rFonts w:ascii="黑体" w:hAnsi="黑体" w:eastAsia="黑体" w:cs="黑体"/>
          <w:kern w:val="0"/>
          <w:sz w:val="27"/>
          <w:szCs w:val="27"/>
        </w:rPr>
        <w:t xml:space="preserve">   一、主要职能、职责</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ascii="fang_song_gb2312" w:hAnsi="fang_song_gb2312" w:eastAsia="fang_song_gb2312" w:cs="fang_song_gb2312"/>
          <w:color w:val="0E00FE"/>
          <w:kern w:val="0"/>
          <w:sz w:val="27"/>
          <w:szCs w:val="27"/>
        </w:rPr>
        <w:t>   </w:t>
      </w:r>
      <w:r>
        <w:rPr>
          <w:rFonts w:hint="eastAsia" w:ascii="仿宋_GB2312" w:hAnsi="仿宋_GB2312" w:eastAsia="仿宋_GB2312"/>
          <w:color w:val="auto"/>
          <w:kern w:val="2"/>
          <w:sz w:val="32"/>
          <w:szCs w:val="24"/>
          <w:lang w:val="en-US" w:eastAsia="zh-CN"/>
        </w:rPr>
        <w:t>1）组织起草或审核以旗政府、镇政府名义发布的公文，组织起草《莫力达瓦达斡尔族自治旗登特科镇政府工作报告》等文</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（2）研究旗政府和各乡各部门请示旗政府的有关事项并提出拟办意见，报政府有关领导决定。</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（3）负责镇政府会议的准备和组织工作，协助市政府领导部署会议决定事项的实施。</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（4）督促检查镇政府公文、会议决定事项及旗政府领导重要批示的落实情况，向旗政府领导报告。</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（5）承担涉及镇政府各部门人大代表建议、政协提案的交办、督办、反馈等工作。</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（6）负责指导镇政府值班及突发公共事件应急相关工作，向旗政府领导报告重要情况。</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 xml:space="preserve">（7）根据旗政府工作重点和旗政府领导指示，组织和参与决策前的调研、论证，并提出建议；收集整理、分析研究全市经济与社会生活中的重要信息和动态，向旗政府领导报告。  </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（8）负责政务信息的采集、整理、传递工作，为旗政府领导决策提供参考；负责旗政府各类文件、会议材料的蒙文翻译工作；负责旗政府各部门政务公开的指导、督促和检查工作。</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 xml:space="preserve">  （9）负责旗政府系统电子政务建设工作，指导乡镇各部门的电子政务建设工作；负责旗政府门户网站的建设管理工作。 </w:t>
      </w:r>
    </w:p>
    <w:p>
      <w:pPr>
        <w:spacing w:line="560" w:lineRule="exact"/>
        <w:ind w:firstLine="64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lang w:val="en-US" w:eastAsia="zh-CN"/>
        </w:rPr>
        <w:t xml:space="preserve"> （10）旗领导交办的等其他工作。</w:t>
      </w:r>
    </w:p>
    <w:p>
      <w:pPr>
        <w:widowControl/>
        <w:spacing w:before="240" w:after="240"/>
        <w:rPr>
          <w:rFonts w:ascii="Times New Roman" w:hAnsi="Times New Roman" w:eastAsia="Times New Roman" w:cs="Times New Roman"/>
          <w:kern w:val="0"/>
          <w:sz w:val="24"/>
        </w:rPr>
      </w:pPr>
    </w:p>
    <w:p>
      <w:pPr>
        <w:widowControl/>
        <w:spacing w:before="240" w:after="240"/>
        <w:jc w:val="left"/>
        <w:rPr>
          <w:rFonts w:ascii="黑体" w:hAnsi="黑体" w:eastAsia="黑体" w:cs="黑体"/>
          <w:kern w:val="0"/>
          <w:sz w:val="27"/>
          <w:szCs w:val="27"/>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黑体" w:hAnsi="黑体" w:eastAsia="黑体" w:cs="黑体"/>
          <w:kern w:val="0"/>
          <w:sz w:val="27"/>
          <w:szCs w:val="27"/>
        </w:rPr>
        <w:t>  二、部门（单位）机构设置及决算单位构成情况</w:t>
      </w:r>
    </w:p>
    <w:p>
      <w:pPr>
        <w:spacing w:line="240" w:lineRule="auto"/>
        <w:jc w:val="left"/>
        <w:rPr>
          <w:rFonts w:hint="eastAsia" w:ascii="仿宋_GB2312" w:hAnsi="仿宋_GB2312" w:eastAsia="仿宋_GB2312"/>
          <w:color w:val="auto"/>
          <w:kern w:val="2"/>
          <w:sz w:val="32"/>
          <w:szCs w:val="24"/>
          <w:lang w:val="en-US" w:eastAsia="zh-CN"/>
        </w:rPr>
      </w:pPr>
      <w:r>
        <w:rPr>
          <w:rFonts w:ascii="times_new_roman" w:hAnsi="times_new_roman" w:eastAsia="times_new_roman" w:cs="times_new_roman"/>
          <w:kern w:val="0"/>
          <w:sz w:val="27"/>
          <w:szCs w:val="27"/>
        </w:rPr>
        <w:t xml:space="preserve">    </w:t>
      </w:r>
      <w:r>
        <w:rPr>
          <w:rFonts w:hint="eastAsia" w:ascii="仿宋_GB2312" w:hAnsi="仿宋_GB2312" w:eastAsia="仿宋_GB2312"/>
          <w:color w:val="auto"/>
          <w:kern w:val="2"/>
          <w:sz w:val="32"/>
          <w:szCs w:val="24"/>
          <w:lang w:val="en-US" w:eastAsia="zh-CN"/>
        </w:rPr>
        <w:t>1.根据部门（单位）职责分工，本部门（单位）内设机构包括党政综合办公室、基层党的建设办公室、乡村振兴办公室、社会事务办公室、平安建设办公室、莫力达瓦达斡尔族自治旗登特科镇综合行政执法局、莫力达瓦达斡尔族自治旗登特科镇党群服务中心、莫力达瓦达斡尔族自治旗登特科镇综合保障和技术推广中心。</w:t>
      </w:r>
    </w:p>
    <w:p>
      <w:pPr>
        <w:spacing w:line="240" w:lineRule="auto"/>
        <w:ind w:firstLine="640"/>
        <w:jc w:val="left"/>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本部门（单位）下属单位包括：本部门（单位）无下属单位。</w:t>
      </w:r>
    </w:p>
    <w:p>
      <w:pPr>
        <w:spacing w:line="240" w:lineRule="auto"/>
        <w:ind w:firstLine="640"/>
        <w:jc w:val="left"/>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2.从决算单位构成看，纳入本部门2023年度部门汇总决算编制范围的预算单位共计4家，详细情况见表：</w:t>
      </w:r>
    </w:p>
    <w:p>
      <w:pPr>
        <w:widowControl/>
        <w:spacing w:before="240" w:after="240"/>
        <w:rPr>
          <w:rFonts w:ascii="Times New Roman" w:hAnsi="Times New Roman" w:eastAsia="Times New Roman" w:cs="Times New Roman"/>
          <w:kern w:val="0"/>
          <w:sz w:val="24"/>
        </w:rPr>
      </w:pPr>
    </w:p>
    <w:tbl>
      <w:tblPr>
        <w:tblStyle w:val="20"/>
        <w:tblW w:w="3516" w:type="pct"/>
        <w:jc w:val="center"/>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566"/>
        <w:gridCol w:w="3173"/>
        <w:gridCol w:w="3141"/>
      </w:tblGrid>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60" w:hRule="atLeast"/>
          <w:tblHeader/>
          <w:jc w:val="center"/>
        </w:trPr>
        <w:tc>
          <w:tcPr>
            <w:tcW w:w="411" w:type="pct"/>
            <w:tcBorders>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序号</w:t>
            </w:r>
          </w:p>
        </w:tc>
        <w:tc>
          <w:tcPr>
            <w:tcW w:w="2306" w:type="pct"/>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单位名称</w:t>
            </w:r>
          </w:p>
        </w:tc>
        <w:tc>
          <w:tcPr>
            <w:tcW w:w="2283" w:type="pct"/>
            <w:tcBorders>
              <w:left w:val="inset" w:color="808080" w:sz="6" w:space="0"/>
              <w:bottom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单位性质</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411" w:type="pct"/>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1</w:t>
            </w:r>
          </w:p>
        </w:tc>
        <w:tc>
          <w:tcPr>
            <w:tcW w:w="2306" w:type="pct"/>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left"/>
              <w:rPr>
                <w:rFonts w:ascii="Times New Roman" w:hAnsi="Times New Roman" w:eastAsia="Times New Roman" w:cs="Times New Roman"/>
                <w:b w:val="0"/>
                <w:bCs w:val="0"/>
                <w:i w:val="0"/>
                <w:iCs w:val="0"/>
                <w:smallCaps w:val="0"/>
                <w:color w:val="000000"/>
                <w:kern w:val="0"/>
                <w:sz w:val="24"/>
              </w:rPr>
            </w:pPr>
            <w:r>
              <w:rPr>
                <w:rFonts w:hint="eastAsia" w:ascii="Times New Roman" w:hAnsi="Times New Roman" w:eastAsia="Times New Roman" w:cs="Times New Roman"/>
                <w:b w:val="0"/>
                <w:bCs w:val="0"/>
                <w:i w:val="0"/>
                <w:iCs w:val="0"/>
                <w:smallCaps w:val="0"/>
                <w:color w:val="000000"/>
                <w:kern w:val="0"/>
                <w:sz w:val="24"/>
                <w:lang w:val="en-US" w:eastAsia="zh-CN"/>
              </w:rPr>
              <w:t>莫力达瓦达斡尔族自治旗登特科镇人民政府</w:t>
            </w:r>
          </w:p>
        </w:tc>
        <w:tc>
          <w:tcPr>
            <w:tcW w:w="2283" w:type="pct"/>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行政</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411" w:type="pct"/>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2</w:t>
            </w:r>
          </w:p>
        </w:tc>
        <w:tc>
          <w:tcPr>
            <w:tcW w:w="2306" w:type="pct"/>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left"/>
              <w:rPr>
                <w:rFonts w:hint="default" w:ascii="Times New Roman" w:hAnsi="Times New Roman" w:eastAsia="Times New Roman" w:cs="Times New Roman"/>
                <w:b w:val="0"/>
                <w:bCs w:val="0"/>
                <w:i w:val="0"/>
                <w:iCs w:val="0"/>
                <w:smallCaps w:val="0"/>
                <w:color w:val="000000"/>
                <w:kern w:val="0"/>
                <w:sz w:val="24"/>
                <w:lang w:val="en-US"/>
              </w:rPr>
            </w:pPr>
            <w:r>
              <w:rPr>
                <w:rFonts w:hint="eastAsia" w:ascii="Times New Roman" w:hAnsi="Times New Roman" w:eastAsia="Times New Roman" w:cs="Times New Roman"/>
                <w:b w:val="0"/>
                <w:bCs w:val="0"/>
                <w:i w:val="0"/>
                <w:iCs w:val="0"/>
                <w:smallCaps w:val="0"/>
                <w:color w:val="000000"/>
                <w:kern w:val="0"/>
                <w:sz w:val="24"/>
                <w:lang w:val="en-US" w:eastAsia="zh-CN"/>
              </w:rPr>
              <w:t>莫力达瓦达斡尔族自治旗登特科镇党群服务中心</w:t>
            </w:r>
          </w:p>
        </w:tc>
        <w:tc>
          <w:tcPr>
            <w:tcW w:w="2283" w:type="pct"/>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事业</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411" w:type="pct"/>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3</w:t>
            </w:r>
          </w:p>
        </w:tc>
        <w:tc>
          <w:tcPr>
            <w:tcW w:w="2306" w:type="pct"/>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left"/>
              <w:rPr>
                <w:rFonts w:hint="default" w:ascii="Times New Roman" w:hAnsi="Times New Roman" w:eastAsia="Times New Roman" w:cs="Times New Roman"/>
                <w:b w:val="0"/>
                <w:bCs w:val="0"/>
                <w:i w:val="0"/>
                <w:iCs w:val="0"/>
                <w:smallCaps w:val="0"/>
                <w:color w:val="000000"/>
                <w:kern w:val="0"/>
                <w:sz w:val="24"/>
                <w:lang w:val="en-US"/>
              </w:rPr>
            </w:pPr>
            <w:r>
              <w:rPr>
                <w:rFonts w:hint="eastAsia" w:ascii="Times New Roman" w:hAnsi="Times New Roman" w:eastAsia="Times New Roman" w:cs="Times New Roman"/>
                <w:b w:val="0"/>
                <w:bCs w:val="0"/>
                <w:i w:val="0"/>
                <w:iCs w:val="0"/>
                <w:smallCaps w:val="0"/>
                <w:color w:val="000000"/>
                <w:kern w:val="0"/>
                <w:sz w:val="24"/>
                <w:lang w:val="en-US" w:eastAsia="zh-CN"/>
              </w:rPr>
              <w:t>莫力达瓦达斡尔族自治旗登特科镇综合执法队</w:t>
            </w:r>
          </w:p>
        </w:tc>
        <w:tc>
          <w:tcPr>
            <w:tcW w:w="2283" w:type="pct"/>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事业</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411" w:type="pct"/>
            <w:tcBorders>
              <w:top w:val="inset" w:color="808080" w:sz="6" w:space="0"/>
              <w:right w:val="inset" w:color="808080" w:sz="6" w:space="0"/>
            </w:tcBorders>
            <w:noWrap w:val="0"/>
            <w:tcMar>
              <w:top w:w="22" w:type="dxa"/>
              <w:left w:w="22" w:type="dxa"/>
              <w:bottom w:w="22" w:type="dxa"/>
              <w:right w:w="22" w:type="dxa"/>
            </w:tcMar>
            <w:vAlign w:val="center"/>
          </w:tcPr>
          <w:p>
            <w:pPr>
              <w:widowControl/>
              <w:jc w:val="center"/>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4</w:t>
            </w:r>
          </w:p>
        </w:tc>
        <w:tc>
          <w:tcPr>
            <w:tcW w:w="2306" w:type="pct"/>
            <w:tcBorders>
              <w:top w:val="inset" w:color="808080" w:sz="6" w:space="0"/>
              <w:left w:val="inset" w:color="808080" w:sz="6" w:space="0"/>
              <w:right w:val="inset" w:color="808080" w:sz="6" w:space="0"/>
            </w:tcBorders>
            <w:noWrap w:val="0"/>
            <w:tcMar>
              <w:top w:w="22" w:type="dxa"/>
              <w:left w:w="22" w:type="dxa"/>
              <w:bottom w:w="22" w:type="dxa"/>
              <w:right w:w="22" w:type="dxa"/>
            </w:tcMar>
            <w:vAlign w:val="center"/>
          </w:tcPr>
          <w:p>
            <w:pPr>
              <w:widowControl/>
              <w:jc w:val="left"/>
              <w:rPr>
                <w:rFonts w:hint="default" w:ascii="Times New Roman" w:hAnsi="Times New Roman" w:eastAsia="Times New Roman" w:cs="Times New Roman"/>
                <w:b w:val="0"/>
                <w:bCs w:val="0"/>
                <w:i w:val="0"/>
                <w:iCs w:val="0"/>
                <w:smallCaps w:val="0"/>
                <w:color w:val="000000"/>
                <w:kern w:val="0"/>
                <w:sz w:val="24"/>
                <w:lang w:val="en-US"/>
              </w:rPr>
            </w:pPr>
            <w:r>
              <w:rPr>
                <w:rFonts w:hint="eastAsia" w:ascii="Times New Roman" w:hAnsi="Times New Roman" w:eastAsia="Times New Roman" w:cs="Times New Roman"/>
                <w:b w:val="0"/>
                <w:bCs w:val="0"/>
                <w:i w:val="0"/>
                <w:iCs w:val="0"/>
                <w:smallCaps w:val="0"/>
                <w:color w:val="000000"/>
                <w:kern w:val="0"/>
                <w:sz w:val="24"/>
                <w:lang w:val="en-US" w:eastAsia="zh-CN"/>
              </w:rPr>
              <w:t>莫力达瓦达斡尔族自治旗登特科镇综合保障和技术推广中心</w:t>
            </w:r>
          </w:p>
        </w:tc>
        <w:tc>
          <w:tcPr>
            <w:tcW w:w="2283" w:type="pct"/>
            <w:tcBorders>
              <w:top w:val="inset" w:color="808080" w:sz="6" w:space="0"/>
              <w:left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val="en-US" w:eastAsia="zh-CN"/>
              </w:rPr>
            </w:pPr>
            <w:r>
              <w:rPr>
                <w:rFonts w:hint="eastAsia" w:cs="Times New Roman"/>
                <w:b w:val="0"/>
                <w:bCs w:val="0"/>
                <w:i w:val="0"/>
                <w:iCs w:val="0"/>
                <w:smallCaps w:val="0"/>
                <w:color w:val="000000"/>
                <w:kern w:val="0"/>
                <w:sz w:val="24"/>
                <w:lang w:val="en-US" w:eastAsia="zh-CN"/>
              </w:rPr>
              <w:t>事业</w:t>
            </w:r>
          </w:p>
        </w:tc>
      </w:tr>
    </w:tbl>
    <w:p>
      <w:pPr>
        <w:spacing w:line="560" w:lineRule="exact"/>
        <w:jc w:val="both"/>
        <w:rPr>
          <w:rFonts w:hint="eastAsia" w:ascii="黑体" w:hAnsi="黑体" w:eastAsia="黑体" w:cs="黑体"/>
          <w:kern w:val="0"/>
          <w:sz w:val="27"/>
          <w:szCs w:val="27"/>
          <w:lang w:val="en-US" w:eastAsia="zh-CN"/>
        </w:rPr>
      </w:pPr>
      <w:r>
        <w:rPr>
          <w:rFonts w:ascii="黑体" w:hAnsi="黑体" w:eastAsia="黑体" w:cs="黑体"/>
          <w:kern w:val="0"/>
          <w:sz w:val="27"/>
          <w:szCs w:val="27"/>
        </w:rPr>
        <w:t xml:space="preserve"> </w:t>
      </w:r>
      <w:r>
        <w:rPr>
          <w:rFonts w:hint="eastAsia" w:ascii="黑体" w:hAnsi="黑体" w:eastAsia="黑体" w:cs="黑体"/>
          <w:kern w:val="0"/>
          <w:sz w:val="27"/>
          <w:szCs w:val="27"/>
          <w:lang w:val="en-US" w:eastAsia="zh-CN"/>
        </w:rPr>
        <w:t>三、2022年度主要工作完成情况</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(1)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执行本级人民代表大会的决议和上级国家行政机关的决定和命令，发布决定和命令；</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 xml:space="preserve">(2)执行本行政区域内的经济和社会发展计划、预算，管理本行政区域内的经济、教育、科学、文化、卫生、体育事业和财政、民政、公安、司法行政、计划生育等行政工作； </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(3)保护社会主义的全民所有的财产和劳动群众集体所有的财产，保护公民私人所有的合法财产，维护社会秩序，保障公民的人身权利、民主权利和其他权利；</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 xml:space="preserve">(4)保护各种经济组织的合法权益； </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(5)保障少数民族的权利和尊重少数民族的风俗习惯；</w:t>
      </w:r>
    </w:p>
    <w:p>
      <w:pPr>
        <w:spacing w:line="560" w:lineRule="exact"/>
        <w:ind w:firstLine="640"/>
        <w:jc w:val="both"/>
        <w:rPr>
          <w:rFonts w:hint="eastAsia" w:ascii="仿宋_GB2312" w:hAnsi="仿宋_GB2312" w:eastAsia="仿宋_GB2312"/>
          <w:color w:val="auto"/>
          <w:kern w:val="2"/>
          <w:sz w:val="32"/>
          <w:szCs w:val="24"/>
          <w:lang w:val="en-US" w:eastAsia="zh-CN"/>
        </w:rPr>
      </w:pPr>
      <w:r>
        <w:rPr>
          <w:rFonts w:hint="eastAsia" w:ascii="仿宋_GB2312" w:hAnsi="仿宋_GB2312" w:eastAsia="仿宋_GB2312"/>
          <w:color w:val="auto"/>
          <w:kern w:val="2"/>
          <w:sz w:val="32"/>
          <w:szCs w:val="24"/>
          <w:lang w:val="en-US" w:eastAsia="zh-CN"/>
        </w:rPr>
        <w:t>(6)办理上级人民政府交办的其他事项。</w:t>
      </w:r>
    </w:p>
    <w:p>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第二部分  部门（单位）决算情况说明</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一、收入支出决算总体情况说明</w:t>
      </w:r>
    </w:p>
    <w:p>
      <w:pPr>
        <w:widowControl/>
        <w:spacing w:before="240" w:after="240"/>
        <w:jc w:val="left"/>
        <w:rPr>
          <w:rFonts w:hint="default" w:ascii="Times New Roman" w:hAnsi="Times New Roman" w:eastAsia="Times New Roman" w:cs="Times New Roman"/>
          <w:kern w:val="0"/>
          <w:sz w:val="24"/>
          <w:lang w:val="en-US"/>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年度收入、支出决算总计</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万元。与年初预算相比，收、支总计各增加（减少）</w:t>
      </w:r>
      <w:r>
        <w:rPr>
          <w:rFonts w:ascii="times_new_roman" w:hAnsi="times_new_roman" w:eastAsia="times_new_roman" w:cs="times_new_roman"/>
          <w:kern w:val="0"/>
          <w:sz w:val="27"/>
          <w:szCs w:val="27"/>
          <w:u w:val="single"/>
        </w:rPr>
        <w:t xml:space="preserve"> 1,507.84</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81.94</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主要为我单位本年度农林水支出增加，增加原因为本年度有美丽乡村还本息支出增加1800万元，其他项目支出缩减开支</w:t>
      </w:r>
      <w:r>
        <w:rPr>
          <w:rFonts w:ascii="fang_song_gb2312" w:hAnsi="fang_song_gb2312" w:eastAsia="fang_song_gb2312" w:cs="fang_song_gb2312"/>
          <w:kern w:val="0"/>
          <w:sz w:val="27"/>
          <w:szCs w:val="27"/>
        </w:rPr>
        <w:t>；与上年决算相比，收、支总计各增加</w:t>
      </w:r>
      <w:r>
        <w:rPr>
          <w:rFonts w:ascii="times_new_roman" w:hAnsi="times_new_roman" w:eastAsia="times_new_roman" w:cs="times_new_roman"/>
          <w:kern w:val="0"/>
          <w:sz w:val="27"/>
          <w:szCs w:val="27"/>
          <w:u w:val="single"/>
        </w:rPr>
        <w:t xml:space="preserve"> 1,997.47</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147.90</w:t>
      </w:r>
      <w:r>
        <w:rPr>
          <w:rFonts w:ascii="fang_song_gb2312" w:hAnsi="fang_song_gb2312" w:eastAsia="fang_song_gb2312" w:cs="fang_song_gb2312"/>
          <w:kern w:val="0"/>
          <w:sz w:val="27"/>
          <w:szCs w:val="27"/>
        </w:rPr>
        <w:t>%。其中：变动原因：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主要为我单位本年度农林水支出增加，增加原因为本年度有美丽乡村还本息支出增加1800万元，人员增加等人员经费支出增加。</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（一）收入决算总计</w:t>
      </w:r>
      <w:r>
        <w:rPr>
          <w:rFonts w:ascii="times_new_roman" w:hAnsi="times_new_roman" w:eastAsia="times_new_roman" w:cs="times_new_roman"/>
          <w:b/>
          <w:bCs/>
          <w:kern w:val="0"/>
          <w:sz w:val="27"/>
          <w:szCs w:val="27"/>
          <w:u w:val="single"/>
        </w:rPr>
        <w:t xml:space="preserve"> 3,348.04</w:t>
      </w:r>
      <w:r>
        <w:rPr>
          <w:rFonts w:ascii="kai_ti_gb2312" w:hAnsi="kai_ti_gb2312" w:eastAsia="kai_ti_gb2312" w:cs="kai_ti_gb2312"/>
          <w:b/>
          <w:bCs/>
          <w:kern w:val="0"/>
          <w:sz w:val="27"/>
          <w:szCs w:val="27"/>
        </w:rPr>
        <w:t>万元。包括：</w:t>
      </w:r>
    </w:p>
    <w:p>
      <w:pPr>
        <w:widowControl/>
        <w:spacing w:before="240" w:after="240"/>
        <w:jc w:val="left"/>
        <w:rPr>
          <w:rFonts w:hint="default" w:ascii="Times New Roman" w:hAnsi="Times New Roman" w:eastAsia="Times New Roman" w:cs="Times New Roman"/>
          <w:kern w:val="0"/>
          <w:sz w:val="24"/>
          <w:lang w:val="en-US"/>
        </w:rPr>
      </w:pPr>
      <w:r>
        <w:rPr>
          <w:rFonts w:ascii="fang_song_gb2312" w:hAnsi="fang_song_gb2312" w:eastAsia="fang_song_gb2312" w:cs="fang_song_gb2312"/>
          <w:kern w:val="0"/>
          <w:sz w:val="27"/>
          <w:szCs w:val="27"/>
        </w:rPr>
        <w:t>    1.本年收入决算合计</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万元。与上年决算相比，增加</w:t>
      </w:r>
      <w:r>
        <w:rPr>
          <w:rFonts w:ascii="times_new_roman" w:hAnsi="times_new_roman" w:eastAsia="times_new_roman" w:cs="times_new_roman"/>
          <w:kern w:val="0"/>
          <w:sz w:val="27"/>
          <w:szCs w:val="27"/>
          <w:u w:val="single"/>
        </w:rPr>
        <w:t>1,997.47</w:t>
      </w:r>
      <w:r>
        <w:rPr>
          <w:rFonts w:ascii="fang_song_gb2312" w:hAnsi="fang_song_gb2312" w:eastAsia="fang_song_gb2312" w:cs="fang_song_gb2312"/>
          <w:kern w:val="0"/>
          <w:sz w:val="27"/>
          <w:szCs w:val="27"/>
        </w:rPr>
        <w:t xml:space="preserve">万元，增长 </w:t>
      </w:r>
      <w:r>
        <w:rPr>
          <w:rFonts w:ascii="times_new_roman" w:hAnsi="times_new_roman" w:eastAsia="times_new_roman" w:cs="times_new_roman"/>
          <w:kern w:val="0"/>
          <w:sz w:val="27"/>
          <w:szCs w:val="27"/>
          <w:u w:val="single"/>
        </w:rPr>
        <w:t>147.90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主要为我单位本年度农林水支出增加，增加原因为本年度有美丽乡村还本息支出增加1800万元，人员增加等人员经费支出增加。</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2.使用非财政拨款结余和专用结余</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万元，变动原因：</w:t>
      </w:r>
      <w:r>
        <w:rPr>
          <w:rFonts w:hint="eastAsia" w:ascii="fang_song_gb2312" w:hAnsi="fang_song_gb2312" w:cs="fang_song_gb2312"/>
          <w:kern w:val="0"/>
          <w:sz w:val="27"/>
          <w:szCs w:val="27"/>
          <w:lang w:val="en-US" w:eastAsia="zh-CN"/>
        </w:rPr>
        <w:t>无变动</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3.年初结转和结余 </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万元，增长（减少），变动原因：</w:t>
      </w:r>
      <w:r>
        <w:rPr>
          <w:rFonts w:hint="eastAsia" w:ascii="fang_song_gb2312" w:hAnsi="fang_song_gb2312" w:cs="fang_song_gb2312"/>
          <w:kern w:val="0"/>
          <w:sz w:val="27"/>
          <w:szCs w:val="27"/>
          <w:lang w:val="en-US" w:eastAsia="zh-CN"/>
        </w:rPr>
        <w:t>无变动</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（二）支出决算总计</w:t>
      </w:r>
      <w:r>
        <w:rPr>
          <w:rFonts w:ascii="times_new_roman" w:hAnsi="times_new_roman" w:eastAsia="times_new_roman" w:cs="times_new_roman"/>
          <w:b/>
          <w:bCs/>
          <w:kern w:val="0"/>
          <w:sz w:val="27"/>
          <w:szCs w:val="27"/>
          <w:u w:val="single"/>
        </w:rPr>
        <w:t xml:space="preserve"> 3,348.04</w:t>
      </w:r>
      <w:r>
        <w:rPr>
          <w:rFonts w:ascii="kai_ti_gb2312" w:hAnsi="kai_ti_gb2312" w:eastAsia="kai_ti_gb2312" w:cs="kai_ti_gb2312"/>
          <w:b/>
          <w:bCs/>
          <w:kern w:val="0"/>
          <w:sz w:val="27"/>
          <w:szCs w:val="27"/>
        </w:rPr>
        <w:t>万元。包括：</w:t>
      </w:r>
    </w:p>
    <w:p>
      <w:pPr>
        <w:widowControl/>
        <w:spacing w:before="240" w:after="240"/>
        <w:jc w:val="left"/>
        <w:rPr>
          <w:rFonts w:hint="default" w:ascii="Times New Roman" w:hAnsi="Times New Roman" w:eastAsia="Times New Roman" w:cs="Times New Roman"/>
          <w:kern w:val="0"/>
          <w:sz w:val="24"/>
          <w:lang w:val="en-US"/>
        </w:rPr>
      </w:pPr>
      <w:r>
        <w:rPr>
          <w:rFonts w:ascii="fang_song_gb2312" w:hAnsi="fang_song_gb2312" w:eastAsia="fang_song_gb2312" w:cs="fang_song_gb2312"/>
          <w:kern w:val="0"/>
          <w:sz w:val="27"/>
          <w:szCs w:val="27"/>
        </w:rPr>
        <w:t>    1.本年支出决算合计</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万元。与上年决算相比，增加</w:t>
      </w:r>
      <w:r>
        <w:rPr>
          <w:rFonts w:ascii="times_new_roman" w:hAnsi="times_new_roman" w:eastAsia="times_new_roman" w:cs="times_new_roman"/>
          <w:kern w:val="0"/>
          <w:sz w:val="27"/>
          <w:szCs w:val="27"/>
          <w:u w:val="single"/>
        </w:rPr>
        <w:t xml:space="preserve"> 1,997.47</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147.90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主要为我单位本年度农林水支出增加，增加原因为本年度有美丽乡村还本息支出增加1800万元，人员增加等人员经费支出增加。</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2.结余分配</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万元。结余分配事项：</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无变动</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3.年末结转和结余</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万元。结转和结余事项：</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无变动</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二、收入决算情况说明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年度本年收入决算合计</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本年一般公共预算财政拨款收入</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本年政府性基金预算财政拨款收入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本年国有资本经营预算财政拨款收入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本年上级补助收入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本年事业收入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本年经营收入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本年附属单位上缴收入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本年其他收入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p>
    <w:p>
      <w:pPr>
        <w:widowControl/>
        <w:spacing w:before="240" w:after="240"/>
        <w:jc w:val="center"/>
        <w:rPr>
          <w:rFonts w:ascii="fang_song_gb2312" w:hAnsi="fang_song_gb2312" w:eastAsia="fang_song_gb2312" w:cs="fang_song_gb2312"/>
          <w:color w:val="0E00FE"/>
          <w:kern w:val="0"/>
          <w:sz w:val="27"/>
          <w:szCs w:val="27"/>
        </w:rPr>
      </w:pPr>
      <w:r>
        <w:rPr>
          <w:rFonts w:ascii="fang_song_gb2312" w:hAnsi="fang_song_gb2312" w:eastAsia="fang_song_gb2312" w:cs="fang_song_gb2312"/>
          <w:kern w:val="0"/>
          <w:sz w:val="27"/>
          <w:szCs w:val="27"/>
        </w:rPr>
        <w:t>图</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.收入决算图</w:t>
      </w:r>
      <w:r>
        <w:rPr>
          <w:rFonts w:ascii="fang_song_gb2312" w:hAnsi="fang_song_gb2312" w:eastAsia="fang_song_gb2312" w:cs="fang_song_gb2312"/>
          <w:color w:val="0E00FE"/>
          <w:kern w:val="0"/>
          <w:sz w:val="27"/>
          <w:szCs w:val="27"/>
        </w:rPr>
        <w:t>（以饼图列示）</w:t>
      </w:r>
    </w:p>
    <w:p>
      <w:pPr>
        <w:pStyle w:val="2"/>
        <w:rPr>
          <w:rFonts w:hint="eastAsia" w:eastAsia="宋体"/>
          <w:lang w:eastAsia="zh-CN"/>
        </w:rPr>
      </w:pPr>
      <w:r>
        <w:rPr>
          <w:rFonts w:hint="eastAsia" w:eastAsia="宋体"/>
          <w:lang w:eastAsia="zh-CN"/>
        </w:rPr>
        <w:drawing>
          <wp:inline distT="0" distB="0" distL="114300" distR="114300">
            <wp:extent cx="5080000" cy="3810000"/>
            <wp:effectExtent l="4445" t="4445" r="20955" b="1460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莫力达瓦达斡尔族自治旗登特科镇人民政府 2023年度本年支出决算合计</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本年基本支出</w:t>
      </w:r>
      <w:r>
        <w:rPr>
          <w:rFonts w:ascii="times_new_roman" w:hAnsi="times_new_roman" w:eastAsia="times_new_roman" w:cs="times_new_roman"/>
          <w:kern w:val="0"/>
          <w:sz w:val="27"/>
          <w:szCs w:val="27"/>
          <w:u w:val="single"/>
        </w:rPr>
        <w:t xml:space="preserve"> 1,268.66</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37.89</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本年项目支出</w:t>
      </w:r>
      <w:r>
        <w:rPr>
          <w:rFonts w:ascii="times_new_roman" w:hAnsi="times_new_roman" w:eastAsia="times_new_roman" w:cs="times_new_roman"/>
          <w:kern w:val="0"/>
          <w:sz w:val="27"/>
          <w:szCs w:val="27"/>
          <w:u w:val="single"/>
        </w:rPr>
        <w:t xml:space="preserve"> 2,079.38</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62.11</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本年上缴上级支出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本年经营支出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本年对附属单位补助支出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p>
    <w:p>
      <w:pPr>
        <w:widowControl/>
        <w:spacing w:before="240" w:after="240"/>
        <w:jc w:val="center"/>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图2.支出决算图</w:t>
      </w:r>
      <w:r>
        <w:rPr>
          <w:rFonts w:ascii="fang_song_gb2312" w:hAnsi="fang_song_gb2312" w:eastAsia="fang_song_gb2312" w:cs="fang_song_gb2312"/>
          <w:color w:val="0E00FE"/>
          <w:kern w:val="0"/>
          <w:sz w:val="27"/>
          <w:szCs w:val="27"/>
        </w:rPr>
        <w:t>（以饼图列示）</w:t>
      </w:r>
    </w:p>
    <w:p>
      <w:pPr>
        <w:widowControl/>
        <w:spacing w:before="240" w:after="240"/>
        <w:jc w:val="left"/>
        <w:rPr>
          <w:rFonts w:ascii="Times New Roman" w:hAnsi="Times New Roman" w:eastAsia="Times New Roman" w:cs="Times New Roman"/>
          <w:kern w:val="0"/>
          <w:sz w:val="24"/>
        </w:rPr>
      </w:pPr>
    </w:p>
    <w:p>
      <w:pPr>
        <w:pStyle w:val="2"/>
        <w:rPr>
          <w:rFonts w:hint="eastAsia" w:eastAsia="宋体"/>
          <w:lang w:eastAsia="zh-CN"/>
        </w:rPr>
      </w:pPr>
      <w:r>
        <w:rPr>
          <w:rFonts w:hint="eastAsia" w:eastAsia="宋体"/>
          <w:lang w:eastAsia="zh-CN"/>
        </w:rPr>
        <w:drawing>
          <wp:inline distT="0" distB="0" distL="114300" distR="114300">
            <wp:extent cx="5080000" cy="3810000"/>
            <wp:effectExtent l="4445" t="4445" r="2095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四、财政拨款收入支出决算总体情况说明</w:t>
      </w:r>
    </w:p>
    <w:p>
      <w:pPr>
        <w:widowControl/>
        <w:spacing w:before="240" w:after="240"/>
        <w:jc w:val="left"/>
        <w:rPr>
          <w:rFonts w:hint="default" w:ascii="Times New Roman" w:hAnsi="Times New Roman" w:eastAsia="Times New Roman" w:cs="Times New Roman"/>
          <w:kern w:val="0"/>
          <w:sz w:val="24"/>
          <w:lang w:val="en-US"/>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年度财政拨款收入、支出决算总计</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万元，与年初预算相比，收、支总计各增加</w:t>
      </w:r>
      <w:r>
        <w:rPr>
          <w:rFonts w:ascii="times_new_roman" w:hAnsi="times_new_roman" w:eastAsia="times_new_roman" w:cs="times_new_roman"/>
          <w:kern w:val="0"/>
          <w:sz w:val="27"/>
          <w:szCs w:val="27"/>
          <w:u w:val="single"/>
        </w:rPr>
        <w:t xml:space="preserve"> 1,507.84</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81.94</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主要为我单位本年度农林水支出增加，增加原因为本年度有美丽乡村还本息支出增加1800万元，其他项目支出缩减</w:t>
      </w:r>
      <w:r>
        <w:rPr>
          <w:rFonts w:ascii="fang_song_gb2312" w:hAnsi="fang_song_gb2312" w:eastAsia="fang_song_gb2312" w:cs="fang_song_gb2312"/>
          <w:kern w:val="0"/>
          <w:sz w:val="27"/>
          <w:szCs w:val="27"/>
        </w:rPr>
        <w:t>；与上年决算相比，收、支总计各增加</w:t>
      </w:r>
      <w:r>
        <w:rPr>
          <w:rFonts w:ascii="times_new_roman" w:hAnsi="times_new_roman" w:eastAsia="times_new_roman" w:cs="times_new_roman"/>
          <w:kern w:val="0"/>
          <w:sz w:val="27"/>
          <w:szCs w:val="27"/>
          <w:u w:val="single"/>
        </w:rPr>
        <w:t xml:space="preserve"> 1,997.47</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147.90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主要为我单位本年度农林水支出增加，增加原因为本年度有美丽乡村还本息支出增加1800万元，人员增加等人员经费支出增加。</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五、一般公共预算财政拨款支出决算情况说明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年度一般公共预算财政拨款支出决算</w:t>
      </w:r>
      <w:r>
        <w:rPr>
          <w:rFonts w:ascii="times_new_roman" w:hAnsi="times_new_roman" w:eastAsia="times_new_roman" w:cs="times_new_roman"/>
          <w:kern w:val="0"/>
          <w:sz w:val="27"/>
          <w:szCs w:val="27"/>
          <w:u w:val="single"/>
        </w:rPr>
        <w:t xml:space="preserve"> 3,348.04</w:t>
      </w:r>
      <w:r>
        <w:rPr>
          <w:rFonts w:ascii="fang_song_gb2312" w:hAnsi="fang_song_gb2312" w:eastAsia="fang_song_gb2312" w:cs="fang_song_gb2312"/>
          <w:kern w:val="0"/>
          <w:sz w:val="27"/>
          <w:szCs w:val="27"/>
        </w:rPr>
        <w:t>万元。与年初预算</w:t>
      </w:r>
      <w:r>
        <w:rPr>
          <w:rFonts w:ascii="times_new_roman" w:hAnsi="times_new_roman" w:eastAsia="times_new_roman" w:cs="times_new_roman"/>
          <w:kern w:val="0"/>
          <w:sz w:val="27"/>
          <w:szCs w:val="27"/>
          <w:u w:val="single"/>
        </w:rPr>
        <w:t xml:space="preserve"> 1,170.20</w:t>
      </w:r>
      <w:r>
        <w:rPr>
          <w:rFonts w:ascii="fang_song_gb2312" w:hAnsi="fang_song_gb2312" w:eastAsia="fang_song_gb2312" w:cs="fang_song_gb2312"/>
          <w:kern w:val="0"/>
          <w:sz w:val="27"/>
          <w:szCs w:val="27"/>
        </w:rPr>
        <w:t>万元相比，完成年初预算的</w:t>
      </w:r>
      <w:r>
        <w:rPr>
          <w:rFonts w:ascii="times_new_roman" w:hAnsi="times_new_roman" w:eastAsia="times_new_roman" w:cs="times_new_roman"/>
          <w:kern w:val="0"/>
          <w:sz w:val="27"/>
          <w:szCs w:val="27"/>
          <w:u w:val="single"/>
        </w:rPr>
        <w:t xml:space="preserve"> 286.11</w:t>
      </w:r>
      <w:r>
        <w:rPr>
          <w:rFonts w:ascii="fang_song_gb2312" w:hAnsi="fang_song_gb2312" w:eastAsia="fang_song_gb2312" w:cs="fang_song_gb2312"/>
          <w:kern w:val="0"/>
          <w:sz w:val="27"/>
          <w:szCs w:val="27"/>
        </w:rPr>
        <w:t>%。其中：变动原因：</w:t>
      </w:r>
      <w:r>
        <w:rPr>
          <w:rFonts w:hint="eastAsia" w:ascii="fang_song_gb2312" w:hAnsi="fang_song_gb2312" w:cs="fang_song_gb2312"/>
          <w:kern w:val="0"/>
          <w:sz w:val="27"/>
          <w:szCs w:val="27"/>
          <w:lang w:val="en-US" w:eastAsia="zh-CN"/>
        </w:rPr>
        <w:t>主要为我单位本年度农林水支出增加，增加原因为本年度有美丽乡村还本息支出增加1800万元，人员增加等人员经费支出增加。</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（一）一般公共服务（类）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一般公共服务类决算数为</w:t>
      </w:r>
      <w:r>
        <w:rPr>
          <w:rFonts w:ascii="times_new_roman" w:hAnsi="times_new_roman" w:eastAsia="times_new_roman" w:cs="times_new_roman"/>
          <w:kern w:val="0"/>
          <w:sz w:val="27"/>
          <w:szCs w:val="27"/>
          <w:u w:val="single"/>
        </w:rPr>
        <w:t xml:space="preserve"> 571.54</w:t>
      </w:r>
      <w:r>
        <w:rPr>
          <w:rFonts w:ascii="fang_song_gb2312" w:hAnsi="fang_song_gb2312" w:eastAsia="fang_song_gb2312" w:cs="fang_song_gb2312"/>
          <w:kern w:val="0"/>
          <w:sz w:val="27"/>
          <w:szCs w:val="27"/>
        </w:rPr>
        <w:t>万元，与年初预算相比增加（减少）</w:t>
      </w:r>
      <w:r>
        <w:rPr>
          <w:rFonts w:ascii="times_new_roman" w:hAnsi="times_new_roman" w:eastAsia="times_new_roman" w:cs="times_new_roman"/>
          <w:kern w:val="0"/>
          <w:sz w:val="27"/>
          <w:szCs w:val="27"/>
          <w:u w:val="single"/>
        </w:rPr>
        <w:t xml:space="preserve"> 70.44</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1．人大事务（款）行政运行（项）。年初预算</w:t>
      </w:r>
      <w:r>
        <w:rPr>
          <w:rFonts w:hint="eastAsia" w:ascii="times_new_roman" w:hAnsi="times_new_roman" w:cs="times_new_roman"/>
          <w:kern w:val="0"/>
          <w:sz w:val="27"/>
          <w:szCs w:val="27"/>
          <w:u w:val="single"/>
          <w:lang w:val="en-US" w:eastAsia="zh-CN"/>
        </w:rPr>
        <w:t>5</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9</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办公费用增加，本年度人大会议期间费用较上年度增加</w:t>
      </w:r>
      <w:r>
        <w:rPr>
          <w:rFonts w:ascii="fang_song_gb2312" w:hAnsi="fang_song_gb2312" w:eastAsia="fang_song_gb2312" w:cs="fang_song_gb2312"/>
          <w:kern w:val="0"/>
          <w:sz w:val="27"/>
          <w:szCs w:val="27"/>
        </w:rPr>
        <w:t>。</w:t>
      </w:r>
    </w:p>
    <w:p>
      <w:pPr>
        <w:widowControl/>
        <w:spacing w:before="240" w:after="240"/>
        <w:rPr>
          <w:rFonts w:hint="eastAsia"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 xml:space="preserve">  </w:t>
      </w:r>
      <w:r>
        <w:rPr>
          <w:rFonts w:hint="eastAsia" w:ascii="fang_song_gb2312" w:hAnsi="fang_song_gb2312" w:eastAsia="fang_song_gb2312" w:cs="fang_song_gb2312"/>
          <w:kern w:val="0"/>
          <w:sz w:val="27"/>
          <w:szCs w:val="27"/>
        </w:rPr>
        <w:t xml:space="preserve">2．政府办公厅（室）及相关机构事务（项）。年初预算 </w:t>
      </w:r>
      <w:r>
        <w:rPr>
          <w:rFonts w:hint="eastAsia" w:ascii="fang_song_gb2312" w:hAnsi="fang_song_gb2312" w:cs="fang_song_gb2312"/>
          <w:kern w:val="0"/>
          <w:sz w:val="27"/>
          <w:szCs w:val="27"/>
          <w:lang w:val="en-US" w:eastAsia="zh-CN"/>
        </w:rPr>
        <w:t>413.89</w:t>
      </w:r>
      <w:r>
        <w:rPr>
          <w:rFonts w:hint="eastAsia" w:ascii="fang_song_gb2312" w:hAnsi="fang_song_gb2312" w:eastAsia="fang_song_gb2312" w:cs="fang_song_gb2312"/>
          <w:kern w:val="0"/>
          <w:sz w:val="27"/>
          <w:szCs w:val="27"/>
        </w:rPr>
        <w:t>万元，支出决算</w:t>
      </w:r>
      <w:r>
        <w:rPr>
          <w:rFonts w:hint="eastAsia" w:ascii="fang_song_gb2312" w:hAnsi="fang_song_gb2312" w:eastAsia="fang_song_gb2312" w:cs="fang_song_gb2312"/>
          <w:kern w:val="0"/>
          <w:sz w:val="27"/>
          <w:szCs w:val="27"/>
          <w:lang w:val="en-US" w:eastAsia="zh-CN"/>
        </w:rPr>
        <w:t>472.63</w:t>
      </w:r>
      <w:r>
        <w:rPr>
          <w:rFonts w:hint="eastAsia" w:ascii="fang_song_gb2312" w:hAnsi="fang_song_gb2312" w:eastAsia="fang_song_gb2312" w:cs="fang_song_gb2312"/>
          <w:kern w:val="0"/>
          <w:sz w:val="27"/>
          <w:szCs w:val="27"/>
        </w:rPr>
        <w:t>元，完成年初预算的</w:t>
      </w:r>
      <w:r>
        <w:rPr>
          <w:rFonts w:hint="eastAsia" w:ascii="fang_song_gb2312" w:hAnsi="fang_song_gb2312" w:eastAsia="fang_song_gb2312" w:cs="fang_song_gb2312"/>
          <w:kern w:val="0"/>
          <w:sz w:val="27"/>
          <w:szCs w:val="27"/>
          <w:lang w:val="en-US" w:eastAsia="zh-CN"/>
        </w:rPr>
        <w:t>141.19</w:t>
      </w:r>
      <w:r>
        <w:rPr>
          <w:rFonts w:hint="eastAsia"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lang w:val="en-US" w:eastAsia="zh-CN"/>
        </w:rPr>
        <w:t>主要原因是：人员增加工资社保费增加</w:t>
      </w:r>
      <w:r>
        <w:rPr>
          <w:rFonts w:hint="eastAsia" w:ascii="fang_song_gb2312" w:hAnsi="fang_song_gb2312" w:eastAsia="fang_song_gb2312" w:cs="fang_song_gb2312"/>
          <w:kern w:val="0"/>
          <w:sz w:val="27"/>
          <w:szCs w:val="27"/>
        </w:rPr>
        <w:t>。</w:t>
      </w:r>
    </w:p>
    <w:p>
      <w:pPr>
        <w:widowControl/>
        <w:spacing w:before="240" w:after="240"/>
        <w:rPr>
          <w:rFonts w:hint="eastAsia"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lang w:val="en-US" w:eastAsia="zh-CN"/>
        </w:rPr>
        <w:t>3.</w:t>
      </w:r>
      <w:r>
        <w:rPr>
          <w:rFonts w:hint="eastAsia" w:ascii="fang_song_gb2312" w:hAnsi="fang_song_gb2312" w:eastAsia="fang_song_gb2312" w:cs="fang_song_gb2312"/>
          <w:kern w:val="0"/>
          <w:sz w:val="27"/>
          <w:szCs w:val="27"/>
        </w:rPr>
        <w:t xml:space="preserve">党委办公厅（室）及相关机构事务（项）。年初预算 </w:t>
      </w:r>
      <w:r>
        <w:rPr>
          <w:rFonts w:hint="eastAsia" w:ascii="fang_song_gb2312" w:hAnsi="fang_song_gb2312" w:eastAsia="fang_song_gb2312" w:cs="fang_song_gb2312"/>
          <w:kern w:val="0"/>
          <w:sz w:val="27"/>
          <w:szCs w:val="27"/>
          <w:lang w:val="en-US" w:eastAsia="zh-CN"/>
        </w:rPr>
        <w:t>82.2</w:t>
      </w:r>
      <w:r>
        <w:rPr>
          <w:rFonts w:hint="eastAsia" w:ascii="fang_song_gb2312" w:hAnsi="fang_song_gb2312" w:eastAsia="fang_song_gb2312" w:cs="fang_song_gb2312"/>
          <w:kern w:val="0"/>
          <w:sz w:val="27"/>
          <w:szCs w:val="27"/>
        </w:rPr>
        <w:t>万元，支出决算</w:t>
      </w:r>
      <w:r>
        <w:rPr>
          <w:rFonts w:hint="eastAsia" w:ascii="fang_song_gb2312" w:hAnsi="fang_song_gb2312" w:eastAsia="fang_song_gb2312" w:cs="fang_song_gb2312"/>
          <w:kern w:val="0"/>
          <w:sz w:val="27"/>
          <w:szCs w:val="27"/>
          <w:lang w:val="en-US" w:eastAsia="zh-CN"/>
        </w:rPr>
        <w:t>89.91</w:t>
      </w:r>
      <w:r>
        <w:rPr>
          <w:rFonts w:hint="eastAsia" w:ascii="fang_song_gb2312" w:hAnsi="fang_song_gb2312" w:eastAsia="fang_song_gb2312" w:cs="fang_song_gb2312"/>
          <w:kern w:val="0"/>
          <w:sz w:val="27"/>
          <w:szCs w:val="27"/>
        </w:rPr>
        <w:t>元，完成年初预算的</w:t>
      </w:r>
      <w:r>
        <w:rPr>
          <w:rFonts w:hint="eastAsia" w:ascii="fang_song_gb2312" w:hAnsi="fang_song_gb2312" w:eastAsia="fang_song_gb2312" w:cs="fang_song_gb2312"/>
          <w:kern w:val="0"/>
          <w:sz w:val="27"/>
          <w:szCs w:val="27"/>
          <w:lang w:val="en-US" w:eastAsia="zh-CN"/>
        </w:rPr>
        <w:t>109.38</w:t>
      </w:r>
      <w:r>
        <w:rPr>
          <w:rFonts w:hint="eastAsia"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lang w:val="en-US" w:eastAsia="zh-CN"/>
        </w:rPr>
        <w:t>人员增加工资社保费增加</w:t>
      </w:r>
      <w:r>
        <w:rPr>
          <w:rFonts w:hint="eastAsia"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（二）公共安全（类）</w:t>
      </w:r>
    </w:p>
    <w:p>
      <w:pPr>
        <w:widowControl/>
        <w:spacing w:before="240" w:after="240"/>
        <w:rPr>
          <w:rFonts w:hint="default" w:ascii="Times New Roman" w:hAnsi="Times New Roman" w:eastAsia="宋体" w:cs="Times New Roman"/>
          <w:kern w:val="0"/>
          <w:sz w:val="24"/>
          <w:lang w:val="en-US" w:eastAsia="zh-CN"/>
        </w:rPr>
      </w:pPr>
      <w:r>
        <w:rPr>
          <w:rFonts w:ascii="fang_song_gb2312" w:hAnsi="fang_song_gb2312" w:eastAsia="fang_song_gb2312" w:cs="fang_song_gb2312"/>
          <w:kern w:val="0"/>
          <w:sz w:val="27"/>
          <w:szCs w:val="27"/>
        </w:rPr>
        <w:t>    公共安全类决算数为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万元，与年初预算相比增加（减少）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万元。其中：</w:t>
      </w:r>
      <w:r>
        <w:rPr>
          <w:rFonts w:hint="eastAsia" w:ascii="fang_song_gb2312" w:hAnsi="fang_song_gb2312" w:cs="fang_song_gb2312"/>
          <w:kern w:val="0"/>
          <w:sz w:val="27"/>
          <w:szCs w:val="27"/>
          <w:lang w:val="en-US" w:eastAsia="zh-CN"/>
        </w:rPr>
        <w:t>无相关支出</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w:t>
      </w:r>
      <w:r>
        <w:rPr>
          <w:rFonts w:ascii="kai_ti_gb2312" w:hAnsi="kai_ti_gb2312" w:eastAsia="kai_ti_gb2312" w:cs="kai_ti_gb2312"/>
          <w:b/>
          <w:bCs/>
          <w:kern w:val="0"/>
          <w:sz w:val="27"/>
          <w:szCs w:val="27"/>
        </w:rPr>
        <w:t>（三）社会保障和就业支出（类）</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社会保障和就业支出类决算数为</w:t>
      </w:r>
      <w:r>
        <w:rPr>
          <w:rFonts w:ascii="times_new_roman" w:hAnsi="times_new_roman" w:eastAsia="times_new_roman" w:cs="times_new_roman"/>
          <w:kern w:val="0"/>
          <w:sz w:val="27"/>
          <w:szCs w:val="27"/>
          <w:u w:val="single"/>
        </w:rPr>
        <w:t xml:space="preserve"> 115.61</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26.35</w:t>
      </w:r>
      <w:r>
        <w:rPr>
          <w:rFonts w:ascii="fang_song_gb2312" w:hAnsi="fang_song_gb2312" w:eastAsia="fang_song_gb2312" w:cs="fang_song_gb2312"/>
          <w:kern w:val="0"/>
          <w:sz w:val="27"/>
          <w:szCs w:val="27"/>
        </w:rPr>
        <w:t>万元。其中：</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行政事业单位养老支出（款）行政单位离退休（项）。年初预算</w:t>
      </w:r>
      <w:r>
        <w:rPr>
          <w:rFonts w:hint="eastAsia" w:ascii="times_new_roman" w:hAnsi="times_new_roman" w:cs="times_new_roman"/>
          <w:kern w:val="0"/>
          <w:sz w:val="27"/>
          <w:szCs w:val="27"/>
          <w:u w:val="single"/>
          <w:lang w:val="en-US" w:eastAsia="zh-CN"/>
        </w:rPr>
        <w:t>2.24</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3.69</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164.73</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本年度行政退休费较上年上调增加</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2．</w:t>
      </w:r>
      <w:r>
        <w:rPr>
          <w:rFonts w:ascii="fang_song_gb2312" w:hAnsi="fang_song_gb2312" w:eastAsia="fang_song_gb2312" w:cs="fang_song_gb2312"/>
          <w:kern w:val="0"/>
          <w:sz w:val="27"/>
          <w:szCs w:val="27"/>
        </w:rPr>
        <w:t>行政事业单位养老支出（款）事业单位离退休（项）。年初预算</w:t>
      </w:r>
      <w:r>
        <w:rPr>
          <w:rFonts w:hint="eastAsia" w:ascii="times_new_roman" w:hAnsi="times_new_roman" w:cs="times_new_roman"/>
          <w:kern w:val="0"/>
          <w:sz w:val="27"/>
          <w:szCs w:val="27"/>
          <w:u w:val="single"/>
          <w:lang w:val="en-US" w:eastAsia="zh-CN"/>
        </w:rPr>
        <w:t>18.7</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17.25</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92.25</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本年度存在死亡事业离退休人员，较上年相关支出较少</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3．</w:t>
      </w:r>
      <w:r>
        <w:rPr>
          <w:rFonts w:ascii="fang_song_gb2312" w:hAnsi="fang_song_gb2312" w:eastAsia="fang_song_gb2312" w:cs="fang_song_gb2312"/>
          <w:kern w:val="0"/>
          <w:sz w:val="27"/>
          <w:szCs w:val="27"/>
        </w:rPr>
        <w:t>行政事业单位养老支出（款）机关事业单位基本养老保险缴费支出（项）。年初预算</w:t>
      </w:r>
      <w:r>
        <w:rPr>
          <w:rFonts w:hint="eastAsia" w:ascii="times_new_roman" w:hAnsi="times_new_roman" w:cs="times_new_roman"/>
          <w:kern w:val="0"/>
          <w:sz w:val="27"/>
          <w:szCs w:val="27"/>
          <w:u w:val="single"/>
          <w:lang w:val="en-US" w:eastAsia="zh-CN"/>
        </w:rPr>
        <w:t>68.32</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94.67</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138.57</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本年度为事业人员发放乡镇补贴及车补等，工资费用上涨，缴费基数调整，支出增加</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w:t>
      </w:r>
      <w:r>
        <w:rPr>
          <w:rFonts w:ascii="kai_ti_gb2312" w:hAnsi="kai_ti_gb2312" w:eastAsia="kai_ti_gb2312" w:cs="kai_ti_gb2312"/>
          <w:b/>
          <w:bCs/>
          <w:kern w:val="0"/>
          <w:sz w:val="27"/>
          <w:szCs w:val="27"/>
        </w:rPr>
        <w:t>（四）卫生健康支出（类）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卫生健康支出类决算数为</w:t>
      </w:r>
      <w:r>
        <w:rPr>
          <w:rFonts w:ascii="times_new_roman" w:hAnsi="times_new_roman" w:eastAsia="times_new_roman" w:cs="times_new_roman"/>
          <w:kern w:val="0"/>
          <w:sz w:val="27"/>
          <w:szCs w:val="27"/>
          <w:u w:val="single"/>
        </w:rPr>
        <w:t xml:space="preserve"> 39.60</w:t>
      </w:r>
      <w:r>
        <w:rPr>
          <w:rFonts w:ascii="fang_song_gb2312" w:hAnsi="fang_song_gb2312" w:eastAsia="fang_song_gb2312" w:cs="fang_song_gb2312"/>
          <w:kern w:val="0"/>
          <w:sz w:val="27"/>
          <w:szCs w:val="27"/>
        </w:rPr>
        <w:t>万元，与年初预算相比减少</w:t>
      </w:r>
      <w:r>
        <w:rPr>
          <w:rFonts w:ascii="times_new_roman" w:hAnsi="times_new_roman" w:eastAsia="times_new_roman" w:cs="times_new_roman"/>
          <w:kern w:val="0"/>
          <w:sz w:val="27"/>
          <w:szCs w:val="27"/>
          <w:u w:val="single"/>
        </w:rPr>
        <w:t xml:space="preserve"> 2.47</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行政事业单位医疗（款）行政单位医疗（项）。年初预算</w:t>
      </w:r>
      <w:r>
        <w:rPr>
          <w:rFonts w:hint="eastAsia" w:ascii="times_new_roman" w:hAnsi="times_new_roman" w:cs="times_new_roman"/>
          <w:kern w:val="0"/>
          <w:sz w:val="27"/>
          <w:szCs w:val="27"/>
          <w:u w:val="single"/>
          <w:lang w:val="en-US" w:eastAsia="zh-CN"/>
        </w:rPr>
        <w:t>8.62</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19.64</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227.84</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本年度将之前错列支事业单位医疗支出调整到行政医疗中</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2．</w:t>
      </w:r>
      <w:r>
        <w:rPr>
          <w:rFonts w:ascii="fang_song_gb2312" w:hAnsi="fang_song_gb2312" w:eastAsia="fang_song_gb2312" w:cs="fang_song_gb2312"/>
          <w:kern w:val="0"/>
          <w:sz w:val="27"/>
          <w:szCs w:val="27"/>
        </w:rPr>
        <w:t>行政事业单位医疗（款）事业单位医疗（项）。年初预算</w:t>
      </w:r>
      <w:r>
        <w:rPr>
          <w:rFonts w:hint="eastAsia" w:ascii="times_new_roman" w:hAnsi="times_new_roman" w:cs="times_new_roman"/>
          <w:kern w:val="0"/>
          <w:sz w:val="27"/>
          <w:szCs w:val="27"/>
          <w:u w:val="single"/>
          <w:lang w:val="en-US" w:eastAsia="zh-CN"/>
        </w:rPr>
        <w:t>28.52</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19.96</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69.99</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本年度将之前错列支事业单位医疗支出调整到行政医疗中</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（五）住房保障支出（类）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住房保障支出类决算数为</w:t>
      </w:r>
      <w:r>
        <w:rPr>
          <w:rFonts w:ascii="times_new_roman" w:hAnsi="times_new_roman" w:eastAsia="times_new_roman" w:cs="times_new_roman"/>
          <w:kern w:val="0"/>
          <w:sz w:val="27"/>
          <w:szCs w:val="27"/>
          <w:u w:val="single"/>
        </w:rPr>
        <w:t xml:space="preserve"> 52.42</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-2.40</w:t>
      </w:r>
      <w:r>
        <w:rPr>
          <w:rFonts w:ascii="fang_song_gb2312" w:hAnsi="fang_song_gb2312" w:eastAsia="fang_song_gb2312" w:cs="fang_song_gb2312"/>
          <w:kern w:val="0"/>
          <w:sz w:val="27"/>
          <w:szCs w:val="27"/>
        </w:rPr>
        <w:t>万元。其中：</w:t>
      </w:r>
    </w:p>
    <w:p>
      <w:pPr>
        <w:widowControl/>
        <w:spacing w:before="240" w:after="240"/>
        <w:rPr>
          <w:rFonts w:hint="default" w:ascii="Times New Roman" w:hAnsi="Times New Roman" w:eastAsia="宋体" w:cs="Times New Roman"/>
          <w:kern w:val="0"/>
          <w:sz w:val="24"/>
          <w:lang w:val="en-US" w:eastAsia="zh-CN"/>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住房改革支出（款）住房公积金（项）。年初预算</w:t>
      </w:r>
      <w:r>
        <w:rPr>
          <w:rFonts w:hint="eastAsia" w:ascii="times_new_roman" w:hAnsi="times_new_roman" w:cs="times_new_roman"/>
          <w:kern w:val="0"/>
          <w:sz w:val="27"/>
          <w:szCs w:val="27"/>
          <w:u w:val="single"/>
          <w:lang w:val="en-US" w:eastAsia="zh-CN"/>
        </w:rPr>
        <w:t>54.81</w:t>
      </w:r>
      <w:r>
        <w:rPr>
          <w:rFonts w:ascii="fang_song_gb2312" w:hAnsi="fang_song_gb2312" w:eastAsia="fang_song_gb2312" w:cs="fang_song_gb2312"/>
          <w:kern w:val="0"/>
          <w:sz w:val="27"/>
          <w:szCs w:val="27"/>
        </w:rPr>
        <w:t>万元，支出决算</w:t>
      </w:r>
      <w:r>
        <w:rPr>
          <w:rFonts w:hint="eastAsia" w:ascii="times_new_roman" w:hAnsi="times_new_roman" w:cs="times_new_roman"/>
          <w:kern w:val="0"/>
          <w:sz w:val="27"/>
          <w:szCs w:val="27"/>
          <w:u w:val="single"/>
          <w:lang w:val="en-US" w:eastAsia="zh-CN"/>
        </w:rPr>
        <w:t>52.42</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kern w:val="0"/>
          <w:sz w:val="27"/>
          <w:szCs w:val="27"/>
          <w:u w:val="single"/>
          <w:lang w:val="en-US" w:eastAsia="zh-CN"/>
        </w:rPr>
        <w:t>95.64</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cs="fang_song_gb2312"/>
          <w:kern w:val="0"/>
          <w:sz w:val="27"/>
          <w:szCs w:val="27"/>
          <w:lang w:val="en-US" w:eastAsia="zh-CN"/>
        </w:rPr>
        <w:t>根据公积金单位计算基数调整核算本年度应缴住房公积金金额。</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六、一般公共预算财政拨款基本支出决算情况说明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莫力达瓦达斡尔族自治旗登特科镇人民政府 2023年度一般公共预算财政拨款基本支出决算</w:t>
      </w:r>
      <w:r>
        <w:rPr>
          <w:rFonts w:ascii="times_new_roman" w:hAnsi="times_new_roman" w:eastAsia="times_new_roman" w:cs="times_new_roman"/>
          <w:kern w:val="0"/>
          <w:sz w:val="27"/>
          <w:szCs w:val="27"/>
          <w:u w:val="single"/>
        </w:rPr>
        <w:t xml:space="preserve"> 1,268.66</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（一）人员经费</w:t>
      </w:r>
      <w:r>
        <w:rPr>
          <w:rFonts w:ascii="times_new_roman" w:hAnsi="times_new_roman" w:eastAsia="times_new_roman" w:cs="times_new_roman"/>
          <w:kern w:val="0"/>
          <w:sz w:val="27"/>
          <w:szCs w:val="27"/>
          <w:u w:val="single"/>
        </w:rPr>
        <w:t xml:space="preserve"> 1,036.49</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。主要包括：基本工资</w:t>
      </w:r>
      <w:r>
        <w:rPr>
          <w:rFonts w:hint="eastAsia" w:ascii="fang_song_gb2312" w:hAnsi="fang_song_gb2312" w:cs="fang_song_gb2312"/>
          <w:kern w:val="0"/>
          <w:sz w:val="27"/>
          <w:szCs w:val="27"/>
          <w:lang w:val="en-US" w:eastAsia="zh-CN"/>
        </w:rPr>
        <w:t>211.43万元</w:t>
      </w:r>
      <w:r>
        <w:rPr>
          <w:rFonts w:ascii="fang_song_gb2312" w:hAnsi="fang_song_gb2312" w:eastAsia="fang_song_gb2312" w:cs="fang_song_gb2312"/>
          <w:kern w:val="0"/>
          <w:sz w:val="27"/>
          <w:szCs w:val="27"/>
        </w:rPr>
        <w:t>、津贴补贴</w:t>
      </w:r>
      <w:r>
        <w:rPr>
          <w:rFonts w:hint="eastAsia" w:ascii="fang_song_gb2312" w:hAnsi="fang_song_gb2312" w:cs="fang_song_gb2312"/>
          <w:kern w:val="0"/>
          <w:sz w:val="27"/>
          <w:szCs w:val="27"/>
          <w:lang w:val="en-US" w:eastAsia="zh-CN"/>
        </w:rPr>
        <w:t>317.16万元</w:t>
      </w:r>
      <w:r>
        <w:rPr>
          <w:rFonts w:ascii="fang_song_gb2312" w:hAnsi="fang_song_gb2312" w:eastAsia="fang_song_gb2312" w:cs="fang_song_gb2312"/>
          <w:kern w:val="0"/>
          <w:sz w:val="27"/>
          <w:szCs w:val="27"/>
        </w:rPr>
        <w:t>、奖金</w:t>
      </w:r>
      <w:r>
        <w:rPr>
          <w:rFonts w:hint="eastAsia" w:ascii="fang_song_gb2312" w:hAnsi="fang_song_gb2312" w:cs="fang_song_gb2312"/>
          <w:kern w:val="0"/>
          <w:sz w:val="27"/>
          <w:szCs w:val="27"/>
          <w:lang w:val="en-US" w:eastAsia="zh-CN"/>
        </w:rPr>
        <w:t>50.32万元</w:t>
      </w:r>
      <w:r>
        <w:rPr>
          <w:rFonts w:ascii="fang_song_gb2312" w:hAnsi="fang_song_gb2312" w:eastAsia="fang_song_gb2312" w:cs="fang_song_gb2312"/>
          <w:kern w:val="0"/>
          <w:sz w:val="27"/>
          <w:szCs w:val="27"/>
        </w:rPr>
        <w:t>、社会保障缴费</w:t>
      </w:r>
      <w:r>
        <w:rPr>
          <w:rFonts w:hint="eastAsia" w:ascii="fang_song_gb2312" w:hAnsi="fang_song_gb2312" w:cs="fang_song_gb2312"/>
          <w:kern w:val="0"/>
          <w:sz w:val="27"/>
          <w:szCs w:val="27"/>
          <w:lang w:val="en-US" w:eastAsia="zh-CN"/>
        </w:rPr>
        <w:t>142.73万元</w:t>
      </w:r>
      <w:r>
        <w:rPr>
          <w:rFonts w:ascii="fang_song_gb2312" w:hAnsi="fang_song_gb2312" w:eastAsia="fang_song_gb2312" w:cs="fang_song_gb2312"/>
          <w:kern w:val="0"/>
          <w:sz w:val="27"/>
          <w:szCs w:val="27"/>
        </w:rPr>
        <w:t>、其他工资福利支出</w:t>
      </w:r>
      <w:r>
        <w:rPr>
          <w:rFonts w:hint="eastAsia" w:ascii="fang_song_gb2312" w:hAnsi="fang_song_gb2312" w:cs="fang_song_gb2312"/>
          <w:kern w:val="0"/>
          <w:sz w:val="27"/>
          <w:szCs w:val="27"/>
          <w:lang w:val="en-US" w:eastAsia="zh-CN"/>
        </w:rPr>
        <w:t>69.9万元</w:t>
      </w:r>
      <w:r>
        <w:rPr>
          <w:rFonts w:ascii="fang_song_gb2312" w:hAnsi="fang_song_gb2312" w:eastAsia="fang_song_gb2312" w:cs="fang_song_gb2312"/>
          <w:kern w:val="0"/>
          <w:sz w:val="27"/>
          <w:szCs w:val="27"/>
        </w:rPr>
        <w:t>、退休费</w:t>
      </w:r>
      <w:r>
        <w:rPr>
          <w:rFonts w:hint="eastAsia" w:ascii="fang_song_gb2312" w:hAnsi="fang_song_gb2312" w:cs="fang_song_gb2312"/>
          <w:kern w:val="0"/>
          <w:sz w:val="27"/>
          <w:szCs w:val="27"/>
          <w:lang w:val="en-US" w:eastAsia="zh-CN"/>
        </w:rPr>
        <w:t>20.93万元</w:t>
      </w:r>
      <w:r>
        <w:rPr>
          <w:rFonts w:ascii="fang_song_gb2312" w:hAnsi="fang_song_gb2312" w:eastAsia="fang_song_gb2312" w:cs="fang_song_gb2312"/>
          <w:kern w:val="0"/>
          <w:sz w:val="27"/>
          <w:szCs w:val="27"/>
        </w:rPr>
        <w:t>、生活补助</w:t>
      </w:r>
      <w:r>
        <w:rPr>
          <w:rFonts w:hint="eastAsia" w:ascii="fang_song_gb2312" w:hAnsi="fang_song_gb2312" w:cs="fang_song_gb2312"/>
          <w:kern w:val="0"/>
          <w:sz w:val="27"/>
          <w:szCs w:val="27"/>
          <w:lang w:val="en-US" w:eastAsia="zh-CN"/>
        </w:rPr>
        <w:t>171.6万元</w:t>
      </w:r>
      <w:r>
        <w:rPr>
          <w:rFonts w:ascii="fang_song_gb2312" w:hAnsi="fang_song_gb2312" w:eastAsia="fang_song_gb2312" w:cs="fang_song_gb2312"/>
          <w:kern w:val="0"/>
          <w:sz w:val="27"/>
          <w:szCs w:val="27"/>
        </w:rPr>
        <w:t>、住房公积金</w:t>
      </w:r>
      <w:r>
        <w:rPr>
          <w:rFonts w:hint="eastAsia" w:ascii="fang_song_gb2312" w:hAnsi="fang_song_gb2312" w:cs="fang_song_gb2312"/>
          <w:kern w:val="0"/>
          <w:sz w:val="27"/>
          <w:szCs w:val="27"/>
          <w:lang w:val="en-US" w:eastAsia="zh-CN"/>
        </w:rPr>
        <w:t>52.42万元</w:t>
      </w:r>
      <w:r>
        <w:rPr>
          <w:rFonts w:ascii="fang_song_gb2312" w:hAnsi="fang_song_gb2312" w:eastAsia="fang_song_gb2312" w:cs="fang_song_gb2312"/>
          <w:kern w:val="0"/>
          <w:sz w:val="27"/>
          <w:szCs w:val="27"/>
        </w:rPr>
        <w:t>、其他对个人和家庭的补助支出</w:t>
      </w:r>
      <w:r>
        <w:rPr>
          <w:rFonts w:hint="eastAsia" w:ascii="fang_song_gb2312" w:hAnsi="fang_song_gb2312" w:cs="fang_song_gb2312"/>
          <w:kern w:val="0"/>
          <w:sz w:val="27"/>
          <w:szCs w:val="27"/>
          <w:lang w:val="en-US" w:eastAsia="zh-CN"/>
        </w:rPr>
        <w:t>192.53万元</w:t>
      </w:r>
      <w:r>
        <w:rPr>
          <w:rFonts w:ascii="fang_song_gb2312" w:hAnsi="fang_song_gb2312" w:eastAsia="fang_song_gb2312" w:cs="fang_song_gb2312"/>
          <w:kern w:val="0"/>
          <w:sz w:val="27"/>
          <w:szCs w:val="27"/>
        </w:rPr>
        <w:t>等。</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（二）公用经费</w:t>
      </w:r>
      <w:r>
        <w:rPr>
          <w:rFonts w:ascii="times_new_roman" w:hAnsi="times_new_roman" w:eastAsia="times_new_roman" w:cs="times_new_roman"/>
          <w:kern w:val="0"/>
          <w:sz w:val="27"/>
          <w:szCs w:val="27"/>
          <w:u w:val="single"/>
        </w:rPr>
        <w:t xml:space="preserve"> 232.17</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。主要包括：办公费</w:t>
      </w:r>
      <w:r>
        <w:rPr>
          <w:rFonts w:hint="eastAsia" w:ascii="fang_song_gb2312" w:hAnsi="fang_song_gb2312" w:cs="fang_song_gb2312"/>
          <w:kern w:val="0"/>
          <w:sz w:val="27"/>
          <w:szCs w:val="27"/>
          <w:lang w:val="en-US" w:eastAsia="zh-CN"/>
        </w:rPr>
        <w:t>167.81万元</w:t>
      </w:r>
      <w:r>
        <w:rPr>
          <w:rFonts w:ascii="fang_song_gb2312" w:hAnsi="fang_song_gb2312" w:eastAsia="fang_song_gb2312" w:cs="fang_song_gb2312"/>
          <w:kern w:val="0"/>
          <w:sz w:val="27"/>
          <w:szCs w:val="27"/>
        </w:rPr>
        <w:t>、电费</w:t>
      </w:r>
      <w:r>
        <w:rPr>
          <w:rFonts w:hint="eastAsia" w:ascii="fang_song_gb2312" w:hAnsi="fang_song_gb2312" w:cs="fang_song_gb2312"/>
          <w:kern w:val="0"/>
          <w:sz w:val="27"/>
          <w:szCs w:val="27"/>
          <w:lang w:val="en-US" w:eastAsia="zh-CN"/>
        </w:rPr>
        <w:t>4万元</w:t>
      </w:r>
      <w:r>
        <w:rPr>
          <w:rFonts w:ascii="fang_song_gb2312" w:hAnsi="fang_song_gb2312" w:eastAsia="fang_song_gb2312" w:cs="fang_song_gb2312"/>
          <w:kern w:val="0"/>
          <w:sz w:val="27"/>
          <w:szCs w:val="27"/>
        </w:rPr>
        <w:t>、取暖费</w:t>
      </w:r>
      <w:r>
        <w:rPr>
          <w:rFonts w:hint="eastAsia" w:ascii="fang_song_gb2312" w:hAnsi="fang_song_gb2312" w:cs="fang_song_gb2312"/>
          <w:kern w:val="0"/>
          <w:sz w:val="27"/>
          <w:szCs w:val="27"/>
          <w:lang w:val="en-US" w:eastAsia="zh-CN"/>
        </w:rPr>
        <w:t>10万元</w:t>
      </w:r>
      <w:r>
        <w:rPr>
          <w:rFonts w:ascii="fang_song_gb2312" w:hAnsi="fang_song_gb2312" w:eastAsia="fang_song_gb2312" w:cs="fang_song_gb2312"/>
          <w:kern w:val="0"/>
          <w:sz w:val="27"/>
          <w:szCs w:val="27"/>
        </w:rPr>
        <w:t>、维修（护）费</w:t>
      </w:r>
      <w:r>
        <w:rPr>
          <w:rFonts w:hint="eastAsia" w:ascii="fang_song_gb2312" w:hAnsi="fang_song_gb2312" w:cs="fang_song_gb2312"/>
          <w:kern w:val="0"/>
          <w:sz w:val="27"/>
          <w:szCs w:val="27"/>
          <w:lang w:val="en-US" w:eastAsia="zh-CN"/>
        </w:rPr>
        <w:t>3.06万元</w:t>
      </w:r>
      <w:r>
        <w:rPr>
          <w:rFonts w:ascii="fang_song_gb2312" w:hAnsi="fang_song_gb2312" w:eastAsia="fang_song_gb2312" w:cs="fang_song_gb2312"/>
          <w:kern w:val="0"/>
          <w:sz w:val="27"/>
          <w:szCs w:val="27"/>
        </w:rPr>
        <w:t>、公务用车运行维护费</w:t>
      </w:r>
      <w:r>
        <w:rPr>
          <w:rFonts w:hint="eastAsia" w:ascii="fang_song_gb2312" w:hAnsi="fang_song_gb2312" w:cs="fang_song_gb2312"/>
          <w:kern w:val="0"/>
          <w:sz w:val="27"/>
          <w:szCs w:val="27"/>
          <w:lang w:val="en-US" w:eastAsia="zh-CN"/>
        </w:rPr>
        <w:t>9万元</w:t>
      </w:r>
      <w:r>
        <w:rPr>
          <w:rFonts w:ascii="fang_song_gb2312" w:hAnsi="fang_song_gb2312" w:eastAsia="fang_song_gb2312" w:cs="fang_song_gb2312"/>
          <w:kern w:val="0"/>
          <w:sz w:val="27"/>
          <w:szCs w:val="27"/>
        </w:rPr>
        <w:t>、其他交通费用</w:t>
      </w:r>
      <w:r>
        <w:rPr>
          <w:rFonts w:hint="eastAsia" w:ascii="fang_song_gb2312" w:hAnsi="fang_song_gb2312" w:cs="fang_song_gb2312"/>
          <w:kern w:val="0"/>
          <w:sz w:val="27"/>
          <w:szCs w:val="27"/>
          <w:lang w:val="en-US" w:eastAsia="zh-CN"/>
        </w:rPr>
        <w:t>38.3万元</w:t>
      </w:r>
      <w:r>
        <w:rPr>
          <w:rFonts w:ascii="fang_song_gb2312" w:hAnsi="fang_song_gb2312" w:eastAsia="fang_song_gb2312" w:cs="fang_song_gb2312"/>
          <w:kern w:val="0"/>
          <w:sz w:val="27"/>
          <w:szCs w:val="27"/>
        </w:rPr>
        <w:t>、等。</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七、一般公共预算财政拨款项目支出决算情况说明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年度一般公共预算财政拨款项目支出决算</w:t>
      </w:r>
      <w:r>
        <w:rPr>
          <w:rFonts w:ascii="times_new_roman" w:hAnsi="times_new_roman" w:eastAsia="times_new_roman" w:cs="times_new_roman"/>
          <w:kern w:val="0"/>
          <w:sz w:val="27"/>
          <w:szCs w:val="27"/>
          <w:u w:val="single"/>
        </w:rPr>
        <w:t xml:space="preserve"> 2,079.38</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（一）工资福利支出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基本工资、津贴补贴、奖金、伙食补助费、绩效工资、机关事业单位基本养老保险缴费、职业年金缴费、职工基本医疗保险缴费、公务员医疗补助缴费、其他社会保障缴费、住房公积金、医疗费、其他工资福利支出等。</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（二）商品和服务支出</w:t>
      </w:r>
      <w:r>
        <w:rPr>
          <w:rFonts w:ascii="times_new_roman" w:hAnsi="times_new_roman" w:eastAsia="times_new_roman" w:cs="times_new_roman"/>
          <w:kern w:val="0"/>
          <w:sz w:val="27"/>
          <w:szCs w:val="27"/>
          <w:u w:val="single"/>
        </w:rPr>
        <w:t xml:space="preserve"> 216.38</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。主要包括：办公费</w:t>
      </w:r>
      <w:r>
        <w:rPr>
          <w:rFonts w:hint="eastAsia" w:ascii="fang_song_gb2312" w:hAnsi="fang_song_gb2312" w:cs="fang_song_gb2312"/>
          <w:kern w:val="0"/>
          <w:sz w:val="27"/>
          <w:szCs w:val="27"/>
          <w:lang w:val="en-US" w:eastAsia="zh-CN"/>
        </w:rPr>
        <w:t>199.53万元</w:t>
      </w:r>
      <w:r>
        <w:rPr>
          <w:rFonts w:ascii="fang_song_gb2312" w:hAnsi="fang_song_gb2312" w:eastAsia="fang_song_gb2312" w:cs="fang_song_gb2312"/>
          <w:kern w:val="0"/>
          <w:sz w:val="27"/>
          <w:szCs w:val="27"/>
        </w:rPr>
        <w:t>、电费</w:t>
      </w:r>
      <w:r>
        <w:rPr>
          <w:rFonts w:hint="eastAsia" w:ascii="fang_song_gb2312" w:hAnsi="fang_song_gb2312" w:cs="fang_song_gb2312"/>
          <w:kern w:val="0"/>
          <w:sz w:val="27"/>
          <w:szCs w:val="27"/>
          <w:lang w:val="en-US" w:eastAsia="zh-CN"/>
        </w:rPr>
        <w:t>1.86万元</w:t>
      </w:r>
      <w:r>
        <w:rPr>
          <w:rFonts w:ascii="fang_song_gb2312" w:hAnsi="fang_song_gb2312" w:eastAsia="fang_song_gb2312" w:cs="fang_song_gb2312"/>
          <w:kern w:val="0"/>
          <w:sz w:val="27"/>
          <w:szCs w:val="27"/>
        </w:rPr>
        <w:t>、等。</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八、财政拨款“三公”经费支出决算情况说明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kai_ti_gb2312" w:hAnsi="kai_ti_gb2312" w:eastAsia="kai_ti_gb2312" w:cs="kai_ti_gb2312"/>
          <w:b/>
          <w:bCs/>
          <w:kern w:val="0"/>
          <w:sz w:val="27"/>
          <w:szCs w:val="27"/>
        </w:rPr>
        <w:t>（一）财政拨款“三公”经费支出总体情况说明。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年度财政拨款“三公”经费全年预算</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万元，完成预算的</w:t>
      </w:r>
      <w:r>
        <w:rPr>
          <w:rFonts w:ascii="fang_song_gb2312" w:hAnsi="fang_song_gb2312" w:eastAsia="fang_song_gb2312" w:cs="fang_song_gb2312"/>
          <w:kern w:val="0"/>
          <w:sz w:val="27"/>
          <w:szCs w:val="27"/>
          <w:u w:val="single"/>
        </w:rPr>
        <w:t xml:space="preserve"> 100.00</w:t>
      </w:r>
      <w:r>
        <w:rPr>
          <w:rFonts w:ascii="fang_song_gb2312" w:hAnsi="fang_song_gb2312" w:eastAsia="fang_song_gb2312" w:cs="fang_song_gb2312"/>
          <w:kern w:val="0"/>
          <w:sz w:val="27"/>
          <w:szCs w:val="27"/>
        </w:rPr>
        <w:t>%。其中：因公出国（境）费全年预算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%；公务用车购置及运行维护费全年预算</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%；公务接待费全年预算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%。2023年度一般公共预算财政拨款“三公”经费支出决算与预算差异原因</w:t>
      </w:r>
      <w:r>
        <w:rPr>
          <w:rFonts w:hint="eastAsia" w:ascii="fang_song_gb2312" w:hAnsi="fang_song_gb2312" w:cs="fang_song_gb2312"/>
          <w:kern w:val="0"/>
          <w:sz w:val="27"/>
          <w:szCs w:val="27"/>
          <w:lang w:eastAsia="zh-CN"/>
        </w:rPr>
        <w:t>：</w:t>
      </w:r>
      <w:r>
        <w:rPr>
          <w:rFonts w:hint="eastAsia" w:ascii="fang_song_gb2312" w:hAnsi="fang_song_gb2312" w:cs="fang_song_gb2312"/>
          <w:kern w:val="0"/>
          <w:sz w:val="27"/>
          <w:szCs w:val="27"/>
          <w:lang w:val="en-US" w:eastAsia="zh-CN"/>
        </w:rPr>
        <w:t>无差异</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（二）财政拨款“三公”经费支出具体情况说明。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年度财政拨款“三公”经费支出</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万元。因公出国（境）费支出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%；公务接待费支出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因公出国（境）费支出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万元，全年出国（境）团组</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个，累计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times_new_roman" w:hAnsi="times_new_roman" w:eastAsia="times_new_roman" w:cs="times_new_roman"/>
          <w:kern w:val="0"/>
          <w:sz w:val="27"/>
          <w:szCs w:val="27"/>
        </w:rPr>
        <w:t>    2.</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（1）公务用车购置支出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万元。本年度使用财政拨款购置公务用车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辆，开支内容：</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（2）公务用车运行维护费支出</w:t>
      </w:r>
      <w:r>
        <w:rPr>
          <w:rFonts w:ascii="times_new_roman" w:hAnsi="times_new_roman" w:eastAsia="times_new_roman" w:cs="times_new_roman"/>
          <w:kern w:val="0"/>
          <w:sz w:val="27"/>
          <w:szCs w:val="27"/>
          <w:u w:val="single"/>
        </w:rPr>
        <w:t xml:space="preserve"> 9.00</w:t>
      </w:r>
      <w:r>
        <w:rPr>
          <w:rFonts w:ascii="fang_song_gb2312" w:hAnsi="fang_song_gb2312" w:eastAsia="fang_song_gb2312" w:cs="fang_song_gb2312"/>
          <w:kern w:val="0"/>
          <w:sz w:val="27"/>
          <w:szCs w:val="27"/>
        </w:rPr>
        <w:t>万元。公务用车运行维护费主要用于按规定保留的公务用车的燃料费、维修费、过桥过路费、保险费、安全奖励费用等支出。截至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日，使用财政拨款开支的公务用车保有量为</w:t>
      </w:r>
      <w:r>
        <w:rPr>
          <w:rFonts w:ascii="times_new_roman" w:hAnsi="times_new_roman" w:eastAsia="times_new_roman" w:cs="times_new_roman"/>
          <w:kern w:val="0"/>
          <w:sz w:val="27"/>
          <w:szCs w:val="27"/>
          <w:u w:val="single"/>
        </w:rPr>
        <w:t xml:space="preserve">8 </w:t>
      </w:r>
      <w:r>
        <w:rPr>
          <w:rFonts w:ascii="fang_song_gb2312" w:hAnsi="fang_song_gb2312" w:eastAsia="fang_song_gb2312" w:cs="fang_song_gb2312"/>
          <w:kern w:val="0"/>
          <w:sz w:val="27"/>
          <w:szCs w:val="27"/>
        </w:rPr>
        <w:t>辆。与上年决算相比，增加（减少）</w:t>
      </w:r>
      <w:r>
        <w:rPr>
          <w:rFonts w:ascii="fang_song_gb2312" w:hAnsi="fang_song_gb2312" w:eastAsia="fang_song_gb2312" w:cs="fang_song_gb2312"/>
          <w:kern w:val="0"/>
          <w:sz w:val="27"/>
          <w:szCs w:val="27"/>
          <w:u w:val="single"/>
        </w:rPr>
        <w:t xml:space="preserve"> </w:t>
      </w:r>
      <w:r>
        <w:rPr>
          <w:rFonts w:ascii="times_new_roman" w:hAnsi="times_new_roman" w:eastAsia="times_new_roman" w:cs="times_new_roman"/>
          <w:kern w:val="0"/>
          <w:sz w:val="27"/>
          <w:szCs w:val="27"/>
          <w:u w:val="single"/>
        </w:rPr>
        <w:t>-1.80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-16.70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去年超预算支出，原因为下乡任务加重，相关支出增加，本年度严格控制，按照预算支出使用经费</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3.公务接待费支出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万元。其中：国内公务接待支出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人次，开支内容：</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；国（境）外公务接待支出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人次，开支内容：</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无</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九、政府性基金预算财政拨款支出决算情况说明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年度政府性基金预算财政拨款支出决算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ascii="fang_song_gb2312" w:hAnsi="fang_song_gb2312" w:eastAsia="fang_song_gb2312" w:cs="fang_song_gb2312"/>
          <w:color w:val="auto"/>
          <w:kern w:val="0"/>
          <w:sz w:val="27"/>
          <w:szCs w:val="27"/>
        </w:rPr>
        <w:t>无政府性基金预算财政拨款收、支、余</w:t>
      </w: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十、国有资本经营预算财政拨款支出决算情况说明</w:t>
      </w:r>
    </w:p>
    <w:p>
      <w:pPr>
        <w:widowControl/>
        <w:spacing w:before="240" w:after="240"/>
        <w:rPr>
          <w:rFonts w:ascii="fang_song_gb2312" w:hAnsi="fang_song_gb2312" w:eastAsia="fang_song_gb2312" w:cs="fang_song_gb2312"/>
          <w:kern w:val="0"/>
          <w:sz w:val="27"/>
          <w:szCs w:val="27"/>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年度国有资本经营预算财政拨款支出决算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%，国有资本经营预算</w:t>
      </w:r>
      <w:r>
        <w:rPr>
          <w:rFonts w:ascii="fang_song_gb2312" w:hAnsi="fang_song_gb2312" w:eastAsia="fang_song_gb2312" w:cs="fang_song_gb2312"/>
          <w:color w:val="auto"/>
          <w:kern w:val="0"/>
          <w:sz w:val="27"/>
          <w:szCs w:val="27"/>
        </w:rPr>
        <w:t>财政拨款收、支、余</w:t>
      </w: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xml:space="preserve">    </w:t>
      </w:r>
    </w:p>
    <w:p>
      <w:pPr>
        <w:widowControl/>
        <w:spacing w:before="240" w:after="240"/>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十一、机构运行经费支出决算情况说明</w:t>
      </w:r>
    </w:p>
    <w:p>
      <w:pPr>
        <w:widowControl/>
        <w:spacing w:before="240" w:after="240"/>
        <w:rPr>
          <w:rFonts w:hint="default" w:ascii="Times New Roman" w:hAnsi="Times New Roman" w:eastAsia="宋体" w:cs="Times New Roman"/>
          <w:kern w:val="0"/>
          <w:sz w:val="24"/>
          <w:lang w:val="en-US" w:eastAsia="zh-CN"/>
        </w:rPr>
      </w:pP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年度机构运行经费支出决算</w:t>
      </w:r>
      <w:r>
        <w:rPr>
          <w:rFonts w:ascii="times_new_roman" w:hAnsi="times_new_roman" w:eastAsia="times_new_roman" w:cs="times_new_roman"/>
          <w:kern w:val="0"/>
          <w:sz w:val="27"/>
          <w:szCs w:val="27"/>
          <w:u w:val="single"/>
        </w:rPr>
        <w:t xml:space="preserve"> 232.17</w:t>
      </w:r>
      <w:r>
        <w:rPr>
          <w:rFonts w:ascii="fang_song_gb2312" w:hAnsi="fang_song_gb2312" w:eastAsia="fang_song_gb2312" w:cs="fang_song_gb2312"/>
          <w:kern w:val="0"/>
          <w:sz w:val="27"/>
          <w:szCs w:val="27"/>
        </w:rPr>
        <w:t>万元。比上年决算相比，增加</w:t>
      </w:r>
      <w:r>
        <w:rPr>
          <w:rFonts w:ascii="times_new_roman" w:hAnsi="times_new_roman" w:eastAsia="times_new_roman" w:cs="times_new_roman"/>
          <w:kern w:val="0"/>
          <w:sz w:val="27"/>
          <w:szCs w:val="27"/>
          <w:u w:val="single"/>
        </w:rPr>
        <w:t xml:space="preserve"> 126.21</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119.12</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val="en-US" w:eastAsia="zh-CN"/>
        </w:rPr>
        <w:t>本年度工作任务较重，办公下乡等事项增加，导致相关经费支出增加。</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十二、政府采购支出决算情况说明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年度政府采购支出总额</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万元，其中：政府采购货物支出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万元、政府采购工程支出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万元、政府采购服务支出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万元。政府采购授予中小企业合同金额</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万元，占政府采购支出总额的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%，其中：授予小微企业合同金额</w:t>
      </w:r>
      <w:r>
        <w:rPr>
          <w:rFonts w:ascii="times_new_roman" w:hAnsi="times_new_roman" w:eastAsia="times_new_roman" w:cs="times_new_roman"/>
          <w:kern w:val="0"/>
          <w:sz w:val="27"/>
          <w:szCs w:val="27"/>
          <w:u w:val="single"/>
        </w:rPr>
        <w:t>  0.00</w:t>
      </w:r>
      <w:r>
        <w:rPr>
          <w:rFonts w:ascii="fang_song_gb2312" w:hAnsi="fang_song_gb2312" w:eastAsia="fang_song_gb2312" w:cs="fang_song_gb2312"/>
          <w:kern w:val="0"/>
          <w:sz w:val="27"/>
          <w:szCs w:val="27"/>
        </w:rPr>
        <w:t>万元，占政府采购支出总额的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%；货物采购授予中小企业合同金额占货物支出金额的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%，工程采购授予中小企业合同金额占工程支出金额的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%，服务采购授予中小企业合同金额占服务支出金额的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r>
        <w:rPr>
          <w:rFonts w:hint="eastAsia" w:ascii="fang_song_gb2312" w:hAnsi="fang_song_gb2312" w:cs="fang_song_gb2312"/>
          <w:color w:val="0E00FE"/>
          <w:kern w:val="0"/>
          <w:sz w:val="27"/>
          <w:szCs w:val="27"/>
          <w:lang w:val="en-US" w:eastAsia="zh-CN"/>
        </w:rPr>
        <w:t xml:space="preserve"> </w:t>
      </w:r>
      <w:r>
        <w:rPr>
          <w:rFonts w:ascii="黑体" w:hAnsi="黑体" w:eastAsia="黑体" w:cs="黑体"/>
          <w:b/>
          <w:bCs/>
          <w:kern w:val="0"/>
          <w:sz w:val="27"/>
          <w:szCs w:val="27"/>
        </w:rPr>
        <w:t>十三、国有资产占用情况说明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莫力达瓦达斡尔族自治旗登特科镇人民政府 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日，本部门（单位）共有车辆</w:t>
      </w:r>
      <w:r>
        <w:rPr>
          <w:rFonts w:ascii="times_new_roman" w:hAnsi="times_new_roman" w:eastAsia="times_new_roman" w:cs="times_new_roman"/>
          <w:kern w:val="0"/>
          <w:sz w:val="27"/>
          <w:szCs w:val="27"/>
          <w:u w:val="single"/>
        </w:rPr>
        <w:t xml:space="preserve"> 8</w:t>
      </w:r>
      <w:r>
        <w:rPr>
          <w:rFonts w:ascii="fang_song_gb2312" w:hAnsi="fang_song_gb2312" w:eastAsia="fang_song_gb2312" w:cs="fang_song_gb2312"/>
          <w:kern w:val="0"/>
          <w:sz w:val="27"/>
          <w:szCs w:val="27"/>
        </w:rPr>
        <w:t>辆，其中：副部（省）级及以上领导用车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辆、主要负责人用车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辆、机要通信用车</w:t>
      </w:r>
      <w:r>
        <w:rPr>
          <w:rFonts w:ascii="times_new_roman" w:hAnsi="times_new_roman" w:eastAsia="times_new_roman" w:cs="times_new_roman"/>
          <w:kern w:val="0"/>
          <w:sz w:val="27"/>
          <w:szCs w:val="27"/>
          <w:u w:val="single"/>
        </w:rPr>
        <w:t xml:space="preserve"> 5</w:t>
      </w:r>
      <w:r>
        <w:rPr>
          <w:rFonts w:ascii="fang_song_gb2312" w:hAnsi="fang_song_gb2312" w:eastAsia="fang_song_gb2312" w:cs="fang_song_gb2312"/>
          <w:kern w:val="0"/>
          <w:sz w:val="27"/>
          <w:szCs w:val="27"/>
        </w:rPr>
        <w:t>辆、应急保障用车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辆、执法执勤用车</w:t>
      </w:r>
      <w:r>
        <w:rPr>
          <w:rFonts w:ascii="times_new_roman" w:hAnsi="times_new_roman" w:eastAsia="times_new_roman" w:cs="times_new_roman"/>
          <w:kern w:val="0"/>
          <w:sz w:val="27"/>
          <w:szCs w:val="27"/>
          <w:u w:val="single"/>
        </w:rPr>
        <w:t xml:space="preserve"> 3</w:t>
      </w:r>
      <w:r>
        <w:rPr>
          <w:rFonts w:ascii="fang_song_gb2312" w:hAnsi="fang_song_gb2312" w:eastAsia="fang_song_gb2312" w:cs="fang_song_gb2312"/>
          <w:kern w:val="0"/>
          <w:sz w:val="27"/>
          <w:szCs w:val="27"/>
        </w:rPr>
        <w:t>辆、特种专业技术用车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辆、离退休干部服务用车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辆，其他用车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辆；单价100万元（含）以上的设备（不含车辆）</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台（套）。</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十四、预算绩效情况说明</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（一）预算绩效管理工作开展情况。</w:t>
      </w:r>
    </w:p>
    <w:p>
      <w:pPr>
        <w:widowControl/>
        <w:spacing w:before="240" w:after="240"/>
        <w:rPr>
          <w:rFonts w:ascii="Times New Roman" w:hAnsi="Times New Roman" w:eastAsia="Times New Roman" w:cs="Times New Roman"/>
          <w:color w:val="auto"/>
          <w:kern w:val="0"/>
          <w:sz w:val="24"/>
        </w:rPr>
      </w:pPr>
      <w:r>
        <w:rPr>
          <w:rFonts w:ascii="fang_song_gb2312" w:hAnsi="fang_song_gb2312" w:eastAsia="fang_song_gb2312" w:cs="fang_song_gb2312"/>
          <w:kern w:val="0"/>
          <w:sz w:val="27"/>
          <w:szCs w:val="27"/>
        </w:rPr>
        <w:t>   </w:t>
      </w:r>
      <w:r>
        <w:rPr>
          <w:rFonts w:ascii="fang_song_gb2312" w:hAnsi="fang_song_gb2312" w:eastAsia="fang_song_gb2312" w:cs="fang_song_gb2312"/>
          <w:color w:val="auto"/>
          <w:kern w:val="0"/>
          <w:sz w:val="27"/>
          <w:szCs w:val="27"/>
        </w:rPr>
        <w:t xml:space="preserve"> 莫力达瓦达斡尔族自治旗登特科镇人民政府 根据预算绩效管理要求组织对</w:t>
      </w:r>
      <w:r>
        <w:rPr>
          <w:rFonts w:ascii="times_new_roman" w:hAnsi="times_new_roman" w:eastAsia="times_new_roman" w:cs="times_new_roman"/>
          <w:color w:val="auto"/>
          <w:kern w:val="0"/>
          <w:sz w:val="27"/>
          <w:szCs w:val="27"/>
        </w:rPr>
        <w:t>2023</w:t>
      </w:r>
      <w:r>
        <w:rPr>
          <w:rFonts w:ascii="fang_song_gb2312" w:hAnsi="fang_song_gb2312" w:eastAsia="fang_song_gb2312" w:cs="fang_song_gb2312"/>
          <w:color w:val="auto"/>
          <w:kern w:val="0"/>
          <w:sz w:val="27"/>
          <w:szCs w:val="27"/>
        </w:rPr>
        <w:t>年一般公共预算项目支出全面开展绩效自评，其中一级项目</w:t>
      </w:r>
      <w:r>
        <w:rPr>
          <w:rFonts w:hint="eastAsia" w:ascii="fang_song_gb2312" w:hAnsi="fang_song_gb2312" w:cs="fang_song_gb2312"/>
          <w:color w:val="auto"/>
          <w:kern w:val="0"/>
          <w:sz w:val="27"/>
          <w:szCs w:val="27"/>
          <w:lang w:val="en-US" w:eastAsia="zh-CN"/>
        </w:rPr>
        <w:t>19</w:t>
      </w:r>
      <w:r>
        <w:rPr>
          <w:rFonts w:ascii="fang_song_gb2312" w:hAnsi="fang_song_gb2312" w:eastAsia="fang_song_gb2312" w:cs="fang_song_gb2312"/>
          <w:color w:val="auto"/>
          <w:kern w:val="0"/>
          <w:sz w:val="27"/>
          <w:szCs w:val="27"/>
        </w:rPr>
        <w:t>个，二级项目</w:t>
      </w:r>
      <w:r>
        <w:rPr>
          <w:rFonts w:hint="eastAsia" w:ascii="times_new_roman" w:hAnsi="times_new_roman" w:cs="times_new_roman"/>
          <w:color w:val="auto"/>
          <w:kern w:val="0"/>
          <w:sz w:val="27"/>
          <w:szCs w:val="27"/>
          <w:u w:val="single"/>
          <w:lang w:val="en-US" w:eastAsia="zh-CN"/>
        </w:rPr>
        <w:t>0</w:t>
      </w:r>
      <w:r>
        <w:rPr>
          <w:rFonts w:ascii="fang_song_gb2312" w:hAnsi="fang_song_gb2312" w:eastAsia="fang_song_gb2312" w:cs="fang_song_gb2312"/>
          <w:color w:val="auto"/>
          <w:kern w:val="0"/>
          <w:sz w:val="27"/>
          <w:szCs w:val="27"/>
        </w:rPr>
        <w:t>个，共涉及资金</w:t>
      </w:r>
      <w:r>
        <w:rPr>
          <w:rFonts w:hint="eastAsia" w:ascii="times_new_roman" w:hAnsi="times_new_roman" w:cs="times_new_roman"/>
          <w:color w:val="auto"/>
          <w:kern w:val="0"/>
          <w:sz w:val="27"/>
          <w:szCs w:val="27"/>
          <w:u w:val="single"/>
          <w:lang w:val="en-US" w:eastAsia="zh-CN"/>
        </w:rPr>
        <w:t>967.47</w:t>
      </w:r>
      <w:r>
        <w:rPr>
          <w:rFonts w:ascii="fang_song_gb2312" w:hAnsi="fang_song_gb2312" w:eastAsia="fang_song_gb2312" w:cs="fang_song_gb2312"/>
          <w:color w:val="auto"/>
          <w:kern w:val="0"/>
          <w:sz w:val="27"/>
          <w:szCs w:val="27"/>
        </w:rPr>
        <w:t>万元，占一般公共预算项目支出总额的</w:t>
      </w:r>
      <w:r>
        <w:rPr>
          <w:rFonts w:ascii="times_new_roman" w:hAnsi="times_new_roman" w:eastAsia="times_new_roman" w:cs="times_new_roman"/>
          <w:color w:val="auto"/>
          <w:kern w:val="0"/>
          <w:sz w:val="27"/>
          <w:szCs w:val="27"/>
        </w:rPr>
        <w:t>100</w:t>
      </w:r>
      <w:r>
        <w:rPr>
          <w:rFonts w:ascii="fang_song_gb2312" w:hAnsi="fang_song_gb2312" w:eastAsia="fang_song_gb2312" w:cs="fang_song_gb2312"/>
          <w:color w:val="auto"/>
          <w:kern w:val="0"/>
          <w:sz w:val="27"/>
          <w:szCs w:val="27"/>
        </w:rPr>
        <w:t>%；政府性基金预算项目</w:t>
      </w:r>
      <w:r>
        <w:rPr>
          <w:rFonts w:hint="eastAsia" w:ascii="times_new_roman" w:hAnsi="times_new_roman" w:cs="times_new_roman"/>
          <w:color w:val="auto"/>
          <w:kern w:val="0"/>
          <w:sz w:val="27"/>
          <w:szCs w:val="27"/>
          <w:u w:val="single"/>
          <w:lang w:val="en-US" w:eastAsia="zh-CN"/>
        </w:rPr>
        <w:t>0</w:t>
      </w:r>
      <w:r>
        <w:rPr>
          <w:rFonts w:ascii="fang_song_gb2312" w:hAnsi="fang_song_gb2312" w:eastAsia="fang_song_gb2312" w:cs="fang_song_gb2312"/>
          <w:color w:val="auto"/>
          <w:kern w:val="0"/>
          <w:sz w:val="27"/>
          <w:szCs w:val="27"/>
        </w:rPr>
        <w:t>个，其中，一级项目</w:t>
      </w:r>
      <w:r>
        <w:rPr>
          <w:rFonts w:ascii="times_new_roman" w:hAnsi="times_new_roman" w:eastAsia="times_new_roman" w:cs="times_new_roman"/>
          <w:color w:val="auto"/>
          <w:kern w:val="0"/>
          <w:sz w:val="27"/>
          <w:szCs w:val="27"/>
          <w:u w:val="single"/>
        </w:rPr>
        <w:t> </w:t>
      </w:r>
      <w:r>
        <w:rPr>
          <w:rFonts w:hint="eastAsia" w:ascii="times_new_roman" w:hAnsi="times_new_roman" w:cs="times_new_roman"/>
          <w:color w:val="auto"/>
          <w:kern w:val="0"/>
          <w:sz w:val="27"/>
          <w:szCs w:val="27"/>
          <w:u w:val="single"/>
          <w:lang w:val="en-US" w:eastAsia="zh-CN"/>
        </w:rPr>
        <w:t>0</w:t>
      </w:r>
      <w:r>
        <w:rPr>
          <w:rFonts w:ascii="fang_song_gb2312" w:hAnsi="fang_song_gb2312" w:eastAsia="fang_song_gb2312" w:cs="fang_song_gb2312"/>
          <w:color w:val="auto"/>
          <w:kern w:val="0"/>
          <w:sz w:val="27"/>
          <w:szCs w:val="27"/>
        </w:rPr>
        <w:t>个，二级项目</w:t>
      </w:r>
      <w:r>
        <w:rPr>
          <w:rFonts w:hint="eastAsia" w:ascii="times_new_roman" w:hAnsi="times_new_roman" w:cs="times_new_roman"/>
          <w:color w:val="auto"/>
          <w:kern w:val="0"/>
          <w:sz w:val="27"/>
          <w:szCs w:val="27"/>
          <w:u w:val="single"/>
          <w:lang w:val="en-US" w:eastAsia="zh-CN"/>
        </w:rPr>
        <w:t>0</w:t>
      </w:r>
      <w:r>
        <w:rPr>
          <w:rFonts w:ascii="fang_song_gb2312" w:hAnsi="fang_song_gb2312" w:eastAsia="fang_song_gb2312" w:cs="fang_song_gb2312"/>
          <w:color w:val="auto"/>
          <w:kern w:val="0"/>
          <w:sz w:val="27"/>
          <w:szCs w:val="27"/>
        </w:rPr>
        <w:t>个，共涉及资金</w:t>
      </w:r>
      <w:r>
        <w:rPr>
          <w:rFonts w:hint="eastAsia" w:ascii="times_new_roman" w:hAnsi="times_new_roman" w:cs="times_new_roman"/>
          <w:color w:val="auto"/>
          <w:kern w:val="0"/>
          <w:sz w:val="27"/>
          <w:szCs w:val="27"/>
          <w:u w:val="single"/>
          <w:lang w:val="en-US" w:eastAsia="zh-CN"/>
        </w:rPr>
        <w:t>0</w:t>
      </w:r>
      <w:r>
        <w:rPr>
          <w:rFonts w:ascii="fang_song_gb2312" w:hAnsi="fang_song_gb2312" w:eastAsia="fang_song_gb2312" w:cs="fang_song_gb2312"/>
          <w:color w:val="auto"/>
          <w:kern w:val="0"/>
          <w:sz w:val="27"/>
          <w:szCs w:val="27"/>
        </w:rPr>
        <w:t>万元，占应纳入绩效自评的政府性基金预算项目支出总额的</w:t>
      </w:r>
      <w:r>
        <w:rPr>
          <w:rFonts w:ascii="times_new_roman" w:hAnsi="times_new_roman" w:eastAsia="times_new_roman" w:cs="times_new_roman"/>
          <w:color w:val="auto"/>
          <w:kern w:val="0"/>
          <w:sz w:val="27"/>
          <w:szCs w:val="27"/>
        </w:rPr>
        <w:t>100%</w:t>
      </w:r>
      <w:r>
        <w:rPr>
          <w:rFonts w:ascii="fang_song_gb2312" w:hAnsi="fang_song_gb2312" w:eastAsia="fang_song_gb2312" w:cs="fang_song_gb2312"/>
          <w:color w:val="auto"/>
          <w:kern w:val="0"/>
          <w:sz w:val="27"/>
          <w:szCs w:val="27"/>
        </w:rPr>
        <w:t>；（如有国有资本经营预算、社保基金预算、政府债务项目、政府投资基金项目、</w:t>
      </w:r>
      <w:r>
        <w:rPr>
          <w:rFonts w:ascii="times_new_roman" w:hAnsi="times_new_roman" w:eastAsia="times_new_roman" w:cs="times_new_roman"/>
          <w:color w:val="auto"/>
          <w:kern w:val="0"/>
          <w:sz w:val="27"/>
          <w:szCs w:val="27"/>
        </w:rPr>
        <w:t>PPP</w:t>
      </w:r>
      <w:r>
        <w:rPr>
          <w:rFonts w:ascii="fang_song_gb2312" w:hAnsi="fang_song_gb2312" w:eastAsia="fang_song_gb2312" w:cs="fang_song_gb2312"/>
          <w:color w:val="auto"/>
          <w:kern w:val="0"/>
          <w:sz w:val="27"/>
          <w:szCs w:val="27"/>
        </w:rPr>
        <w:t>项目和政府采购及政府购买服务等继续填列）。</w:t>
      </w:r>
      <w:bookmarkStart w:id="1" w:name="_GoBack"/>
      <w:bookmarkEnd w:id="1"/>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（二）部门（单位）决算中项目绩效自评结果。</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莫力达瓦达斡尔族自治旗登特科镇人民政府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年度在决算中反映</w:t>
      </w:r>
      <w:r>
        <w:rPr>
          <w:rFonts w:hint="eastAsia" w:ascii="fang_song_gb2312" w:hAnsi="fang_song_gb2312" w:cs="fang_song_gb2312"/>
          <w:kern w:val="0"/>
          <w:sz w:val="27"/>
          <w:szCs w:val="27"/>
          <w:lang w:val="en-US" w:eastAsia="zh-CN"/>
        </w:rPr>
        <w:t>19</w:t>
      </w:r>
      <w:r>
        <w:rPr>
          <w:rFonts w:ascii="fang_song_gb2312" w:hAnsi="fang_song_gb2312" w:eastAsia="fang_song_gb2312" w:cs="fang_song_gb2312"/>
          <w:kern w:val="0"/>
          <w:sz w:val="27"/>
          <w:szCs w:val="27"/>
        </w:rPr>
        <w:t>个一般公共预算项目，以及</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个政府性基金项目，共</w:t>
      </w:r>
      <w:r>
        <w:rPr>
          <w:rFonts w:hint="eastAsia" w:ascii="times_new_roman" w:hAnsi="times_new_roman" w:cs="times_new_roman"/>
          <w:kern w:val="0"/>
          <w:sz w:val="27"/>
          <w:szCs w:val="27"/>
          <w:u w:val="single"/>
          <w:lang w:val="en-US" w:eastAsia="zh-CN"/>
        </w:rPr>
        <w:t>19</w:t>
      </w:r>
      <w:r>
        <w:rPr>
          <w:rFonts w:ascii="fang_song_gb2312" w:hAnsi="fang_song_gb2312" w:eastAsia="fang_song_gb2312" w:cs="fang_song_gb2312"/>
          <w:kern w:val="0"/>
          <w:sz w:val="27"/>
          <w:szCs w:val="27"/>
        </w:rPr>
        <w:t>个项目的绩效自评结果。</w:t>
      </w:r>
    </w:p>
    <w:p>
      <w:pPr>
        <w:widowControl/>
        <w:numPr>
          <w:ilvl w:val="0"/>
          <w:numId w:val="0"/>
        </w:numPr>
        <w:spacing w:before="240" w:after="240"/>
        <w:rPr>
          <w:rFonts w:hint="eastAsia" w:ascii="fang_song_gb2312" w:hAnsi="fang_song_gb2312" w:eastAsia="fang_song_gb2312" w:cs="fang_song_gb2312"/>
          <w:color w:val="auto"/>
          <w:kern w:val="0"/>
          <w:sz w:val="27"/>
          <w:szCs w:val="27"/>
        </w:rPr>
      </w:pPr>
      <w:r>
        <w:rPr>
          <w:rFonts w:hint="eastAsia" w:ascii="fang_song_gb2312" w:hAnsi="fang_song_gb2312" w:eastAsia="fang_song_gb2312" w:cs="fang_song_gb2312"/>
          <w:color w:val="auto"/>
          <w:kern w:val="0"/>
          <w:sz w:val="27"/>
          <w:szCs w:val="27"/>
          <w:lang w:val="en-US" w:eastAsia="zh-CN" w:bidi="ar-SA"/>
        </w:rPr>
        <w:t>1.</w:t>
      </w:r>
      <w:r>
        <w:rPr>
          <w:rFonts w:hint="eastAsia" w:ascii="fang_song_gb2312" w:hAnsi="fang_song_gb2312" w:eastAsia="fang_song_gb2312" w:cs="fang_song_gb2312"/>
          <w:color w:val="auto"/>
          <w:kern w:val="0"/>
          <w:sz w:val="27"/>
          <w:szCs w:val="27"/>
        </w:rPr>
        <w:t>人大专项经费</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项目自评综述：根据年初设定的绩效目标，项目自评得分</w:t>
      </w:r>
      <w:r>
        <w:rPr>
          <w:rFonts w:hint="eastAsia" w:ascii="times_new_roman" w:hAnsi="times_new_roman" w:eastAsia="times_new_roman" w:cs="times_new_roman"/>
          <w:kern w:val="0"/>
          <w:sz w:val="27"/>
          <w:szCs w:val="27"/>
          <w:lang w:val="en-US" w:eastAsia="zh-CN"/>
        </w:rPr>
        <w:t>100</w:t>
      </w:r>
      <w:r>
        <w:rPr>
          <w:rFonts w:hint="eastAsia" w:ascii="times_new_roman" w:hAnsi="times_new_roman" w:eastAsia="times_new_roman" w:cs="times_new_roman"/>
          <w:kern w:val="0"/>
          <w:sz w:val="27"/>
          <w:szCs w:val="27"/>
        </w:rPr>
        <w:t xml:space="preserve"> 分。全年预算数为 </w:t>
      </w:r>
      <w:r>
        <w:rPr>
          <w:rFonts w:hint="eastAsia" w:ascii="times_new_roman" w:hAnsi="times_new_roman" w:eastAsia="times_new_roman" w:cs="times_new_roman"/>
          <w:kern w:val="0"/>
          <w:sz w:val="27"/>
          <w:szCs w:val="27"/>
          <w:lang w:val="en-US" w:eastAsia="zh-CN"/>
        </w:rPr>
        <w:t>5</w:t>
      </w:r>
      <w:r>
        <w:rPr>
          <w:rFonts w:hint="eastAsia" w:ascii="times_new_roman" w:hAnsi="times_new_roman" w:eastAsia="times_new_roman" w:cs="times_new_roman"/>
          <w:kern w:val="0"/>
          <w:sz w:val="27"/>
          <w:szCs w:val="27"/>
        </w:rPr>
        <w:t>万元，执行数为</w:t>
      </w:r>
      <w:r>
        <w:rPr>
          <w:rFonts w:hint="eastAsia" w:ascii="times_new_roman" w:hAnsi="times_new_roman" w:eastAsia="times_new_roman" w:cs="times_new_roman"/>
          <w:kern w:val="0"/>
          <w:sz w:val="27"/>
          <w:szCs w:val="27"/>
          <w:lang w:val="en-US" w:eastAsia="zh-CN"/>
        </w:rPr>
        <w:t>5</w:t>
      </w:r>
      <w:r>
        <w:rPr>
          <w:rFonts w:hint="eastAsia" w:ascii="times_new_roman" w:hAnsi="times_new_roman" w:eastAsia="times_new_roman" w:cs="times_new_roman"/>
          <w:kern w:val="0"/>
          <w:sz w:val="27"/>
          <w:szCs w:val="27"/>
        </w:rPr>
        <w:t>万元，完成预算的</w:t>
      </w:r>
      <w:r>
        <w:rPr>
          <w:rFonts w:hint="eastAsia" w:ascii="times_new_roman" w:hAnsi="times_new_roman" w:cs="times_new_roman"/>
          <w:kern w:val="0"/>
          <w:sz w:val="27"/>
          <w:szCs w:val="27"/>
          <w:lang w:val="en-US" w:eastAsia="zh-CN"/>
        </w:rPr>
        <w:t>100</w:t>
      </w:r>
      <w:r>
        <w:rPr>
          <w:rFonts w:hint="eastAsia" w:ascii="times_new_roman" w:hAnsi="times_new_roman" w:eastAsia="times_new_roman" w:cs="times_new_roman"/>
          <w:kern w:val="0"/>
          <w:sz w:val="27"/>
          <w:szCs w:val="27"/>
        </w:rPr>
        <w:t>%。</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项目绩效目标完成情况：</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资金管理情况。全部用于莫力达瓦达斡尔族自治旗登特科镇人民代表大会会议支出。在项目实施过程中严格按照财经法规制度，根据单位的收入、支出制度实施，不存在违规拨付现象全部将项目资金用于镇人大选举工作开展等，且注意节约使用资金，确保资金使用在必要的支出中。资金使用时需要财务负责人及部门负责人审核签字，财务人员核对无误后执行。</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后续工作计划。组织实施人大工作经费的使用，有利于发挥，做好了镇级人大换届选举工作，坚持了党的领导、人民当家作主、依法治国的有机统一。在镇人大常委会的指导下，切实发挥地方国家权利机关的职能作用，履行工作职责，增强监督效能，实现人大职能。确保我镇的经济建设，乡村振兴、民生改善，直接反映人民群众的心声，为人大工作的后续开展提供有力保障。</w:t>
      </w:r>
    </w:p>
    <w:p>
      <w:pPr>
        <w:pStyle w:val="2"/>
        <w:rPr>
          <w:rFonts w:hint="eastAsia" w:ascii="times_new_roman" w:hAnsi="times_new_roman" w:eastAsia="宋体" w:cs="times_new_roman"/>
          <w:kern w:val="0"/>
          <w:sz w:val="27"/>
          <w:szCs w:val="27"/>
          <w:lang w:eastAsia="zh-CN"/>
        </w:rPr>
      </w:pPr>
      <w:r>
        <w:rPr>
          <w:rFonts w:hint="eastAsia" w:ascii="times_new_roman" w:hAnsi="times_new_roman" w:eastAsia="宋体" w:cs="times_new_roman"/>
          <w:kern w:val="0"/>
          <w:sz w:val="27"/>
          <w:szCs w:val="27"/>
          <w:lang w:eastAsia="zh-CN"/>
        </w:rPr>
        <w:drawing>
          <wp:inline distT="0" distB="0" distL="114300" distR="114300">
            <wp:extent cx="6178550" cy="5414010"/>
            <wp:effectExtent l="0" t="0" r="12700" b="15240"/>
            <wp:docPr id="3" name="图片 3" descr="人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人大"/>
                    <pic:cNvPicPr>
                      <a:picLocks noChangeAspect="1"/>
                    </pic:cNvPicPr>
                  </pic:nvPicPr>
                  <pic:blipFill>
                    <a:blip r:embed="rId8"/>
                    <a:stretch>
                      <a:fillRect/>
                    </a:stretch>
                  </pic:blipFill>
                  <pic:spPr>
                    <a:xfrm>
                      <a:off x="0" y="0"/>
                      <a:ext cx="6178550" cy="5414010"/>
                    </a:xfrm>
                    <a:prstGeom prst="rect">
                      <a:avLst/>
                    </a:prstGeom>
                  </pic:spPr>
                </pic:pic>
              </a:graphicData>
            </a:graphic>
          </wp:inline>
        </w:drawing>
      </w:r>
    </w:p>
    <w:p>
      <w:pPr>
        <w:widowControl/>
        <w:numPr>
          <w:ilvl w:val="0"/>
          <w:numId w:val="0"/>
        </w:numPr>
        <w:spacing w:before="240" w:after="240"/>
        <w:rPr>
          <w:rFonts w:hint="eastAsia" w:ascii="fang_song_gb2312" w:hAnsi="fang_song_gb2312" w:eastAsia="fang_song_gb2312" w:cs="fang_song_gb2312"/>
          <w:color w:val="auto"/>
          <w:kern w:val="0"/>
          <w:sz w:val="27"/>
          <w:szCs w:val="27"/>
        </w:rPr>
      </w:pPr>
      <w:r>
        <w:rPr>
          <w:rFonts w:hint="eastAsia" w:ascii="fang_song_gb2312" w:hAnsi="fang_song_gb2312" w:eastAsia="fang_song_gb2312" w:cs="fang_song_gb2312"/>
          <w:color w:val="auto"/>
          <w:kern w:val="0"/>
          <w:sz w:val="27"/>
          <w:szCs w:val="27"/>
          <w:lang w:val="en-US" w:eastAsia="zh-CN"/>
        </w:rPr>
        <w:t>2.</w:t>
      </w:r>
      <w:r>
        <w:rPr>
          <w:rFonts w:hint="eastAsia" w:ascii="fang_song_gb2312" w:hAnsi="fang_song_gb2312" w:eastAsia="fang_song_gb2312" w:cs="fang_song_gb2312"/>
          <w:color w:val="auto"/>
          <w:kern w:val="0"/>
          <w:sz w:val="27"/>
          <w:szCs w:val="27"/>
        </w:rPr>
        <w:t>综合执法工作经费（收入安排</w:t>
      </w:r>
      <w:r>
        <w:rPr>
          <w:rFonts w:hint="eastAsia" w:ascii="fang_song_gb2312" w:hAnsi="fang_song_gb2312" w:eastAsia="fang_song_gb2312" w:cs="fang_song_gb2312"/>
          <w:color w:val="auto"/>
          <w:kern w:val="0"/>
          <w:sz w:val="27"/>
          <w:szCs w:val="27"/>
          <w:lang w:eastAsia="zh-CN"/>
        </w:rPr>
        <w:t>）</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项目自评综述：根据年初设定的绩效目标，项目自评得分</w:t>
      </w:r>
      <w:r>
        <w:rPr>
          <w:rFonts w:hint="eastAsia" w:ascii="times_new_roman" w:hAnsi="times_new_roman" w:eastAsia="times_new_roman" w:cs="times_new_roman"/>
          <w:kern w:val="0"/>
          <w:sz w:val="27"/>
          <w:szCs w:val="27"/>
          <w:lang w:val="en-US" w:eastAsia="zh-CN"/>
        </w:rPr>
        <w:t>100</w:t>
      </w:r>
      <w:r>
        <w:rPr>
          <w:rFonts w:hint="eastAsia" w:ascii="times_new_roman" w:hAnsi="times_new_roman" w:eastAsia="times_new_roman" w:cs="times_new_roman"/>
          <w:kern w:val="0"/>
          <w:sz w:val="27"/>
          <w:szCs w:val="27"/>
        </w:rPr>
        <w:t xml:space="preserve"> 分。全年预算数为 </w:t>
      </w:r>
      <w:r>
        <w:rPr>
          <w:rFonts w:hint="eastAsia" w:ascii="times_new_roman" w:hAnsi="times_new_roman" w:eastAsia="times_new_roman" w:cs="times_new_roman"/>
          <w:kern w:val="0"/>
          <w:sz w:val="27"/>
          <w:szCs w:val="27"/>
          <w:lang w:val="en-US" w:eastAsia="zh-CN"/>
        </w:rPr>
        <w:t>10</w:t>
      </w:r>
      <w:r>
        <w:rPr>
          <w:rFonts w:hint="eastAsia" w:ascii="times_new_roman" w:hAnsi="times_new_roman" w:eastAsia="times_new_roman" w:cs="times_new_roman"/>
          <w:kern w:val="0"/>
          <w:sz w:val="27"/>
          <w:szCs w:val="27"/>
        </w:rPr>
        <w:t>万元，执行数为</w:t>
      </w:r>
      <w:r>
        <w:rPr>
          <w:rFonts w:hint="eastAsia" w:ascii="times_new_roman" w:hAnsi="times_new_roman" w:eastAsia="times_new_roman" w:cs="times_new_roman"/>
          <w:kern w:val="0"/>
          <w:sz w:val="27"/>
          <w:szCs w:val="27"/>
          <w:lang w:val="en-US" w:eastAsia="zh-CN"/>
        </w:rPr>
        <w:t>10</w:t>
      </w:r>
      <w:r>
        <w:rPr>
          <w:rFonts w:hint="eastAsia" w:ascii="times_new_roman" w:hAnsi="times_new_roman" w:eastAsia="times_new_roman" w:cs="times_new_roman"/>
          <w:kern w:val="0"/>
          <w:sz w:val="27"/>
          <w:szCs w:val="27"/>
        </w:rPr>
        <w:t>万元，完成预算的</w:t>
      </w:r>
      <w:r>
        <w:rPr>
          <w:rFonts w:hint="eastAsia" w:ascii="times_new_roman" w:hAnsi="times_new_roman" w:eastAsia="times_new_roman" w:cs="times_new_roman"/>
          <w:kern w:val="0"/>
          <w:sz w:val="27"/>
          <w:szCs w:val="27"/>
          <w:lang w:val="en-US" w:eastAsia="zh-CN"/>
        </w:rPr>
        <w:t>100</w:t>
      </w:r>
      <w:r>
        <w:rPr>
          <w:rFonts w:hint="eastAsia" w:ascii="times_new_roman" w:hAnsi="times_new_roman" w:eastAsia="times_new_roman" w:cs="times_new_roman"/>
          <w:kern w:val="0"/>
          <w:sz w:val="27"/>
          <w:szCs w:val="27"/>
        </w:rPr>
        <w:t>%。</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项目绩效目标完成情况：</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项目资金管理情况。</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我单位所有资金支出均履行了严格审批手续，严格执行相关的政策及规定，均按照批准的项目和用途以及项目实施方案执行，无自行改变项目内容，扩大支出范围现象。所有项目支出均合法合规。在经费支出时坚持"量入为出，收支平衡"的原则，从严控制支出，既考虑事业发展需要，又要考虑财力可能，实行预算资金统筹安排，综合平衡。</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后续工作计划。</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组织实施日常工作的开展及业务费的使用，有利于发挥，做好了镇级人民政府日常工作，坚持了党的领导、人民当家作主、依法治国的有机统一。在镇政府的指导下，切实发挥地方国家权利机关的职能作用，履行工作职责，增强监督效能，实现政府职能。并将项目资金按照相关使用规定继续使用，并且按照按照财经法规制度，根据单位的收入、支出制度实施。</w:t>
      </w:r>
    </w:p>
    <w:p>
      <w:pPr>
        <w:pStyle w:val="2"/>
        <w:rPr>
          <w:rFonts w:hint="eastAsia" w:eastAsia="宋体"/>
          <w:lang w:eastAsia="zh-CN"/>
        </w:rPr>
      </w:pPr>
      <w:r>
        <w:rPr>
          <w:rFonts w:hint="eastAsia" w:eastAsia="宋体"/>
          <w:lang w:eastAsia="zh-CN"/>
        </w:rPr>
        <w:drawing>
          <wp:inline distT="0" distB="0" distL="114300" distR="114300">
            <wp:extent cx="6178550" cy="5487035"/>
            <wp:effectExtent l="0" t="0" r="12700" b="18415"/>
            <wp:docPr id="4" name="图片 4" descr="综合执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综合执法"/>
                    <pic:cNvPicPr>
                      <a:picLocks noChangeAspect="1"/>
                    </pic:cNvPicPr>
                  </pic:nvPicPr>
                  <pic:blipFill>
                    <a:blip r:embed="rId9"/>
                    <a:stretch>
                      <a:fillRect/>
                    </a:stretch>
                  </pic:blipFill>
                  <pic:spPr>
                    <a:xfrm>
                      <a:off x="0" y="0"/>
                      <a:ext cx="6178550" cy="5487035"/>
                    </a:xfrm>
                    <a:prstGeom prst="rect">
                      <a:avLst/>
                    </a:prstGeom>
                  </pic:spPr>
                </pic:pic>
              </a:graphicData>
            </a:graphic>
          </wp:inline>
        </w:drawing>
      </w:r>
    </w:p>
    <w:p>
      <w:pPr>
        <w:widowControl/>
        <w:numPr>
          <w:ilvl w:val="0"/>
          <w:numId w:val="1"/>
        </w:numPr>
        <w:tabs>
          <w:tab w:val="clear" w:pos="312"/>
        </w:tabs>
        <w:spacing w:before="240" w:after="240"/>
        <w:ind w:left="0" w:leftChars="0" w:firstLine="0" w:firstLineChars="0"/>
        <w:rPr>
          <w:rFonts w:hint="default" w:ascii="fang_song_gb2312" w:hAnsi="fang_song_gb2312" w:eastAsia="fang_song_gb2312" w:cs="fang_song_gb2312"/>
          <w:color w:val="auto"/>
          <w:kern w:val="0"/>
          <w:sz w:val="27"/>
          <w:szCs w:val="27"/>
          <w:lang w:val="en-US" w:eastAsia="zh-CN"/>
        </w:rPr>
      </w:pPr>
      <w:r>
        <w:rPr>
          <w:rFonts w:hint="default" w:ascii="fang_song_gb2312" w:hAnsi="fang_song_gb2312" w:eastAsia="fang_song_gb2312" w:cs="fang_song_gb2312"/>
          <w:color w:val="auto"/>
          <w:kern w:val="0"/>
          <w:sz w:val="27"/>
          <w:szCs w:val="27"/>
          <w:lang w:val="en-US" w:eastAsia="zh-CN"/>
        </w:rPr>
        <w:t>工作经费（收入安排）</w:t>
      </w:r>
    </w:p>
    <w:p>
      <w:pPr>
        <w:numPr>
          <w:ilvl w:val="0"/>
          <w:numId w:val="0"/>
        </w:numPr>
        <w:spacing w:line="560" w:lineRule="exact"/>
        <w:ind w:firstLine="320" w:firstLineChars="1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项目自评综述：根据年初设定的绩效目标，项目自评得分</w:t>
      </w:r>
      <w:r>
        <w:rPr>
          <w:rFonts w:hint="eastAsia" w:ascii="仿宋_GB2312" w:hAnsi="仿宋_GB2312" w:eastAsia="仿宋_GB2312"/>
          <w:color w:val="auto"/>
          <w:kern w:val="2"/>
          <w:sz w:val="32"/>
          <w:szCs w:val="24"/>
          <w:u w:val="single"/>
          <w:lang w:val="en-US" w:eastAsia="zh-CN"/>
        </w:rPr>
        <w:t>100</w:t>
      </w:r>
      <w:r>
        <w:rPr>
          <w:rFonts w:hint="eastAsia"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eastAsia" w:ascii="Times New Roman" w:hAnsi="Times New Roman"/>
          <w:color w:val="auto"/>
          <w:kern w:val="2"/>
          <w:sz w:val="32"/>
          <w:szCs w:val="24"/>
          <w:u w:val="single"/>
          <w:lang w:val="en-US" w:eastAsia="zh-CN"/>
        </w:rPr>
        <w:t>10.65</w:t>
      </w:r>
      <w:r>
        <w:rPr>
          <w:rFonts w:hint="eastAsia" w:ascii="仿宋_GB2312" w:hAnsi="仿宋_GB2312" w:eastAsia="仿宋_GB2312"/>
          <w:color w:val="auto"/>
          <w:kern w:val="2"/>
          <w:sz w:val="32"/>
          <w:szCs w:val="24"/>
        </w:rPr>
        <w:t>万元，执行数为</w:t>
      </w:r>
      <w:r>
        <w:rPr>
          <w:rFonts w:hint="eastAsia" w:ascii="Times New Roman" w:hAnsi="Times New Roman"/>
          <w:color w:val="auto"/>
          <w:kern w:val="2"/>
          <w:sz w:val="32"/>
          <w:szCs w:val="24"/>
          <w:u w:val="single"/>
          <w:lang w:val="en-US" w:eastAsia="zh-CN"/>
        </w:rPr>
        <w:t>10.65</w:t>
      </w:r>
      <w:r>
        <w:rPr>
          <w:rFonts w:hint="eastAsia" w:ascii="仿宋_GB2312" w:hAnsi="仿宋_GB2312" w:eastAsia="仿宋_GB2312"/>
          <w:color w:val="auto"/>
          <w:kern w:val="2"/>
          <w:sz w:val="32"/>
          <w:szCs w:val="24"/>
        </w:rPr>
        <w:t>万元，完成预算的</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w:t>
      </w:r>
    </w:p>
    <w:p>
      <w:pPr>
        <w:numPr>
          <w:ilvl w:val="0"/>
          <w:numId w:val="0"/>
        </w:numPr>
        <w:spacing w:line="560" w:lineRule="exact"/>
        <w:ind w:firstLine="320" w:firstLineChars="1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项目绩效目标完成情况：</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项目资金管理情况。</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我单位所有资金支出均履行了严格审批手续，严格执行相关的政策及规定，均按照批准的项目和用途以及项目实施方案执行，无自行改变项目内容，扩大支出范围现象。所有项目支出均合法合规。在经费支出时坚持"量入为出，收支平衡"的原则，从严控制支出，既考虑事业发展需要，又要考虑财力可能，实行预算资金统筹安排，综合平衡。</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后续工作计划。</w:t>
      </w:r>
    </w:p>
    <w:p>
      <w:pPr>
        <w:widowControl/>
        <w:numPr>
          <w:ilvl w:val="0"/>
          <w:numId w:val="0"/>
        </w:numPr>
        <w:spacing w:before="240" w:after="240"/>
        <w:ind w:firstLine="540" w:firstLineChars="200"/>
        <w:rPr>
          <w:rFonts w:hint="eastAsia" w:ascii="times_new_roman" w:hAnsi="times_new_roman" w:eastAsia="times_new_roman" w:cs="times_new_roman"/>
          <w:kern w:val="0"/>
          <w:sz w:val="27"/>
          <w:szCs w:val="27"/>
        </w:rPr>
      </w:pPr>
      <w:r>
        <w:rPr>
          <w:rFonts w:hint="eastAsia" w:ascii="times_new_roman" w:hAnsi="times_new_roman" w:eastAsia="times_new_roman" w:cs="times_new_roman"/>
          <w:kern w:val="0"/>
          <w:sz w:val="27"/>
          <w:szCs w:val="27"/>
        </w:rPr>
        <w:t>组织实施日常工作的开展及业务费的使用，有利于发挥，做好了镇级人民政府日常工作，坚持了党的领导、人民当家作主、依法治国的有机统一。在镇政府的指导下，切实发挥地方国家权利机关的职能作用，履行工作职责，增强监督效能，实现政府职能。并将项目资金按照相关使用规定继续使用，并且按照按照财经法规制度，根据单位的收入、支出制度实施。</w:t>
      </w:r>
    </w:p>
    <w:p>
      <w:pPr>
        <w:pStyle w:val="2"/>
        <w:rPr>
          <w:rFonts w:hint="eastAsia" w:eastAsia="宋体"/>
          <w:lang w:eastAsia="zh-CN"/>
        </w:rPr>
      </w:pPr>
      <w:r>
        <w:rPr>
          <w:rFonts w:hint="eastAsia" w:eastAsia="宋体"/>
          <w:lang w:eastAsia="zh-CN"/>
        </w:rPr>
        <w:drawing>
          <wp:inline distT="0" distB="0" distL="114300" distR="114300">
            <wp:extent cx="6176645" cy="5394325"/>
            <wp:effectExtent l="0" t="0" r="14605" b="15875"/>
            <wp:docPr id="5" name="图片 5" descr="工作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工作经费"/>
                    <pic:cNvPicPr>
                      <a:picLocks noChangeAspect="1"/>
                    </pic:cNvPicPr>
                  </pic:nvPicPr>
                  <pic:blipFill>
                    <a:blip r:embed="rId10"/>
                    <a:stretch>
                      <a:fillRect/>
                    </a:stretch>
                  </pic:blipFill>
                  <pic:spPr>
                    <a:xfrm>
                      <a:off x="0" y="0"/>
                      <a:ext cx="6176645" cy="5394325"/>
                    </a:xfrm>
                    <a:prstGeom prst="rect">
                      <a:avLst/>
                    </a:prstGeom>
                  </pic:spPr>
                </pic:pic>
              </a:graphicData>
            </a:graphic>
          </wp:inline>
        </w:drawing>
      </w:r>
    </w:p>
    <w:p>
      <w:pPr>
        <w:widowControl/>
        <w:numPr>
          <w:ilvl w:val="0"/>
          <w:numId w:val="1"/>
        </w:numPr>
        <w:tabs>
          <w:tab w:val="clear" w:pos="312"/>
        </w:tabs>
        <w:spacing w:before="240" w:after="240"/>
        <w:ind w:left="0" w:leftChars="0" w:firstLine="0" w:firstLineChars="0"/>
        <w:rPr>
          <w:rFonts w:hint="default" w:ascii="fang_song_gb2312" w:hAnsi="fang_song_gb2312" w:eastAsia="fang_song_gb2312" w:cs="fang_song_gb2312"/>
          <w:color w:val="auto"/>
          <w:kern w:val="0"/>
          <w:sz w:val="27"/>
          <w:szCs w:val="27"/>
          <w:lang w:val="en-US" w:eastAsia="zh-CN"/>
        </w:rPr>
      </w:pPr>
      <w:r>
        <w:rPr>
          <w:rFonts w:hint="eastAsia" w:ascii="fang_song_gb2312" w:hAnsi="fang_song_gb2312" w:eastAsia="fang_song_gb2312" w:cs="fang_song_gb2312"/>
          <w:color w:val="auto"/>
          <w:kern w:val="0"/>
          <w:sz w:val="27"/>
          <w:szCs w:val="27"/>
          <w:lang w:val="en-US" w:eastAsia="zh-CN"/>
        </w:rPr>
        <w:t>人居环境贷款还本</w:t>
      </w:r>
    </w:p>
    <w:p>
      <w:pPr>
        <w:numPr>
          <w:ilvl w:val="0"/>
          <w:numId w:val="0"/>
        </w:numPr>
        <w:spacing w:line="560" w:lineRule="exact"/>
        <w:ind w:firstLine="320" w:firstLineChars="1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项目自评综述：根据年初设定的绩效目标，项目自评得分</w:t>
      </w:r>
      <w:r>
        <w:rPr>
          <w:rFonts w:hint="eastAsia" w:ascii="仿宋_GB2312" w:hAnsi="仿宋_GB2312" w:eastAsia="仿宋_GB2312"/>
          <w:color w:val="auto"/>
          <w:kern w:val="2"/>
          <w:sz w:val="32"/>
          <w:szCs w:val="24"/>
          <w:u w:val="single"/>
          <w:lang w:val="en-US" w:eastAsia="zh-CN"/>
        </w:rPr>
        <w:t>100</w:t>
      </w:r>
      <w:r>
        <w:rPr>
          <w:rFonts w:hint="eastAsia"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eastAsia" w:ascii="Times New Roman" w:hAnsi="Times New Roman"/>
          <w:color w:val="auto"/>
          <w:kern w:val="2"/>
          <w:sz w:val="32"/>
          <w:szCs w:val="24"/>
          <w:u w:val="single"/>
          <w:lang w:val="en-US" w:eastAsia="zh-CN"/>
        </w:rPr>
        <w:t>670</w:t>
      </w:r>
      <w:r>
        <w:rPr>
          <w:rFonts w:hint="eastAsia" w:ascii="仿宋_GB2312" w:hAnsi="仿宋_GB2312" w:eastAsia="仿宋_GB2312"/>
          <w:color w:val="auto"/>
          <w:kern w:val="2"/>
          <w:sz w:val="32"/>
          <w:szCs w:val="24"/>
        </w:rPr>
        <w:t>万元，执行数为</w:t>
      </w:r>
      <w:r>
        <w:rPr>
          <w:rFonts w:hint="eastAsia" w:ascii="Times New Roman" w:hAnsi="Times New Roman"/>
          <w:color w:val="auto"/>
          <w:kern w:val="2"/>
          <w:sz w:val="32"/>
          <w:szCs w:val="24"/>
          <w:u w:val="single"/>
          <w:lang w:val="en-US" w:eastAsia="zh-CN"/>
        </w:rPr>
        <w:t>670</w:t>
      </w:r>
      <w:r>
        <w:rPr>
          <w:rFonts w:hint="eastAsia" w:ascii="仿宋_GB2312" w:hAnsi="仿宋_GB2312" w:eastAsia="仿宋_GB2312"/>
          <w:color w:val="auto"/>
          <w:kern w:val="2"/>
          <w:sz w:val="32"/>
          <w:szCs w:val="24"/>
        </w:rPr>
        <w:t>万元，完成预算的</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w:t>
      </w:r>
    </w:p>
    <w:p>
      <w:pPr>
        <w:numPr>
          <w:ilvl w:val="0"/>
          <w:numId w:val="0"/>
        </w:numPr>
        <w:spacing w:line="560" w:lineRule="exact"/>
        <w:ind w:firstLine="320" w:firstLineChars="1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项目绩效目标完成情况：</w:t>
      </w:r>
    </w:p>
    <w:p>
      <w:pPr>
        <w:numPr>
          <w:ilvl w:val="0"/>
          <w:numId w:val="0"/>
        </w:numPr>
        <w:spacing w:line="560" w:lineRule="exact"/>
        <w:ind w:firstLine="320" w:firstLineChars="100"/>
        <w:jc w:val="both"/>
        <w:rPr>
          <w:rFonts w:hint="eastAsia" w:ascii="仿宋_GB2312" w:hAnsi="仿宋_GB2312" w:eastAsia="仿宋_GB2312" w:cs="Times New Roman"/>
          <w:color w:val="auto"/>
          <w:kern w:val="2"/>
          <w:sz w:val="32"/>
          <w:szCs w:val="24"/>
        </w:rPr>
      </w:pPr>
      <w:r>
        <w:rPr>
          <w:rFonts w:hint="eastAsia" w:ascii="仿宋_GB2312" w:hAnsi="仿宋_GB2312" w:eastAsia="仿宋_GB2312" w:cs="Times New Roman"/>
          <w:color w:val="auto"/>
          <w:kern w:val="2"/>
          <w:sz w:val="32"/>
          <w:szCs w:val="24"/>
        </w:rPr>
        <w:t>项目资金管理情况:</w:t>
      </w:r>
    </w:p>
    <w:p>
      <w:pPr>
        <w:numPr>
          <w:ilvl w:val="0"/>
          <w:numId w:val="0"/>
        </w:numPr>
        <w:spacing w:line="560" w:lineRule="exact"/>
        <w:ind w:firstLine="320" w:firstLineChars="100"/>
        <w:jc w:val="both"/>
        <w:rPr>
          <w:rFonts w:hint="eastAsia" w:ascii="仿宋_GB2312" w:hAnsi="仿宋_GB2312" w:eastAsia="仿宋_GB2312" w:cs="Times New Roman"/>
          <w:color w:val="auto"/>
          <w:kern w:val="2"/>
          <w:sz w:val="32"/>
          <w:szCs w:val="24"/>
        </w:rPr>
      </w:pPr>
      <w:r>
        <w:rPr>
          <w:rFonts w:hint="eastAsia" w:ascii="仿宋_GB2312" w:hAnsi="仿宋_GB2312" w:eastAsia="仿宋_GB2312" w:cs="Times New Roman"/>
          <w:color w:val="auto"/>
          <w:kern w:val="2"/>
          <w:sz w:val="32"/>
          <w:szCs w:val="24"/>
        </w:rPr>
        <w:t>我单位所有资金支出均履行了严格审批手续，严格执行相关的政策及规定，均按照批准的项目和用途以及项目实施方案执行，无自行改变项目内容，扩大支出范围现象。所有项目支出均合法合规。在经费支出时坚持"量入为出，收支平衡"的原则，从严控制支出，既考虑事业发展需要，又要考虑财力可能，实行预算资金统筹安排，综合平衡。项目总资金670万元，全部执行，预算执行率100%。</w:t>
      </w:r>
    </w:p>
    <w:p>
      <w:pPr>
        <w:numPr>
          <w:ilvl w:val="0"/>
          <w:numId w:val="0"/>
        </w:numPr>
        <w:spacing w:line="560" w:lineRule="exact"/>
        <w:ind w:firstLine="320" w:firstLineChars="100"/>
        <w:jc w:val="both"/>
        <w:rPr>
          <w:rFonts w:hint="eastAsia" w:ascii="仿宋_GB2312" w:hAnsi="仿宋_GB2312" w:eastAsia="仿宋_GB2312" w:cs="Times New Roman"/>
          <w:color w:val="auto"/>
          <w:kern w:val="2"/>
          <w:sz w:val="32"/>
          <w:szCs w:val="24"/>
        </w:rPr>
      </w:pPr>
      <w:r>
        <w:rPr>
          <w:rFonts w:hint="eastAsia" w:ascii="仿宋_GB2312" w:hAnsi="仿宋_GB2312" w:eastAsia="仿宋_GB2312" w:cs="Times New Roman"/>
          <w:color w:val="auto"/>
          <w:kern w:val="2"/>
          <w:sz w:val="32"/>
          <w:szCs w:val="24"/>
        </w:rPr>
        <w:t>后续工作计划:</w:t>
      </w:r>
    </w:p>
    <w:p>
      <w:pPr>
        <w:numPr>
          <w:ilvl w:val="0"/>
          <w:numId w:val="0"/>
        </w:numPr>
        <w:spacing w:line="560" w:lineRule="exact"/>
        <w:ind w:firstLine="320" w:firstLineChars="100"/>
        <w:jc w:val="both"/>
        <w:rPr>
          <w:rFonts w:hint="eastAsia" w:ascii="仿宋_GB2312" w:hAnsi="仿宋_GB2312" w:eastAsia="仿宋_GB2312" w:cs="Times New Roman"/>
          <w:color w:val="auto"/>
          <w:kern w:val="2"/>
          <w:sz w:val="32"/>
          <w:szCs w:val="24"/>
        </w:rPr>
      </w:pPr>
      <w:r>
        <w:rPr>
          <w:rFonts w:hint="eastAsia" w:ascii="仿宋_GB2312" w:hAnsi="仿宋_GB2312" w:eastAsia="仿宋_GB2312" w:cs="Times New Roman"/>
          <w:color w:val="auto"/>
          <w:kern w:val="2"/>
          <w:sz w:val="32"/>
          <w:szCs w:val="24"/>
        </w:rPr>
        <w:t>将绩效评价作为项目的重要组成部分进行申报、监控、自评等系列程序，通过自评得分对项目决策提供科学有效地的信息，切实提升决策能力。继续细化绩效指标，让指标内容更全面，指标赋值更合理，整体更具参考价值。在年度预算项目申报工作中要着重考虑项目的合理性与必要性，压减一般性支出，非刚性支出，缓解本级财政支出压力。</w:t>
      </w:r>
    </w:p>
    <w:p>
      <w:pPr>
        <w:numPr>
          <w:ilvl w:val="0"/>
          <w:numId w:val="0"/>
        </w:numPr>
        <w:spacing w:line="240" w:lineRule="auto"/>
        <w:ind w:firstLine="320" w:firstLineChars="100"/>
        <w:jc w:val="both"/>
        <w:rPr>
          <w:rFonts w:hint="eastAsia" w:ascii="仿宋_GB2312" w:hAnsi="仿宋_GB2312" w:eastAsia="仿宋_GB2312" w:cs="Times New Roman"/>
          <w:color w:val="auto"/>
          <w:kern w:val="2"/>
          <w:sz w:val="32"/>
          <w:szCs w:val="24"/>
          <w:lang w:eastAsia="zh-CN"/>
        </w:rPr>
      </w:pPr>
      <w:r>
        <w:rPr>
          <w:rFonts w:hint="eastAsia" w:ascii="仿宋_GB2312" w:hAnsi="仿宋_GB2312" w:eastAsia="仿宋_GB2312" w:cs="Times New Roman"/>
          <w:color w:val="auto"/>
          <w:kern w:val="2"/>
          <w:sz w:val="32"/>
          <w:szCs w:val="24"/>
          <w:lang w:eastAsia="zh-CN"/>
        </w:rPr>
        <w:drawing>
          <wp:inline distT="0" distB="0" distL="114300" distR="114300">
            <wp:extent cx="6181725" cy="5620385"/>
            <wp:effectExtent l="0" t="0" r="9525" b="18415"/>
            <wp:docPr id="6" name="图片 6" descr="人居环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人居环境"/>
                    <pic:cNvPicPr>
                      <a:picLocks noChangeAspect="1"/>
                    </pic:cNvPicPr>
                  </pic:nvPicPr>
                  <pic:blipFill>
                    <a:blip r:embed="rId11"/>
                    <a:stretch>
                      <a:fillRect/>
                    </a:stretch>
                  </pic:blipFill>
                  <pic:spPr>
                    <a:xfrm>
                      <a:off x="0" y="0"/>
                      <a:ext cx="6181725" cy="5620385"/>
                    </a:xfrm>
                    <a:prstGeom prst="rect">
                      <a:avLst/>
                    </a:prstGeom>
                  </pic:spPr>
                </pic:pic>
              </a:graphicData>
            </a:graphic>
          </wp:inline>
        </w:drawing>
      </w:r>
    </w:p>
    <w:p>
      <w:pPr>
        <w:widowControl/>
        <w:numPr>
          <w:ilvl w:val="0"/>
          <w:numId w:val="1"/>
        </w:numPr>
        <w:tabs>
          <w:tab w:val="clear" w:pos="312"/>
        </w:tabs>
        <w:spacing w:before="240" w:after="240"/>
        <w:ind w:left="0" w:leftChars="0" w:firstLine="0" w:firstLineChars="0"/>
        <w:rPr>
          <w:rFonts w:hint="eastAsia" w:ascii="fang_song_gb2312" w:hAnsi="fang_song_gb2312" w:eastAsia="fang_song_gb2312" w:cs="fang_song_gb2312"/>
          <w:color w:val="auto"/>
          <w:kern w:val="0"/>
          <w:sz w:val="27"/>
          <w:szCs w:val="27"/>
          <w:lang w:val="en-US" w:eastAsia="zh-CN"/>
        </w:rPr>
      </w:pPr>
      <w:r>
        <w:rPr>
          <w:rFonts w:hint="eastAsia" w:ascii="fang_song_gb2312" w:hAnsi="fang_song_gb2312" w:eastAsia="fang_song_gb2312" w:cs="fang_song_gb2312"/>
          <w:color w:val="auto"/>
          <w:kern w:val="0"/>
          <w:sz w:val="27"/>
          <w:szCs w:val="27"/>
          <w:lang w:val="en-US" w:eastAsia="zh-CN"/>
        </w:rPr>
        <w:t>信访经费</w:t>
      </w:r>
    </w:p>
    <w:p>
      <w:pPr>
        <w:numPr>
          <w:ilvl w:val="0"/>
          <w:numId w:val="0"/>
        </w:numPr>
        <w:spacing w:line="560" w:lineRule="exact"/>
        <w:ind w:firstLine="320" w:firstLineChars="100"/>
        <w:jc w:val="both"/>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项目自评综述：根据年初设定的绩效目标，项目自评得分</w:t>
      </w:r>
      <w:r>
        <w:rPr>
          <w:rFonts w:hint="eastAsia" w:ascii="仿宋_GB2312" w:hAnsi="仿宋_GB2312" w:eastAsia="仿宋_GB2312"/>
          <w:color w:val="auto"/>
          <w:kern w:val="2"/>
          <w:sz w:val="32"/>
          <w:szCs w:val="24"/>
          <w:u w:val="single"/>
          <w:lang w:val="en-US" w:eastAsia="zh-CN"/>
        </w:rPr>
        <w:t>100</w:t>
      </w:r>
      <w:r>
        <w:rPr>
          <w:rFonts w:hint="eastAsia" w:ascii="Times New Roman" w:hAnsi="Times New Roman" w:eastAsia="Times New Roman"/>
          <w:color w:val="auto"/>
          <w:kern w:val="2"/>
          <w:sz w:val="32"/>
          <w:szCs w:val="24"/>
          <w:u w:val="single"/>
        </w:rPr>
        <w:t xml:space="preserve"> </w:t>
      </w:r>
      <w:r>
        <w:rPr>
          <w:rFonts w:hint="eastAsia" w:ascii="仿宋_GB2312" w:hAnsi="仿宋_GB2312" w:eastAsia="仿宋_GB2312"/>
          <w:color w:val="auto"/>
          <w:kern w:val="2"/>
          <w:sz w:val="32"/>
          <w:szCs w:val="24"/>
        </w:rPr>
        <w:t>分。全年预算数为</w:t>
      </w:r>
      <w:r>
        <w:rPr>
          <w:rFonts w:hint="eastAsia" w:ascii="Times New Roman" w:hAnsi="Times New Roman"/>
          <w:color w:val="auto"/>
          <w:kern w:val="2"/>
          <w:sz w:val="32"/>
          <w:szCs w:val="24"/>
          <w:u w:val="single"/>
          <w:lang w:val="en-US" w:eastAsia="zh-CN"/>
        </w:rPr>
        <w:t>3</w:t>
      </w:r>
      <w:r>
        <w:rPr>
          <w:rFonts w:hint="eastAsia" w:ascii="仿宋_GB2312" w:hAnsi="仿宋_GB2312" w:eastAsia="仿宋_GB2312"/>
          <w:color w:val="auto"/>
          <w:kern w:val="2"/>
          <w:sz w:val="32"/>
          <w:szCs w:val="24"/>
        </w:rPr>
        <w:t>万元，执行数为</w:t>
      </w:r>
      <w:r>
        <w:rPr>
          <w:rFonts w:hint="eastAsia" w:ascii="Times New Roman" w:hAnsi="Times New Roman"/>
          <w:color w:val="auto"/>
          <w:kern w:val="2"/>
          <w:sz w:val="32"/>
          <w:szCs w:val="24"/>
          <w:u w:val="single"/>
          <w:lang w:val="en-US" w:eastAsia="zh-CN"/>
        </w:rPr>
        <w:t>3</w:t>
      </w:r>
      <w:r>
        <w:rPr>
          <w:rFonts w:hint="eastAsia" w:ascii="仿宋_GB2312" w:hAnsi="仿宋_GB2312" w:eastAsia="仿宋_GB2312"/>
          <w:color w:val="auto"/>
          <w:kern w:val="2"/>
          <w:sz w:val="32"/>
          <w:szCs w:val="24"/>
        </w:rPr>
        <w:t>万元，完成预算的</w:t>
      </w:r>
      <w:r>
        <w:rPr>
          <w:rFonts w:hint="eastAsia" w:ascii="Times New Roman" w:hAnsi="Times New Roman" w:eastAsia="宋体"/>
          <w:color w:val="auto"/>
          <w:kern w:val="2"/>
          <w:sz w:val="32"/>
          <w:szCs w:val="24"/>
          <w:u w:val="single"/>
          <w:lang w:val="en-US" w:eastAsia="zh-CN"/>
        </w:rPr>
        <w:t>100</w:t>
      </w:r>
      <w:r>
        <w:rPr>
          <w:rFonts w:hint="eastAsia" w:ascii="仿宋_GB2312" w:hAnsi="仿宋_GB2312" w:eastAsia="仿宋_GB2312"/>
          <w:color w:val="auto"/>
          <w:kern w:val="2"/>
          <w:sz w:val="32"/>
          <w:szCs w:val="24"/>
        </w:rPr>
        <w:t>%。</w:t>
      </w:r>
    </w:p>
    <w:p>
      <w:pPr>
        <w:pStyle w:val="2"/>
        <w:numPr>
          <w:ilvl w:val="0"/>
          <w:numId w:val="0"/>
        </w:numPr>
        <w:ind w:leftChars="0"/>
        <w:rPr>
          <w:rFonts w:hint="eastAsia" w:ascii="仿宋_GB2312" w:hAnsi="仿宋_GB2312" w:eastAsia="仿宋_GB2312"/>
          <w:color w:val="auto"/>
          <w:kern w:val="2"/>
          <w:sz w:val="32"/>
          <w:szCs w:val="24"/>
        </w:rPr>
      </w:pPr>
      <w:r>
        <w:rPr>
          <w:rFonts w:hint="eastAsia" w:ascii="仿宋_GB2312" w:hAnsi="仿宋_GB2312" w:eastAsia="仿宋_GB2312"/>
          <w:color w:val="auto"/>
          <w:kern w:val="2"/>
          <w:sz w:val="32"/>
          <w:szCs w:val="24"/>
        </w:rPr>
        <w:t>项目绩效目标完成情况：</w:t>
      </w:r>
    </w:p>
    <w:p>
      <w:pPr>
        <w:numPr>
          <w:ilvl w:val="0"/>
          <w:numId w:val="0"/>
        </w:numPr>
        <w:spacing w:line="560" w:lineRule="exact"/>
        <w:ind w:firstLine="320" w:firstLineChars="100"/>
        <w:jc w:val="both"/>
        <w:rPr>
          <w:rFonts w:hint="eastAsia" w:ascii="仿宋_GB2312" w:hAnsi="仿宋_GB2312" w:eastAsia="仿宋_GB2312" w:cs="Times New Roman"/>
          <w:color w:val="auto"/>
          <w:kern w:val="2"/>
          <w:sz w:val="32"/>
          <w:szCs w:val="24"/>
        </w:rPr>
      </w:pPr>
      <w:r>
        <w:rPr>
          <w:rFonts w:hint="eastAsia" w:ascii="仿宋_GB2312" w:hAnsi="仿宋_GB2312" w:eastAsia="仿宋_GB2312" w:cs="Times New Roman"/>
          <w:color w:val="auto"/>
          <w:kern w:val="2"/>
          <w:sz w:val="32"/>
          <w:szCs w:val="24"/>
        </w:rPr>
        <w:t>项目资金管理情况:</w:t>
      </w:r>
    </w:p>
    <w:p>
      <w:pPr>
        <w:numPr>
          <w:ilvl w:val="0"/>
          <w:numId w:val="0"/>
        </w:numPr>
        <w:spacing w:line="560" w:lineRule="exact"/>
        <w:ind w:firstLine="320" w:firstLineChars="100"/>
        <w:jc w:val="both"/>
        <w:rPr>
          <w:rFonts w:hint="default" w:ascii="仿宋_GB2312" w:hAnsi="仿宋_GB2312" w:eastAsia="仿宋_GB2312" w:cs="Times New Roman"/>
          <w:color w:val="auto"/>
          <w:kern w:val="2"/>
          <w:sz w:val="32"/>
          <w:szCs w:val="24"/>
          <w:lang w:val="en-US" w:eastAsia="zh-CN"/>
        </w:rPr>
      </w:pPr>
      <w:r>
        <w:rPr>
          <w:rFonts w:hint="default" w:ascii="仿宋_GB2312" w:hAnsi="仿宋_GB2312" w:eastAsia="仿宋_GB2312" w:cs="Times New Roman"/>
          <w:color w:val="auto"/>
          <w:kern w:val="2"/>
          <w:sz w:val="32"/>
          <w:szCs w:val="24"/>
          <w:lang w:val="en-US" w:eastAsia="zh-CN"/>
        </w:rPr>
        <w:t>我单位所有资金支出均履行了严格审批手续，严格执行相关的政策及规定，均按照批准的项目和用途以及项目实施方案执行，无自行改变项目内容，扩大支出范围现象。所有项目支出均合法合规。在经费支出时坚持"量入为出，收支平衡"的原则，从严控制支出，既考虑事业发展需要，又要考虑财力可能，实行预算资金统筹安排，综合平衡。</w:t>
      </w:r>
    </w:p>
    <w:p>
      <w:pPr>
        <w:numPr>
          <w:ilvl w:val="0"/>
          <w:numId w:val="0"/>
        </w:numPr>
        <w:spacing w:line="560" w:lineRule="exact"/>
        <w:ind w:firstLine="320" w:firstLineChars="100"/>
        <w:jc w:val="both"/>
        <w:rPr>
          <w:rFonts w:hint="eastAsia" w:ascii="仿宋_GB2312" w:hAnsi="仿宋_GB2312" w:eastAsia="仿宋_GB2312" w:cs="Times New Roman"/>
          <w:color w:val="auto"/>
          <w:kern w:val="2"/>
          <w:sz w:val="32"/>
          <w:szCs w:val="24"/>
        </w:rPr>
      </w:pPr>
      <w:r>
        <w:rPr>
          <w:rFonts w:hint="eastAsia" w:ascii="仿宋_GB2312" w:hAnsi="仿宋_GB2312" w:eastAsia="仿宋_GB2312" w:cs="Times New Roman"/>
          <w:color w:val="auto"/>
          <w:kern w:val="2"/>
          <w:sz w:val="32"/>
          <w:szCs w:val="24"/>
        </w:rPr>
        <w:t>后续工作计划:</w:t>
      </w:r>
    </w:p>
    <w:p>
      <w:pPr>
        <w:numPr>
          <w:ilvl w:val="0"/>
          <w:numId w:val="0"/>
        </w:numPr>
        <w:spacing w:line="560" w:lineRule="exact"/>
        <w:ind w:firstLine="320" w:firstLineChars="100"/>
        <w:jc w:val="both"/>
        <w:rPr>
          <w:rFonts w:hint="default" w:ascii="仿宋_GB2312" w:hAnsi="仿宋_GB2312" w:eastAsia="仿宋_GB2312" w:cs="Times New Roman"/>
          <w:color w:val="auto"/>
          <w:kern w:val="2"/>
          <w:sz w:val="32"/>
          <w:szCs w:val="24"/>
          <w:lang w:val="en-US" w:eastAsia="zh-CN"/>
        </w:rPr>
      </w:pPr>
      <w:r>
        <w:rPr>
          <w:rFonts w:hint="default" w:ascii="仿宋_GB2312" w:hAnsi="仿宋_GB2312" w:eastAsia="仿宋_GB2312" w:cs="Times New Roman"/>
          <w:color w:val="auto"/>
          <w:kern w:val="2"/>
          <w:sz w:val="32"/>
          <w:szCs w:val="24"/>
          <w:lang w:val="en-US" w:eastAsia="zh-CN"/>
        </w:rPr>
        <w:t>将绩效评价作为项目的重要组成部分进行申报、监控、自评等系列程序，通过自评得分对项目决策提供科学有效地的信息，切实提升决策能力。继续细化绩效指标，让指标内容更全面，指标赋值更合理，整体更具参考价值。在年度预算项目申报工作中要着重考虑项目的合理性与必要性，压减一般性支出，非刚性支出，缓解本级财政支出压力。</w:t>
      </w:r>
    </w:p>
    <w:p>
      <w:pPr>
        <w:pStyle w:val="2"/>
        <w:rPr>
          <w:rFonts w:hint="default"/>
          <w:lang w:val="en-US" w:eastAsia="zh-CN"/>
        </w:rPr>
      </w:pPr>
      <w:r>
        <w:rPr>
          <w:rFonts w:hint="default"/>
          <w:lang w:val="en-US" w:eastAsia="zh-CN"/>
        </w:rPr>
        <w:drawing>
          <wp:inline distT="0" distB="0" distL="114300" distR="114300">
            <wp:extent cx="6178550" cy="4773295"/>
            <wp:effectExtent l="0" t="0" r="12700" b="8255"/>
            <wp:docPr id="7" name="图片 7" descr="信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信访"/>
                    <pic:cNvPicPr>
                      <a:picLocks noChangeAspect="1"/>
                    </pic:cNvPicPr>
                  </pic:nvPicPr>
                  <pic:blipFill>
                    <a:blip r:embed="rId12"/>
                    <a:stretch>
                      <a:fillRect/>
                    </a:stretch>
                  </pic:blipFill>
                  <pic:spPr>
                    <a:xfrm>
                      <a:off x="0" y="0"/>
                      <a:ext cx="6178550" cy="4773295"/>
                    </a:xfrm>
                    <a:prstGeom prst="rect">
                      <a:avLst/>
                    </a:prstGeom>
                  </pic:spPr>
                </pic:pic>
              </a:graphicData>
            </a:graphic>
          </wp:inline>
        </w:drawing>
      </w:r>
    </w:p>
    <w:p>
      <w:pPr>
        <w:widowControl/>
        <w:spacing w:before="240" w:after="240"/>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（三）部门（单位）项目绩效评价结果。</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以综合执法工作经费（收入安排）项目为例，该项目绩效评价综合得分为</w:t>
      </w:r>
      <w:r>
        <w:rPr>
          <w:rFonts w:hint="eastAsia" w:ascii="times_new_roman" w:hAnsi="times_new_roman" w:cs="times_new_roman"/>
          <w:kern w:val="0"/>
          <w:sz w:val="27"/>
          <w:szCs w:val="27"/>
          <w:u w:val="single"/>
          <w:lang w:val="en-US" w:eastAsia="zh-CN"/>
        </w:rPr>
        <w:t>90</w:t>
      </w:r>
      <w:r>
        <w:rPr>
          <w:rFonts w:ascii="fang_song_gb2312" w:hAnsi="fang_song_gb2312" w:eastAsia="fang_song_gb2312" w:cs="fang_song_gb2312"/>
          <w:kern w:val="0"/>
          <w:sz w:val="27"/>
          <w:szCs w:val="27"/>
        </w:rPr>
        <w:t>分，绩效评价结果为“优”。重点项目绩效评价得分情况详见部门（单位）具体绩效评价结果。</w:t>
      </w:r>
    </w:p>
    <w:p>
      <w:pPr>
        <w:ind w:left="0" w:leftChars="0" w:firstLine="0" w:firstLineChars="0"/>
        <w:jc w:val="center"/>
        <w:rPr>
          <w:rFonts w:hint="eastAsia" w:ascii="仿宋" w:hAnsi="仿宋" w:eastAsia="仿宋" w:cs="仿宋"/>
          <w:b/>
          <w:bCs/>
          <w:i w:val="0"/>
          <w:iCs w:val="0"/>
          <w:color w:val="000000"/>
          <w:kern w:val="0"/>
          <w:sz w:val="52"/>
          <w:szCs w:val="52"/>
          <w:u w:val="none"/>
          <w:lang w:val="en-US" w:eastAsia="zh-CN" w:bidi="ar"/>
        </w:rPr>
      </w:pPr>
      <w:r>
        <w:rPr>
          <w:rFonts w:ascii="fang_song_gb2312" w:hAnsi="fang_song_gb2312" w:eastAsia="fang_song_gb2312" w:cs="fang_song_gb2312"/>
          <w:color w:val="0E00FE"/>
          <w:kern w:val="0"/>
          <w:sz w:val="27"/>
          <w:szCs w:val="27"/>
        </w:rPr>
        <w:t xml:space="preserve">    </w:t>
      </w:r>
      <w:r>
        <w:rPr>
          <w:rFonts w:hint="eastAsia" w:ascii="仿宋" w:hAnsi="仿宋" w:eastAsia="仿宋" w:cs="仿宋"/>
          <w:b/>
          <w:bCs/>
          <w:i w:val="0"/>
          <w:iCs w:val="0"/>
          <w:color w:val="000000"/>
          <w:kern w:val="0"/>
          <w:sz w:val="52"/>
          <w:szCs w:val="52"/>
          <w:u w:val="none"/>
          <w:lang w:val="en-US" w:eastAsia="zh-Hans" w:bidi="ar"/>
        </w:rPr>
        <w:t>项目</w:t>
      </w:r>
      <w:r>
        <w:rPr>
          <w:rFonts w:hint="eastAsia" w:ascii="仿宋" w:hAnsi="仿宋" w:eastAsia="仿宋" w:cs="仿宋"/>
          <w:b/>
          <w:bCs/>
          <w:i w:val="0"/>
          <w:iCs w:val="0"/>
          <w:color w:val="000000"/>
          <w:kern w:val="0"/>
          <w:sz w:val="52"/>
          <w:szCs w:val="52"/>
          <w:u w:val="none"/>
          <w:lang w:val="en-US" w:eastAsia="zh-CN" w:bidi="ar"/>
        </w:rPr>
        <w:t>绩效自评报告</w:t>
      </w:r>
    </w:p>
    <w:p>
      <w:pPr>
        <w:pStyle w:val="19"/>
        <w:keepNext w:val="0"/>
        <w:keepLines w:val="0"/>
        <w:widowControl/>
        <w:suppressLineNumbers w:val="0"/>
        <w:shd w:val="clear" w:fill="FFFFFF"/>
        <w:ind w:left="0" w:leftChars="0" w:firstLine="0" w:firstLineChars="0"/>
        <w:jc w:val="center"/>
        <w:rPr>
          <w:rFonts w:hint="eastAsia" w:ascii="仿宋" w:hAnsi="仿宋" w:eastAsia="仿宋" w:cs="仿宋"/>
          <w:b/>
          <w:bCs/>
          <w:i w:val="0"/>
          <w:iCs w:val="0"/>
          <w:color w:val="000000"/>
          <w:kern w:val="0"/>
          <w:sz w:val="36"/>
          <w:szCs w:val="36"/>
          <w:u w:val="none"/>
          <w:lang w:val="en-US" w:eastAsia="zh-CN" w:bidi="ar"/>
        </w:rPr>
      </w:pPr>
      <w:r>
        <w:rPr>
          <w:rFonts w:hint="eastAsia" w:ascii="仿宋" w:hAnsi="仿宋" w:eastAsia="仿宋" w:cs="仿宋"/>
          <w:b/>
          <w:bCs/>
          <w:i w:val="0"/>
          <w:iCs w:val="0"/>
          <w:color w:val="000000"/>
          <w:kern w:val="0"/>
          <w:sz w:val="36"/>
          <w:szCs w:val="36"/>
          <w:u w:val="none"/>
          <w:lang w:val="en-US" w:eastAsia="zh-CN" w:bidi="ar"/>
        </w:rPr>
        <w:t>（</w:t>
      </w:r>
      <w:r>
        <w:rPr>
          <w:rFonts w:hint="eastAsia" w:ascii="方正小标宋简体" w:eastAsia="方正小标宋简体"/>
          <w:sz w:val="44"/>
          <w:szCs w:val="44"/>
          <w:lang w:eastAsia="zh-CN"/>
        </w:rPr>
        <w:t>2023</w:t>
      </w:r>
      <w:r>
        <w:rPr>
          <w:rFonts w:hint="eastAsia" w:ascii="仿宋" w:hAnsi="仿宋" w:eastAsia="仿宋" w:cs="仿宋"/>
          <w:b/>
          <w:bCs/>
          <w:i w:val="0"/>
          <w:iCs w:val="0"/>
          <w:color w:val="000000"/>
          <w:kern w:val="0"/>
          <w:sz w:val="36"/>
          <w:szCs w:val="36"/>
          <w:u w:val="none"/>
          <w:lang w:val="en-US" w:eastAsia="zh-CN" w:bidi="ar"/>
        </w:rPr>
        <w:t>年度）</w:t>
      </w: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both"/>
        <w:rPr>
          <w:rFonts w:hint="eastAsia" w:ascii="宋体" w:hAnsi="宋体" w:eastAsia="宋体" w:cs="宋体"/>
          <w:b/>
          <w:bCs/>
          <w:i w:val="0"/>
          <w:iCs w:val="0"/>
          <w:color w:val="000000"/>
          <w:kern w:val="0"/>
          <w:sz w:val="24"/>
          <w:szCs w:val="24"/>
          <w:u w:val="none"/>
          <w:lang w:val="en-US" w:eastAsia="zh-CN" w:bidi="ar"/>
        </w:rPr>
      </w:pPr>
    </w:p>
    <w:p>
      <w:pPr>
        <w:jc w:val="both"/>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jc w:val="both"/>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ind w:firstLine="1606" w:firstLineChars="500"/>
        <w:rPr>
          <w:rFonts w:hint="eastAsia" w:ascii="仿宋" w:hAnsi="仿宋" w:eastAsia="仿宋" w:cs="仿宋"/>
          <w:b/>
          <w:bCs/>
          <w:kern w:val="2"/>
          <w:sz w:val="32"/>
          <w:szCs w:val="32"/>
          <w:vertAlign w:val="baseline"/>
          <w:lang w:val="en-US" w:eastAsia="zh-CN" w:bidi="ar-SA"/>
        </w:rPr>
      </w:pPr>
      <w:r>
        <w:rPr>
          <w:rFonts w:hint="eastAsia" w:ascii="仿宋" w:hAnsi="仿宋" w:eastAsia="仿宋" w:cs="仿宋"/>
          <w:b/>
          <w:bCs/>
          <w:kern w:val="2"/>
          <w:sz w:val="32"/>
          <w:szCs w:val="32"/>
          <w:vertAlign w:val="baseline"/>
          <w:lang w:val="en-US" w:eastAsia="zh-CN" w:bidi="ar-SA"/>
        </w:rPr>
        <w:t>项目名称：</w:t>
      </w:r>
      <w:r>
        <w:rPr>
          <w:rFonts w:ascii="仿宋" w:hAnsi="仿宋" w:eastAsia="仿宋" w:cs="仿宋"/>
          <w:b/>
          <w:sz w:val="32"/>
        </w:rPr>
        <w:t>综合执法工作经费（收入安排）</w:t>
      </w:r>
    </w:p>
    <w:p>
      <w:pPr>
        <w:ind w:firstLine="1606" w:firstLineChars="500"/>
        <w:rPr>
          <w:rFonts w:hint="eastAsia" w:ascii="仿宋" w:hAnsi="仿宋" w:eastAsia="仿宋" w:cs="仿宋"/>
          <w:b/>
          <w:bCs/>
          <w:kern w:val="2"/>
          <w:sz w:val="32"/>
          <w:szCs w:val="32"/>
          <w:vertAlign w:val="baseline"/>
          <w:lang w:val="en-US" w:eastAsia="zh-CN" w:bidi="ar-SA"/>
        </w:rPr>
      </w:pPr>
      <w:r>
        <w:rPr>
          <w:rFonts w:hint="eastAsia" w:ascii="仿宋" w:hAnsi="仿宋" w:eastAsia="仿宋" w:cs="仿宋"/>
          <w:b/>
          <w:bCs/>
          <w:kern w:val="2"/>
          <w:sz w:val="32"/>
          <w:szCs w:val="32"/>
          <w:vertAlign w:val="baseline"/>
          <w:lang w:val="en-US" w:eastAsia="zh-CN" w:bidi="ar-SA"/>
        </w:rPr>
        <w:t>主管部门：</w:t>
      </w:r>
      <w:r>
        <w:rPr>
          <w:rFonts w:ascii="仿宋" w:hAnsi="仿宋" w:eastAsia="仿宋" w:cs="仿宋"/>
          <w:b/>
          <w:sz w:val="32"/>
        </w:rPr>
        <w:t>莫力达瓦达斡尔族自治旗登特科镇人民政府（部门）</w:t>
      </w:r>
    </w:p>
    <w:p>
      <w:pPr>
        <w:ind w:firstLine="1606" w:firstLineChars="500"/>
        <w:rPr>
          <w:rFonts w:hint="eastAsia" w:ascii="仿宋" w:hAnsi="仿宋" w:eastAsia="仿宋" w:cs="仿宋"/>
          <w:b/>
          <w:bCs/>
          <w:kern w:val="2"/>
          <w:sz w:val="32"/>
          <w:szCs w:val="32"/>
          <w:vertAlign w:val="baseline"/>
          <w:lang w:val="en-US" w:eastAsia="zh-CN" w:bidi="ar-SA"/>
        </w:rPr>
      </w:pPr>
      <w:r>
        <w:rPr>
          <w:rFonts w:hint="eastAsia" w:ascii="仿宋" w:hAnsi="仿宋" w:eastAsia="仿宋" w:cs="仿宋"/>
          <w:b/>
          <w:bCs/>
          <w:kern w:val="2"/>
          <w:sz w:val="32"/>
          <w:szCs w:val="32"/>
          <w:vertAlign w:val="baseline"/>
          <w:lang w:val="en-US" w:eastAsia="zh-CN" w:bidi="ar-SA"/>
        </w:rPr>
        <w:t>年   月   日</w:t>
      </w:r>
    </w:p>
    <w:p>
      <w:pPr>
        <w:ind w:firstLine="1606" w:firstLineChars="500"/>
        <w:rPr>
          <w:rFonts w:hint="eastAsia" w:ascii="宋体" w:hAnsi="宋体" w:eastAsia="宋体" w:cs="宋体"/>
          <w:b/>
          <w:bCs/>
          <w:i w:val="0"/>
          <w:iCs w:val="0"/>
          <w:color w:val="000000"/>
          <w:kern w:val="0"/>
          <w:sz w:val="24"/>
          <w:szCs w:val="24"/>
          <w:u w:val="none"/>
          <w:lang w:val="en-US" w:eastAsia="zh-CN" w:bidi="ar"/>
        </w:rPr>
      </w:pPr>
      <w:r>
        <w:rPr>
          <w:rFonts w:hint="eastAsia" w:ascii="仿宋" w:hAnsi="仿宋" w:eastAsia="仿宋" w:cs="仿宋"/>
          <w:b/>
          <w:bCs/>
          <w:kern w:val="2"/>
          <w:sz w:val="32"/>
          <w:szCs w:val="32"/>
          <w:vertAlign w:val="baseline"/>
          <w:lang w:val="en-US" w:eastAsia="zh-CN" w:bidi="ar-SA"/>
        </w:rPr>
        <w:t>（盖章）</w:t>
      </w:r>
    </w:p>
    <w:p>
      <w:pPr>
        <w:jc w:val="center"/>
        <w:rPr>
          <w:rFonts w:hint="eastAsia" w:ascii="宋体" w:hAnsi="宋体" w:eastAsia="宋体" w:cs="宋体"/>
          <w:b/>
          <w:bCs/>
          <w:i w:val="0"/>
          <w:iCs w:val="0"/>
          <w:color w:val="000000"/>
          <w:kern w:val="0"/>
          <w:sz w:val="24"/>
          <w:szCs w:val="24"/>
          <w:u w:val="none"/>
          <w:lang w:val="en-US" w:eastAsia="zh-CN" w:bidi="ar"/>
        </w:rPr>
      </w:pPr>
    </w:p>
    <w:p>
      <w:pPr>
        <w:jc w:val="center"/>
        <w:rPr>
          <w:rFonts w:hint="eastAsia" w:ascii="宋体" w:hAnsi="宋体" w:eastAsia="宋体" w:cs="宋体"/>
          <w:b/>
          <w:bCs/>
          <w:i w:val="0"/>
          <w:iCs w:val="0"/>
          <w:color w:val="000000"/>
          <w:kern w:val="0"/>
          <w:sz w:val="24"/>
          <w:szCs w:val="24"/>
          <w:u w:val="none"/>
          <w:lang w:val="en-US" w:eastAsia="zh-CN" w:bidi="ar"/>
        </w:rPr>
      </w:pPr>
    </w:p>
    <w:p>
      <w:pPr>
        <w:spacing w:line="620" w:lineRule="exact"/>
        <w:ind w:firstLine="880"/>
        <w:jc w:val="center"/>
        <w:rPr>
          <w:rFonts w:hint="eastAsia" w:ascii="方正小标宋简体" w:eastAsia="方正小标宋简体"/>
          <w:sz w:val="44"/>
          <w:szCs w:val="44"/>
        </w:rPr>
      </w:pPr>
    </w:p>
    <w:p>
      <w:pPr>
        <w:spacing w:line="620" w:lineRule="exact"/>
        <w:ind w:firstLine="880"/>
        <w:jc w:val="center"/>
        <w:rPr>
          <w:rFonts w:ascii="方正小标宋简体" w:eastAsia="方正小标宋简体"/>
          <w:sz w:val="44"/>
          <w:szCs w:val="44"/>
        </w:rPr>
      </w:pPr>
      <w:r>
        <w:rPr>
          <w:rFonts w:hint="eastAsia" w:ascii="方正小标宋简体" w:eastAsia="方正小标宋简体"/>
          <w:sz w:val="44"/>
          <w:szCs w:val="44"/>
          <w:lang w:eastAsia="zh-CN"/>
        </w:rPr>
        <w:t>2023</w:t>
      </w:r>
      <w:r>
        <w:rPr>
          <w:rFonts w:ascii="方正小标宋简体" w:hAnsi="方正小标宋简体" w:eastAsia="方正小标宋简体" w:cs="方正小标宋简体"/>
          <w:sz w:val="44"/>
        </w:rPr>
        <w:t>年综合执法工作经费（收入安排）项目绩效自评报告</w:t>
      </w:r>
    </w:p>
    <w:p>
      <w:pPr>
        <w:numPr>
          <w:ilvl w:val="0"/>
          <w:numId w:val="2"/>
        </w:numPr>
        <w:spacing w:line="240" w:lineRule="auto"/>
        <w:ind w:left="0" w:firstLine="0" w:firstLineChars="0"/>
        <w:jc w:val="left"/>
        <w:rPr>
          <w:rFonts w:ascii="仿宋" w:hAnsi="仿宋" w:eastAsia="仿宋"/>
          <w:b/>
          <w:sz w:val="32"/>
          <w:szCs w:val="32"/>
        </w:rPr>
      </w:pPr>
      <w:r>
        <w:rPr>
          <w:rFonts w:hint="eastAsia" w:ascii="仿宋" w:hAnsi="仿宋" w:eastAsia="仿宋"/>
          <w:b/>
          <w:sz w:val="32"/>
          <w:szCs w:val="32"/>
        </w:rPr>
        <w:t>项目</w:t>
      </w:r>
      <w:r>
        <w:rPr>
          <w:rFonts w:hint="eastAsia" w:ascii="仿宋" w:hAnsi="仿宋" w:eastAsia="仿宋"/>
          <w:b/>
          <w:sz w:val="32"/>
          <w:szCs w:val="32"/>
          <w:lang w:val="en-US" w:eastAsia="zh-CN"/>
        </w:rPr>
        <w:t>基本</w:t>
      </w:r>
      <w:r>
        <w:rPr>
          <w:rFonts w:hint="eastAsia" w:ascii="仿宋" w:hAnsi="仿宋" w:eastAsia="仿宋"/>
          <w:b/>
          <w:sz w:val="32"/>
          <w:szCs w:val="32"/>
        </w:rPr>
        <w:t>情况</w:t>
      </w:r>
    </w:p>
    <w:p>
      <w:pPr>
        <w:spacing w:before="188" w:line="204" w:lineRule="auto"/>
        <w:ind w:firstLine="577"/>
        <w:rPr>
          <w:rFonts w:ascii="仿宋" w:hAnsi="仿宋" w:eastAsia="仿宋"/>
          <w:b/>
          <w:sz w:val="32"/>
          <w:szCs w:val="32"/>
        </w:rPr>
      </w:pPr>
      <w:r>
        <w:rPr>
          <w:rFonts w:ascii="仿宋" w:hAnsi="仿宋" w:eastAsia="仿宋" w:cs="仿宋"/>
          <w:spacing w:val="3"/>
          <w:sz w:val="30"/>
          <w:szCs w:val="30"/>
        </w:rPr>
        <w:t>（一）项目基本情况简介。</w:t>
      </w:r>
    </w:p>
    <w:p>
      <w:pPr>
        <w:spacing w:line="620" w:lineRule="exact"/>
        <w:ind w:firstLine="990" w:firstLineChars="330"/>
        <w:rPr>
          <w:rFonts w:hint="eastAsia" w:ascii="仿宋"/>
          <w:sz w:val="32"/>
        </w:rPr>
      </w:pPr>
      <w:r>
        <w:rPr>
          <w:rFonts w:hint="eastAsia" w:ascii="仿宋"/>
          <w:sz w:val="30"/>
          <w:szCs w:val="30"/>
        </w:rPr>
        <w:t>综合执法工作经费（收入安排）</w:t>
      </w:r>
    </w:p>
    <w:p>
      <w:pPr>
        <w:numPr>
          <w:ilvl w:val="0"/>
          <w:numId w:val="3"/>
        </w:numPr>
        <w:spacing w:before="188" w:line="204" w:lineRule="auto"/>
        <w:ind w:firstLine="577"/>
        <w:rPr>
          <w:rFonts w:ascii="仿宋" w:hAnsi="仿宋" w:eastAsia="仿宋" w:cs="仿宋"/>
          <w:spacing w:val="8"/>
          <w:sz w:val="30"/>
          <w:szCs w:val="30"/>
        </w:rPr>
      </w:pPr>
      <w:r>
        <w:rPr>
          <w:rFonts w:ascii="仿宋" w:hAnsi="仿宋" w:eastAsia="仿宋" w:cs="仿宋"/>
          <w:spacing w:val="8"/>
          <w:sz w:val="30"/>
          <w:szCs w:val="30"/>
        </w:rPr>
        <w:t>绩效目标设定及</w:t>
      </w:r>
      <w:r>
        <w:rPr>
          <w:rFonts w:hint="eastAsia" w:ascii="仿宋" w:hAnsi="仿宋" w:eastAsia="仿宋" w:cs="仿宋"/>
          <w:spacing w:val="8"/>
          <w:sz w:val="30"/>
          <w:szCs w:val="30"/>
          <w:lang w:val="en-US" w:eastAsia="zh-CN"/>
        </w:rPr>
        <w:t>指标</w:t>
      </w:r>
      <w:r>
        <w:rPr>
          <w:rFonts w:ascii="仿宋" w:hAnsi="仿宋" w:eastAsia="仿宋" w:cs="仿宋"/>
          <w:spacing w:val="8"/>
          <w:sz w:val="30"/>
          <w:szCs w:val="30"/>
        </w:rPr>
        <w:t>完成情况。</w:t>
      </w:r>
    </w:p>
    <w:p>
      <w:pPr>
        <w:numPr>
          <w:ilvl w:val="0"/>
          <w:numId w:val="0"/>
        </w:numPr>
        <w:spacing w:before="188" w:line="204" w:lineRule="auto"/>
        <w:ind w:left="420" w:leftChars="0" w:firstLine="420" w:firstLineChars="0"/>
        <w:rPr>
          <w:rFonts w:hint="eastAsia" w:ascii="仿宋" w:hAnsi="仿宋" w:eastAsia="仿宋" w:cs="仿宋"/>
          <w:color w:val="auto"/>
          <w:spacing w:val="8"/>
          <w:sz w:val="30"/>
          <w:szCs w:val="30"/>
          <w:lang w:val="en-US" w:eastAsia="zh-CN"/>
        </w:rPr>
      </w:pPr>
      <w:r>
        <w:rPr>
          <w:rFonts w:hint="eastAsia" w:ascii="仿宋" w:hAnsi="仿宋" w:eastAsia="仿宋" w:cs="仿宋"/>
          <w:color w:val="auto"/>
          <w:spacing w:val="8"/>
          <w:sz w:val="30"/>
          <w:szCs w:val="30"/>
          <w:lang w:val="en-US" w:eastAsia="zh-CN"/>
        </w:rPr>
        <w:t>预期目标：</w:t>
      </w:r>
      <w:r>
        <w:rPr>
          <w:rFonts w:ascii="仿宋" w:hAnsi="仿宋" w:eastAsia="仿宋" w:cs="仿宋"/>
          <w:color w:val="auto"/>
          <w:spacing w:val="8"/>
          <w:sz w:val="30"/>
        </w:rPr>
        <w:t>按照工作计划开展年度政府工作业务，保质保量完成各项业务。</w:t>
      </w:r>
    </w:p>
    <w:p>
      <w:pPr>
        <w:numPr>
          <w:ilvl w:val="0"/>
          <w:numId w:val="0"/>
        </w:numPr>
        <w:spacing w:before="188" w:line="204" w:lineRule="auto"/>
        <w:ind w:left="420" w:leftChars="0" w:firstLine="420" w:firstLineChars="0"/>
        <w:rPr>
          <w:rFonts w:hint="default" w:ascii="仿宋" w:hAnsi="仿宋" w:eastAsia="仿宋" w:cs="仿宋"/>
          <w:color w:val="auto"/>
          <w:spacing w:val="8"/>
          <w:sz w:val="30"/>
          <w:szCs w:val="30"/>
          <w:lang w:val="en-US" w:eastAsia="zh-CN"/>
        </w:rPr>
      </w:pPr>
      <w:r>
        <w:rPr>
          <w:rFonts w:hint="eastAsia" w:ascii="仿宋" w:hAnsi="仿宋" w:eastAsia="仿宋" w:cs="仿宋"/>
          <w:color w:val="auto"/>
          <w:spacing w:val="8"/>
          <w:sz w:val="30"/>
          <w:szCs w:val="30"/>
          <w:lang w:val="en-US" w:eastAsia="zh-CN"/>
        </w:rPr>
        <w:t>绩效目标实际完成情况：</w:t>
      </w:r>
      <w:r>
        <w:rPr>
          <w:rFonts w:ascii="仿宋" w:hAnsi="仿宋" w:eastAsia="仿宋" w:cs="仿宋"/>
          <w:color w:val="auto"/>
          <w:spacing w:val="8"/>
          <w:sz w:val="30"/>
        </w:rPr>
        <w:t>根据实际工作需要使用业务资金，保障综合执法局日常运转，</w:t>
      </w:r>
      <w:r>
        <w:rPr>
          <w:rFonts w:hint="eastAsia" w:ascii="仿宋" w:hAnsi="仿宋" w:eastAsia="仿宋" w:cs="仿宋"/>
          <w:color w:val="auto"/>
          <w:spacing w:val="8"/>
          <w:sz w:val="30"/>
          <w:lang w:eastAsia="zh-CN"/>
        </w:rPr>
        <w:t>2023</w:t>
      </w:r>
      <w:r>
        <w:rPr>
          <w:rFonts w:ascii="仿宋" w:hAnsi="仿宋" w:eastAsia="仿宋" w:cs="仿宋"/>
          <w:color w:val="auto"/>
          <w:spacing w:val="8"/>
          <w:sz w:val="30"/>
        </w:rPr>
        <w:t>年年底前，已将项目资金5万元整全部使用完毕。</w:t>
      </w:r>
    </w:p>
    <w:p>
      <w:pPr>
        <w:spacing w:line="620" w:lineRule="exact"/>
        <w:ind w:firstLine="640"/>
        <w:rPr>
          <w:rFonts w:hint="eastAsia" w:ascii="仿宋"/>
          <w:sz w:val="32"/>
        </w:rPr>
      </w:pPr>
    </w:p>
    <w:p>
      <w:pPr>
        <w:numPr>
          <w:ilvl w:val="0"/>
          <w:numId w:val="2"/>
        </w:numPr>
        <w:spacing w:line="240" w:lineRule="auto"/>
        <w:ind w:left="0" w:firstLine="0" w:firstLineChars="0"/>
        <w:rPr>
          <w:rFonts w:ascii="仿宋" w:hAnsi="仿宋" w:eastAsia="仿宋"/>
          <w:b/>
          <w:sz w:val="32"/>
          <w:szCs w:val="32"/>
        </w:rPr>
      </w:pPr>
      <w:r>
        <w:rPr>
          <w:rFonts w:hint="eastAsia" w:ascii="仿宋" w:hAnsi="仿宋" w:eastAsia="仿宋"/>
          <w:b/>
          <w:sz w:val="32"/>
          <w:szCs w:val="32"/>
          <w:lang w:val="en-US" w:eastAsia="zh-CN"/>
        </w:rPr>
        <w:t>绩效自评工作</w:t>
      </w:r>
      <w:r>
        <w:rPr>
          <w:rFonts w:hint="eastAsia" w:ascii="仿宋" w:hAnsi="仿宋" w:eastAsia="仿宋"/>
          <w:b/>
          <w:sz w:val="32"/>
          <w:szCs w:val="32"/>
        </w:rPr>
        <w:t>情况</w:t>
      </w:r>
    </w:p>
    <w:p>
      <w:pPr>
        <w:numPr>
          <w:ilvl w:val="0"/>
          <w:numId w:val="4"/>
        </w:numPr>
        <w:spacing w:before="188" w:line="204" w:lineRule="auto"/>
        <w:ind w:firstLine="577"/>
        <w:rPr>
          <w:rFonts w:ascii="仿宋" w:hAnsi="仿宋" w:eastAsia="仿宋" w:cs="仿宋"/>
          <w:spacing w:val="1"/>
          <w:sz w:val="30"/>
          <w:szCs w:val="30"/>
        </w:rPr>
      </w:pPr>
      <w:r>
        <w:rPr>
          <w:rFonts w:ascii="仿宋" w:hAnsi="仿宋" w:eastAsia="仿宋" w:cs="仿宋"/>
          <w:spacing w:val="1"/>
          <w:sz w:val="30"/>
          <w:szCs w:val="30"/>
        </w:rPr>
        <w:t>绩效自评目的。</w:t>
      </w:r>
    </w:p>
    <w:p>
      <w:pPr>
        <w:keepNext w:val="0"/>
        <w:keepLines w:val="0"/>
        <w:widowControl/>
        <w:suppressLineNumbers w:val="0"/>
        <w:jc w:val="left"/>
        <w:rPr>
          <w:rFonts w:hint="default" w:ascii="仿宋" w:hAnsi="仿宋" w:eastAsia="仿宋" w:cs="仿宋"/>
          <w:spacing w:val="1"/>
          <w:sz w:val="30"/>
          <w:szCs w:val="30"/>
        </w:rPr>
      </w:pPr>
      <w:r>
        <w:rPr>
          <w:rFonts w:hint="default" w:ascii="仿宋" w:hAnsi="仿宋" w:eastAsia="仿宋" w:cs="仿宋"/>
          <w:spacing w:val="1"/>
          <w:sz w:val="30"/>
          <w:szCs w:val="30"/>
        </w:rPr>
        <w:t>制定和组织实施经济、科技和社会发展计划人才引进项目开发，不断培育市场体系，组织经济运行，促进经济发展，制定并组织实施村镇建设规划，部署重点工程建设，地方道路建设及公共设施，水利设施的管理，负责土地、林木、水等自然资源和生态环境的保护，做好护林防火工作。抓好精神文明建设，丰富群众文化生活，提倡移风易俗，反对封建迷信，破除陈规陋习，树立社会主义新风尚。</w:t>
      </w:r>
    </w:p>
    <w:p>
      <w:pPr>
        <w:numPr>
          <w:ilvl w:val="0"/>
          <w:numId w:val="4"/>
        </w:numPr>
        <w:spacing w:before="189" w:line="204" w:lineRule="auto"/>
        <w:ind w:left="0" w:leftChars="0" w:firstLine="616" w:firstLineChars="200"/>
        <w:rPr>
          <w:rFonts w:ascii="仿宋" w:hAnsi="仿宋" w:eastAsia="仿宋" w:cs="仿宋"/>
          <w:spacing w:val="4"/>
          <w:sz w:val="30"/>
          <w:szCs w:val="30"/>
        </w:rPr>
      </w:pPr>
      <w:r>
        <w:rPr>
          <w:rFonts w:ascii="仿宋" w:hAnsi="仿宋" w:eastAsia="仿宋" w:cs="仿宋"/>
          <w:spacing w:val="4"/>
          <w:sz w:val="30"/>
          <w:szCs w:val="30"/>
        </w:rPr>
        <w:t>项目资金投入情况。</w:t>
      </w:r>
    </w:p>
    <w:p>
      <w:pPr>
        <w:keepNext w:val="0"/>
        <w:keepLines w:val="0"/>
        <w:pageBreakBefore w:val="0"/>
        <w:widowControl/>
        <w:kinsoku w:val="0"/>
        <w:wordWrap/>
        <w:overflowPunct/>
        <w:topLinePunct w:val="0"/>
        <w:autoSpaceDE w:val="0"/>
        <w:autoSpaceDN w:val="0"/>
        <w:bidi w:val="0"/>
        <w:adjustRightInd w:val="0"/>
        <w:snapToGrid w:val="0"/>
        <w:spacing w:before="189" w:line="312" w:lineRule="auto"/>
        <w:ind w:left="420" w:leftChars="0" w:firstLine="420" w:firstLineChars="0"/>
        <w:textAlignment w:val="baseline"/>
        <w:rPr>
          <w:rFonts w:hint="eastAsia" w:ascii="仿宋" w:hAnsi="仿宋" w:eastAsia="仿宋" w:cs="仿宋"/>
          <w:color w:val="auto"/>
          <w:spacing w:val="4"/>
          <w:sz w:val="30"/>
          <w:szCs w:val="30"/>
          <w:lang w:val="en-US" w:eastAsia="zh-CN"/>
        </w:rPr>
      </w:pPr>
      <w:r>
        <w:rPr>
          <w:rFonts w:hint="eastAsia" w:ascii="仿宋" w:hAnsi="仿宋" w:eastAsia="仿宋" w:cs="仿宋"/>
          <w:color w:val="auto"/>
          <w:spacing w:val="4"/>
          <w:sz w:val="30"/>
          <w:szCs w:val="30"/>
          <w:lang w:val="en-US" w:eastAsia="zh-CN"/>
        </w:rPr>
        <w:t>本年度资金年初预算数</w:t>
      </w:r>
      <w:r>
        <w:rPr>
          <w:rFonts w:ascii="仿宋" w:hAnsi="仿宋" w:eastAsia="仿宋" w:cs="仿宋"/>
          <w:color w:val="auto"/>
          <w:spacing w:val="4"/>
          <w:sz w:val="30"/>
        </w:rPr>
        <w:t>5.00万元，其中：财政拨款5.00万元，其他资金0.00万元。</w:t>
      </w:r>
    </w:p>
    <w:p>
      <w:pPr>
        <w:keepNext w:val="0"/>
        <w:keepLines w:val="0"/>
        <w:pageBreakBefore w:val="0"/>
        <w:widowControl/>
        <w:kinsoku w:val="0"/>
        <w:wordWrap/>
        <w:overflowPunct/>
        <w:topLinePunct w:val="0"/>
        <w:autoSpaceDE w:val="0"/>
        <w:autoSpaceDN w:val="0"/>
        <w:bidi w:val="0"/>
        <w:adjustRightInd w:val="0"/>
        <w:snapToGrid w:val="0"/>
        <w:spacing w:before="189" w:line="312" w:lineRule="auto"/>
        <w:ind w:left="420" w:leftChars="0" w:firstLine="420" w:firstLineChars="0"/>
        <w:textAlignment w:val="baseline"/>
        <w:rPr>
          <w:rFonts w:hint="default" w:ascii="仿宋" w:hAnsi="仿宋" w:eastAsia="仿宋" w:cs="仿宋"/>
          <w:color w:val="auto"/>
          <w:spacing w:val="4"/>
          <w:sz w:val="30"/>
          <w:szCs w:val="30"/>
          <w:lang w:val="en-US" w:eastAsia="zh-CN"/>
        </w:rPr>
      </w:pPr>
      <w:r>
        <w:rPr>
          <w:rFonts w:hint="eastAsia" w:ascii="仿宋" w:hAnsi="仿宋" w:eastAsia="仿宋" w:cs="仿宋"/>
          <w:color w:val="auto"/>
          <w:spacing w:val="4"/>
          <w:sz w:val="30"/>
          <w:szCs w:val="30"/>
          <w:lang w:val="en-US" w:eastAsia="zh-CN"/>
        </w:rPr>
        <w:t>本年度资金全年预算数</w:t>
      </w:r>
      <w:r>
        <w:rPr>
          <w:rFonts w:ascii="仿宋" w:hAnsi="仿宋" w:eastAsia="仿宋" w:cs="仿宋"/>
          <w:color w:val="auto"/>
          <w:spacing w:val="4"/>
          <w:sz w:val="30"/>
        </w:rPr>
        <w:t>5.00万元，其中：财政拨款5.00万元，其他资金0.00万元。</w:t>
      </w:r>
    </w:p>
    <w:p>
      <w:pPr>
        <w:numPr>
          <w:ilvl w:val="0"/>
          <w:numId w:val="0"/>
        </w:numPr>
        <w:spacing w:before="189" w:line="204" w:lineRule="auto"/>
        <w:ind w:leftChars="200"/>
        <w:rPr>
          <w:rFonts w:ascii="仿宋" w:hAnsi="仿宋" w:eastAsia="仿宋" w:cs="仿宋"/>
          <w:spacing w:val="4"/>
          <w:sz w:val="30"/>
          <w:szCs w:val="30"/>
        </w:rPr>
      </w:pPr>
      <w:r>
        <w:rPr>
          <w:rFonts w:hint="eastAsia" w:ascii="仿宋" w:hAnsi="仿宋" w:eastAsia="仿宋" w:cs="仿宋"/>
          <w:color w:val="auto"/>
          <w:spacing w:val="4"/>
          <w:sz w:val="30"/>
          <w:szCs w:val="30"/>
          <w:lang w:val="en-US" w:eastAsia="zh-CN"/>
        </w:rPr>
        <w:t>本年度资金全年执行数</w:t>
      </w:r>
      <w:r>
        <w:rPr>
          <w:rFonts w:ascii="仿宋" w:hAnsi="仿宋" w:eastAsia="仿宋" w:cs="仿宋"/>
          <w:color w:val="auto"/>
          <w:spacing w:val="4"/>
          <w:sz w:val="30"/>
        </w:rPr>
        <w:t>5.00万元，其中：财政拨款5.00万元，其他资金0.00万元。</w:t>
      </w:r>
    </w:p>
    <w:p>
      <w:pPr>
        <w:numPr>
          <w:ilvl w:val="0"/>
          <w:numId w:val="4"/>
        </w:numPr>
        <w:spacing w:before="188" w:line="204" w:lineRule="auto"/>
        <w:ind w:left="0" w:leftChars="0" w:firstLine="616" w:firstLineChars="200"/>
        <w:rPr>
          <w:rFonts w:ascii="仿宋" w:hAnsi="仿宋" w:eastAsia="仿宋" w:cs="仿宋"/>
          <w:spacing w:val="4"/>
          <w:sz w:val="30"/>
          <w:szCs w:val="30"/>
        </w:rPr>
      </w:pPr>
      <w:r>
        <w:rPr>
          <w:rFonts w:ascii="仿宋" w:hAnsi="仿宋" w:eastAsia="仿宋" w:cs="仿宋"/>
          <w:spacing w:val="4"/>
          <w:sz w:val="30"/>
          <w:szCs w:val="30"/>
        </w:rPr>
        <w:t>项目资金产出情况。</w:t>
      </w:r>
    </w:p>
    <w:p>
      <w:pPr>
        <w:keepNext w:val="0"/>
        <w:keepLines w:val="0"/>
        <w:widowControl/>
        <w:suppressLineNumbers w:val="0"/>
        <w:jc w:val="left"/>
        <w:rPr>
          <w:rFonts w:ascii="仿宋" w:hAnsi="仿宋" w:eastAsia="仿宋" w:cs="仿宋"/>
          <w:spacing w:val="4"/>
          <w:sz w:val="30"/>
          <w:szCs w:val="30"/>
        </w:rPr>
      </w:pPr>
      <w:r>
        <w:rPr>
          <w:rFonts w:hint="default" w:ascii="仿宋" w:hAnsi="仿宋" w:eastAsia="仿宋" w:cs="仿宋"/>
          <w:spacing w:val="1"/>
          <w:sz w:val="30"/>
          <w:szCs w:val="30"/>
        </w:rPr>
        <w:t>数量指标：</w:t>
      </w:r>
      <w:r>
        <w:rPr>
          <w:rFonts w:hint="eastAsia" w:ascii="仿宋" w:hAnsi="仿宋" w:eastAsia="仿宋" w:cs="仿宋"/>
          <w:spacing w:val="1"/>
          <w:sz w:val="30"/>
          <w:szCs w:val="30"/>
          <w:lang w:eastAsia="zh-CN"/>
        </w:rPr>
        <w:t>2023</w:t>
      </w:r>
      <w:r>
        <w:rPr>
          <w:rFonts w:hint="default" w:ascii="仿宋" w:hAnsi="仿宋" w:eastAsia="仿宋" w:cs="仿宋"/>
          <w:spacing w:val="1"/>
          <w:sz w:val="30"/>
          <w:szCs w:val="30"/>
        </w:rPr>
        <w:t>年年底前，已将项目资金5万元整全部使用完毕。</w:t>
      </w:r>
      <w:r>
        <w:rPr>
          <w:rFonts w:hint="default" w:ascii="仿宋" w:hAnsi="仿宋" w:eastAsia="仿宋" w:cs="仿宋"/>
          <w:spacing w:val="1"/>
          <w:sz w:val="30"/>
          <w:szCs w:val="30"/>
        </w:rPr>
        <w:cr/>
      </w:r>
      <w:r>
        <w:rPr>
          <w:rFonts w:hint="default" w:ascii="仿宋" w:hAnsi="仿宋" w:eastAsia="仿宋" w:cs="仿宋"/>
          <w:spacing w:val="1"/>
          <w:sz w:val="30"/>
          <w:szCs w:val="30"/>
        </w:rPr>
        <w:t>时效指标：项目资金在规定时间的下达率达100%，在规定的时间内全部支付。</w:t>
      </w:r>
      <w:r>
        <w:rPr>
          <w:rFonts w:hint="default" w:ascii="仿宋" w:hAnsi="仿宋" w:eastAsia="仿宋" w:cs="仿宋"/>
          <w:spacing w:val="1"/>
          <w:sz w:val="30"/>
          <w:szCs w:val="30"/>
        </w:rPr>
        <w:cr/>
      </w:r>
      <w:r>
        <w:rPr>
          <w:rFonts w:hint="default" w:ascii="仿宋" w:hAnsi="仿宋" w:eastAsia="仿宋" w:cs="仿宋"/>
          <w:spacing w:val="1"/>
          <w:sz w:val="30"/>
          <w:szCs w:val="30"/>
        </w:rPr>
        <w:t>质量指标：提高镇职工及镇内群众服务次数，有利保证我镇工作的正常有序开展，能更好的为人民群众进行服务。</w:t>
      </w:r>
      <w:r>
        <w:rPr>
          <w:rFonts w:hint="default" w:ascii="仿宋" w:hAnsi="仿宋" w:eastAsia="仿宋" w:cs="仿宋"/>
          <w:spacing w:val="1"/>
          <w:sz w:val="30"/>
          <w:szCs w:val="30"/>
        </w:rPr>
        <w:cr/>
      </w:r>
      <w:r>
        <w:rPr>
          <w:rFonts w:hint="default" w:ascii="仿宋" w:hAnsi="仿宋" w:eastAsia="仿宋" w:cs="仿宋"/>
          <w:spacing w:val="1"/>
          <w:sz w:val="30"/>
          <w:szCs w:val="30"/>
        </w:rPr>
        <w:t>效益指标：保证工作的及时开展，经济发展得到提升，项目长期持续有效，群众满意度高。</w:t>
      </w:r>
    </w:p>
    <w:p>
      <w:pPr>
        <w:numPr>
          <w:ilvl w:val="0"/>
          <w:numId w:val="4"/>
        </w:numPr>
        <w:spacing w:before="189" w:line="204" w:lineRule="auto"/>
        <w:ind w:left="0" w:leftChars="0" w:firstLine="608" w:firstLineChars="200"/>
        <w:rPr>
          <w:rFonts w:ascii="仿宋" w:hAnsi="仿宋" w:eastAsia="仿宋" w:cs="仿宋"/>
          <w:spacing w:val="2"/>
          <w:sz w:val="30"/>
          <w:szCs w:val="30"/>
        </w:rPr>
      </w:pPr>
      <w:r>
        <w:rPr>
          <w:rFonts w:ascii="仿宋" w:hAnsi="仿宋" w:eastAsia="仿宋" w:cs="仿宋"/>
          <w:spacing w:val="2"/>
          <w:sz w:val="30"/>
          <w:szCs w:val="30"/>
        </w:rPr>
        <w:t>项目资金管理情况。</w:t>
      </w:r>
    </w:p>
    <w:p>
      <w:pPr>
        <w:keepNext w:val="0"/>
        <w:keepLines w:val="0"/>
        <w:widowControl/>
        <w:suppressLineNumbers w:val="0"/>
        <w:jc w:val="left"/>
        <w:rPr>
          <w:rFonts w:hint="default" w:ascii="仿宋" w:hAnsi="仿宋" w:eastAsia="仿宋" w:cs="仿宋"/>
          <w:spacing w:val="1"/>
          <w:sz w:val="30"/>
          <w:szCs w:val="30"/>
        </w:rPr>
      </w:pPr>
      <w:r>
        <w:rPr>
          <w:rFonts w:hint="default" w:ascii="仿宋" w:hAnsi="仿宋" w:eastAsia="仿宋" w:cs="仿宋"/>
          <w:spacing w:val="1"/>
          <w:sz w:val="30"/>
          <w:szCs w:val="30"/>
        </w:rPr>
        <w:t>根据年初预算安排申请项目资金5万元，并全部用于登特科镇人民政府日常业务费的使用。保障了我镇的经济发展和正常业务开展，且注意节约使用资金，确保资金使用在必要的支出中项目实施过程中严格按照财经法规制度，根据单位的收入、支出制度实施，不存在违规拨付现象。资金使用时需要财务负责人及部门负责人审核签字，财务人员核对无误后执行。</w:t>
      </w:r>
    </w:p>
    <w:p>
      <w:pPr>
        <w:numPr>
          <w:ilvl w:val="0"/>
          <w:numId w:val="0"/>
        </w:numPr>
        <w:spacing w:before="189" w:line="204" w:lineRule="auto"/>
        <w:ind w:leftChars="200"/>
        <w:rPr>
          <w:rFonts w:ascii="仿宋" w:hAnsi="仿宋" w:eastAsia="仿宋" w:cs="仿宋"/>
          <w:spacing w:val="4"/>
          <w:sz w:val="30"/>
          <w:szCs w:val="30"/>
        </w:rPr>
      </w:pPr>
    </w:p>
    <w:p>
      <w:pPr>
        <w:keepNext w:val="0"/>
        <w:keepLines w:val="0"/>
        <w:pageBreakBefore w:val="0"/>
        <w:widowControl/>
        <w:kinsoku w:val="0"/>
        <w:wordWrap/>
        <w:overflowPunct/>
        <w:topLinePunct w:val="0"/>
        <w:autoSpaceDE w:val="0"/>
        <w:autoSpaceDN w:val="0"/>
        <w:bidi w:val="0"/>
        <w:adjustRightInd w:val="0"/>
        <w:snapToGrid w:val="0"/>
        <w:spacing w:before="189" w:line="312" w:lineRule="auto"/>
        <w:ind w:left="420" w:leftChars="0" w:firstLine="420" w:firstLineChars="0"/>
        <w:textAlignment w:val="baseline"/>
        <w:rPr>
          <w:rFonts w:hint="default" w:ascii="仿宋" w:hAnsi="仿宋" w:eastAsia="仿宋" w:cs="仿宋"/>
          <w:color w:val="auto"/>
          <w:spacing w:val="4"/>
          <w:sz w:val="30"/>
          <w:szCs w:val="30"/>
          <w:lang w:val="en-US" w:eastAsia="zh-CN"/>
        </w:rPr>
      </w:pPr>
    </w:p>
    <w:p>
      <w:pPr>
        <w:numPr>
          <w:ilvl w:val="0"/>
          <w:numId w:val="0"/>
        </w:numPr>
        <w:spacing w:before="189" w:line="204" w:lineRule="auto"/>
        <w:ind w:leftChars="200"/>
        <w:rPr>
          <w:rFonts w:ascii="仿宋" w:hAnsi="仿宋" w:eastAsia="仿宋" w:cs="仿宋"/>
          <w:spacing w:val="2"/>
          <w:sz w:val="30"/>
          <w:szCs w:val="30"/>
        </w:rPr>
      </w:pPr>
    </w:p>
    <w:p>
      <w:pPr>
        <w:numPr>
          <w:ilvl w:val="0"/>
          <w:numId w:val="2"/>
        </w:numPr>
        <w:spacing w:line="240" w:lineRule="auto"/>
        <w:ind w:left="0" w:firstLine="0" w:firstLineChars="0"/>
        <w:rPr>
          <w:rFonts w:ascii="仿宋" w:hAnsi="仿宋" w:eastAsia="仿宋"/>
          <w:b/>
          <w:sz w:val="32"/>
          <w:szCs w:val="32"/>
        </w:rPr>
      </w:pPr>
      <w:r>
        <w:rPr>
          <w:rFonts w:hint="eastAsia" w:ascii="仿宋" w:hAnsi="仿宋" w:eastAsia="仿宋"/>
          <w:b/>
          <w:sz w:val="32"/>
          <w:szCs w:val="32"/>
          <w:lang w:val="en-US" w:eastAsia="zh-CN"/>
        </w:rPr>
        <w:t>项目绩效情况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(一) 产出指标完成情况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1、数量指标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1)工作经费总金额，目标值</w:t>
      </w:r>
      <w:r>
        <w:rPr>
          <w:rFonts w:hint="eastAsia" w:ascii="仿宋" w:hAnsi="仿宋" w:eastAsia="仿宋"/>
          <w:sz w:val="32"/>
          <w:szCs w:val="32"/>
          <w:lang w:val="en-US" w:eastAsia="zh-CN"/>
        </w:rPr>
        <w:t>等于</w:t>
      </w:r>
      <w:r>
        <w:rPr>
          <w:rFonts w:hint="eastAsia" w:ascii="仿宋" w:hAnsi="仿宋" w:eastAsia="仿宋"/>
          <w:sz w:val="32"/>
          <w:szCs w:val="32"/>
        </w:rPr>
        <w:t>5</w:t>
      </w:r>
      <w:r>
        <w:rPr>
          <w:rFonts w:ascii="仿宋" w:hAnsi="仿宋" w:eastAsia="仿宋" w:cs="仿宋"/>
          <w:sz w:val="32"/>
        </w:rPr>
        <w:t>万元，</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5万元，分值10，得分10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2)人员数量，目标值</w:t>
      </w:r>
      <w:r>
        <w:rPr>
          <w:rFonts w:hint="eastAsia" w:ascii="仿宋" w:hAnsi="仿宋" w:eastAsia="仿宋"/>
          <w:sz w:val="32"/>
          <w:szCs w:val="32"/>
          <w:lang w:val="en-US" w:eastAsia="zh-CN"/>
        </w:rPr>
        <w:t>大于等于</w:t>
      </w:r>
      <w:r>
        <w:rPr>
          <w:rFonts w:hint="eastAsia" w:ascii="仿宋" w:hAnsi="仿宋" w:eastAsia="仿宋"/>
          <w:sz w:val="32"/>
          <w:szCs w:val="32"/>
        </w:rPr>
        <w:t>10</w:t>
      </w:r>
      <w:r>
        <w:rPr>
          <w:rFonts w:ascii="仿宋" w:hAnsi="仿宋" w:eastAsia="仿宋" w:cs="仿宋"/>
          <w:sz w:val="32"/>
        </w:rPr>
        <w:t>人，</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10人，分值5，得分5</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2、质量指标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3)实际工作完成率，目标值</w:t>
      </w:r>
      <w:r>
        <w:rPr>
          <w:rFonts w:hint="eastAsia" w:ascii="仿宋" w:hAnsi="仿宋" w:eastAsia="仿宋"/>
          <w:sz w:val="32"/>
          <w:szCs w:val="32"/>
          <w:lang w:val="en-US" w:eastAsia="zh-CN"/>
        </w:rPr>
        <w:t>大于等于</w:t>
      </w:r>
      <w:r>
        <w:rPr>
          <w:rFonts w:hint="eastAsia" w:ascii="仿宋" w:hAnsi="仿宋" w:eastAsia="仿宋"/>
          <w:sz w:val="32"/>
          <w:szCs w:val="32"/>
        </w:rPr>
        <w:t>95</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95%，分值10，得分10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4)薪酬发放率，目标值</w:t>
      </w:r>
      <w:r>
        <w:rPr>
          <w:rFonts w:hint="eastAsia" w:ascii="仿宋" w:hAnsi="仿宋" w:eastAsia="仿宋"/>
          <w:sz w:val="32"/>
          <w:szCs w:val="32"/>
          <w:lang w:val="en-US" w:eastAsia="zh-CN"/>
        </w:rPr>
        <w:t>等于</w:t>
      </w:r>
      <w:r>
        <w:rPr>
          <w:rFonts w:hint="eastAsia" w:ascii="仿宋" w:hAnsi="仿宋" w:eastAsia="仿宋"/>
          <w:sz w:val="32"/>
          <w:szCs w:val="32"/>
        </w:rPr>
        <w:t>100</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100%，分值5，得分5</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3、时效指标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5)经费及时率，目标值</w:t>
      </w:r>
      <w:r>
        <w:rPr>
          <w:rFonts w:hint="eastAsia" w:ascii="仿宋" w:hAnsi="仿宋" w:eastAsia="仿宋"/>
          <w:sz w:val="32"/>
          <w:szCs w:val="32"/>
        </w:rPr>
        <w:t>及时</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及时，分值5，得分5</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6)工作完成及时率，目标值</w:t>
      </w:r>
      <w:r>
        <w:rPr>
          <w:rFonts w:hint="eastAsia" w:ascii="仿宋" w:hAnsi="仿宋" w:eastAsia="仿宋"/>
          <w:sz w:val="32"/>
          <w:szCs w:val="32"/>
        </w:rPr>
        <w:t>完成</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完成，分值5，得分5</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4、成本指标</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7)平均支出，目标值</w:t>
      </w:r>
      <w:r>
        <w:rPr>
          <w:rFonts w:hint="eastAsia" w:ascii="仿宋" w:hAnsi="仿宋" w:eastAsia="仿宋"/>
          <w:sz w:val="32"/>
          <w:szCs w:val="32"/>
          <w:lang w:val="en-US" w:eastAsia="zh-CN"/>
        </w:rPr>
        <w:t>小于等于</w:t>
      </w:r>
      <w:r>
        <w:rPr>
          <w:rFonts w:hint="eastAsia" w:ascii="仿宋" w:hAnsi="仿宋" w:eastAsia="仿宋"/>
          <w:sz w:val="32"/>
          <w:szCs w:val="32"/>
        </w:rPr>
        <w:t>4500</w:t>
      </w:r>
      <w:r>
        <w:rPr>
          <w:rFonts w:ascii="仿宋" w:hAnsi="仿宋" w:eastAsia="仿宋" w:cs="仿宋"/>
          <w:sz w:val="32"/>
        </w:rPr>
        <w:t>元，</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4500元，分值5，得分5</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8)办公成本，目标值</w:t>
      </w:r>
      <w:r>
        <w:rPr>
          <w:rFonts w:hint="eastAsia" w:ascii="仿宋" w:hAnsi="仿宋" w:eastAsia="仿宋"/>
          <w:sz w:val="32"/>
          <w:szCs w:val="32"/>
          <w:lang w:val="en-US" w:eastAsia="zh-CN"/>
        </w:rPr>
        <w:t>小于等于</w:t>
      </w:r>
      <w:r>
        <w:rPr>
          <w:rFonts w:hint="eastAsia" w:ascii="仿宋" w:hAnsi="仿宋" w:eastAsia="仿宋"/>
          <w:sz w:val="32"/>
          <w:szCs w:val="32"/>
        </w:rPr>
        <w:t>6000</w:t>
      </w:r>
      <w:r>
        <w:rPr>
          <w:rFonts w:ascii="仿宋" w:hAnsi="仿宋" w:eastAsia="仿宋" w:cs="仿宋"/>
          <w:sz w:val="32"/>
        </w:rPr>
        <w:t>元，</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6000元，分值5，得分5</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(二) 效益指标完成情况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5、经济效益</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9)运转保障率，目标值</w:t>
      </w:r>
      <w:r>
        <w:rPr>
          <w:rFonts w:hint="eastAsia" w:ascii="仿宋" w:hAnsi="仿宋" w:eastAsia="仿宋"/>
          <w:sz w:val="32"/>
          <w:szCs w:val="32"/>
          <w:lang w:val="en-US" w:eastAsia="zh-CN"/>
        </w:rPr>
        <w:t>等于</w:t>
      </w:r>
      <w:r>
        <w:rPr>
          <w:rFonts w:hint="eastAsia" w:ascii="仿宋" w:hAnsi="仿宋" w:eastAsia="仿宋"/>
          <w:sz w:val="32"/>
          <w:szCs w:val="32"/>
        </w:rPr>
        <w:t>100</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100%，分值10，得分10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6、社会效益</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10)保障工作正常开展，提升公共服务效果，目标值</w:t>
      </w:r>
      <w:r>
        <w:rPr>
          <w:rFonts w:hint="eastAsia" w:ascii="仿宋" w:hAnsi="仿宋" w:eastAsia="仿宋"/>
          <w:sz w:val="32"/>
          <w:szCs w:val="32"/>
        </w:rPr>
        <w:t>保障工作开展</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保障工作开展，分值10，得分10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7、生态效益</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8、可持续影响</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11)工作热情度，目标值</w:t>
      </w:r>
      <w:r>
        <w:rPr>
          <w:rFonts w:hint="eastAsia" w:ascii="仿宋" w:hAnsi="仿宋" w:eastAsia="仿宋"/>
          <w:sz w:val="32"/>
          <w:szCs w:val="32"/>
        </w:rPr>
        <w:t>热情</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热情，分值10，得分10</w:t>
      </w:r>
      <w:r>
        <w:rPr>
          <w:rFonts w:hint="eastAsia" w:ascii="仿宋" w:hAnsi="仿宋" w:eastAsia="仿宋"/>
          <w:sz w:val="32"/>
          <w:szCs w:val="32"/>
        </w:rPr>
        <w:t>。</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(三) 满意度指标完成情况</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9、服务对象满意度</w:t>
      </w:r>
    </w:p>
    <w:p>
      <w:pPr>
        <w:spacing w:line="620" w:lineRule="exact"/>
        <w:ind w:left="420" w:leftChars="200" w:firstLine="0" w:firstLineChars="0"/>
        <w:rPr>
          <w:rFonts w:ascii="仿宋" w:hAnsi="仿宋" w:eastAsia="仿宋"/>
          <w:sz w:val="32"/>
          <w:szCs w:val="32"/>
        </w:rPr>
      </w:pPr>
      <w:r>
        <w:rPr>
          <w:rFonts w:ascii="仿宋" w:hAnsi="仿宋" w:eastAsia="仿宋" w:cs="仿宋"/>
          <w:sz w:val="32"/>
        </w:rPr>
        <w:t>12)群众满意度，目标值</w:t>
      </w:r>
      <w:r>
        <w:rPr>
          <w:rFonts w:hint="eastAsia" w:ascii="仿宋" w:hAnsi="仿宋" w:eastAsia="仿宋"/>
          <w:sz w:val="32"/>
          <w:szCs w:val="32"/>
          <w:lang w:val="en-US" w:eastAsia="zh-CN"/>
        </w:rPr>
        <w:t>大于等于</w:t>
      </w:r>
      <w:r>
        <w:rPr>
          <w:rFonts w:hint="eastAsia" w:ascii="仿宋" w:hAnsi="仿宋" w:eastAsia="仿宋"/>
          <w:sz w:val="32"/>
          <w:szCs w:val="32"/>
        </w:rPr>
        <w:t>95</w:t>
      </w:r>
      <w:r>
        <w:rPr>
          <w:rFonts w:ascii="仿宋" w:hAnsi="仿宋" w:eastAsia="仿宋" w:cs="仿宋"/>
          <w:sz w:val="32"/>
        </w:rPr>
        <w:t>%，</w:t>
      </w:r>
      <w:r>
        <w:rPr>
          <w:rFonts w:hint="eastAsia" w:ascii="仿宋" w:hAnsi="仿宋" w:eastAsia="仿宋"/>
          <w:sz w:val="32"/>
          <w:szCs w:val="32"/>
          <w:lang w:val="en-US" w:eastAsia="zh-CN"/>
        </w:rPr>
        <w:t>实际</w:t>
      </w:r>
      <w:r>
        <w:rPr>
          <w:rFonts w:hint="eastAsia" w:ascii="仿宋" w:hAnsi="仿宋" w:eastAsia="仿宋"/>
          <w:sz w:val="32"/>
          <w:szCs w:val="32"/>
        </w:rPr>
        <w:t>完成</w:t>
      </w:r>
      <w:r>
        <w:rPr>
          <w:rFonts w:ascii="仿宋" w:hAnsi="仿宋" w:eastAsia="仿宋" w:cs="仿宋"/>
          <w:sz w:val="32"/>
        </w:rPr>
        <w:t>95%，分值10，得分10</w:t>
      </w:r>
      <w:r>
        <w:rPr>
          <w:rFonts w:hint="eastAsia" w:ascii="仿宋" w:hAnsi="仿宋" w:eastAsia="仿宋"/>
          <w:sz w:val="32"/>
          <w:szCs w:val="32"/>
        </w:rPr>
        <w:t>。</w:t>
      </w:r>
    </w:p>
    <w:p>
      <w:pPr>
        <w:spacing w:line="620" w:lineRule="exact"/>
        <w:ind w:left="420" w:leftChars="200" w:firstLine="0" w:firstLineChars="0"/>
        <w:rPr>
          <w:rFonts w:hint="default" w:ascii="仿宋" w:hAnsi="仿宋" w:eastAsia="仿宋"/>
          <w:sz w:val="32"/>
          <w:szCs w:val="32"/>
          <w:lang w:val="en-US" w:eastAsia="zh-CN"/>
        </w:rPr>
      </w:pPr>
      <w:r>
        <w:rPr>
          <w:rFonts w:hint="eastAsia" w:ascii="仿宋" w:hAnsi="仿宋" w:eastAsia="仿宋"/>
          <w:sz w:val="32"/>
          <w:szCs w:val="32"/>
          <w:lang w:eastAsia="zh-CN"/>
        </w:rPr>
        <w:t>（</w:t>
      </w:r>
      <w:r>
        <w:rPr>
          <w:rFonts w:hint="eastAsia" w:ascii="仿宋" w:hAnsi="仿宋" w:eastAsia="仿宋"/>
          <w:sz w:val="32"/>
          <w:szCs w:val="32"/>
          <w:lang w:val="en-US" w:eastAsia="zh-CN"/>
        </w:rPr>
        <w:t>四</w:t>
      </w:r>
      <w:r>
        <w:rPr>
          <w:rFonts w:hint="eastAsia" w:ascii="仿宋" w:hAnsi="仿宋" w:eastAsia="仿宋"/>
          <w:sz w:val="32"/>
          <w:szCs w:val="32"/>
          <w:lang w:eastAsia="zh-CN"/>
        </w:rPr>
        <w:t>）</w:t>
      </w:r>
      <w:r>
        <w:rPr>
          <w:rFonts w:hint="eastAsia" w:ascii="仿宋" w:hAnsi="仿宋" w:eastAsia="仿宋"/>
          <w:sz w:val="32"/>
          <w:szCs w:val="32"/>
          <w:lang w:val="en-US" w:eastAsia="zh-CN"/>
        </w:rPr>
        <w:t>自评得分情况</w:t>
      </w:r>
    </w:p>
    <w:p>
      <w:pPr>
        <w:spacing w:line="620" w:lineRule="exact"/>
        <w:rPr>
          <w:rFonts w:hint="eastAsia" w:ascii="仿宋" w:hAnsi="仿宋" w:eastAsia="仿宋_GB2312"/>
          <w:sz w:val="32"/>
          <w:szCs w:val="32"/>
          <w:lang w:eastAsia="zh-CN"/>
        </w:rPr>
      </w:pPr>
      <w:r>
        <w:rPr>
          <w:rFonts w:hint="eastAsia" w:ascii="仿宋_GB2312" w:hAnsi="仿宋_GB2312" w:eastAsia="仿宋_GB2312"/>
          <w:sz w:val="32"/>
          <w:szCs w:val="32"/>
        </w:rPr>
        <w:t>本项目绩效自评得分</w:t>
      </w:r>
      <w:r>
        <w:rPr>
          <w:rFonts w:ascii="仿宋_GB2312" w:hAnsi="仿宋_GB2312" w:eastAsia="仿宋_GB2312" w:cs="仿宋_GB2312"/>
          <w:sz w:val="32"/>
        </w:rPr>
        <w:t>100分，等级为A</w:t>
      </w:r>
      <w:r>
        <w:rPr>
          <w:rFonts w:hint="eastAsia" w:ascii="仿宋_GB2312" w:hAnsi="仿宋_GB2312" w:eastAsia="仿宋_GB2312"/>
          <w:sz w:val="32"/>
          <w:szCs w:val="32"/>
          <w:lang w:eastAsia="zh-CN"/>
        </w:rPr>
        <w:t>。</w:t>
      </w:r>
    </w:p>
    <w:p>
      <w:pPr>
        <w:numPr>
          <w:ilvl w:val="0"/>
          <w:numId w:val="2"/>
        </w:numPr>
        <w:spacing w:line="240" w:lineRule="auto"/>
        <w:ind w:left="0" w:firstLine="0" w:firstLineChars="0"/>
        <w:rPr>
          <w:rFonts w:ascii="仿宋" w:hAnsi="仿宋" w:eastAsia="仿宋"/>
          <w:b/>
          <w:sz w:val="32"/>
          <w:szCs w:val="32"/>
        </w:rPr>
      </w:pPr>
      <w:r>
        <w:rPr>
          <w:rFonts w:hint="eastAsia" w:ascii="仿宋" w:hAnsi="仿宋" w:eastAsia="仿宋"/>
          <w:b/>
          <w:sz w:val="32"/>
          <w:szCs w:val="32"/>
        </w:rPr>
        <w:t>存在</w:t>
      </w:r>
      <w:r>
        <w:rPr>
          <w:rFonts w:hint="eastAsia" w:ascii="仿宋" w:hAnsi="仿宋" w:eastAsia="仿宋"/>
          <w:b/>
          <w:sz w:val="32"/>
          <w:szCs w:val="32"/>
          <w:lang w:val="en-US" w:eastAsia="zh-CN"/>
        </w:rPr>
        <w:t>问题</w:t>
      </w:r>
    </w:p>
    <w:p>
      <w:pPr>
        <w:numPr>
          <w:ilvl w:val="0"/>
          <w:numId w:val="5"/>
        </w:numPr>
        <w:spacing w:line="240" w:lineRule="auto"/>
        <w:ind w:left="240" w:leftChars="0" w:firstLine="0" w:firstLineChars="0"/>
        <w:rPr>
          <w:rFonts w:ascii="仿宋" w:hAnsi="仿宋" w:eastAsia="仿宋"/>
          <w:b w:val="0"/>
          <w:bCs/>
          <w:sz w:val="32"/>
          <w:szCs w:val="32"/>
        </w:rPr>
      </w:pPr>
      <w:r>
        <w:rPr>
          <w:rFonts w:hint="eastAsia" w:ascii="仿宋" w:hAnsi="仿宋" w:eastAsia="仿宋"/>
          <w:b w:val="0"/>
          <w:bCs/>
          <w:sz w:val="32"/>
          <w:szCs w:val="32"/>
          <w:lang w:val="en-US" w:eastAsia="zh-CN"/>
        </w:rPr>
        <w:t>项目立项、实施存在问题。</w:t>
      </w:r>
    </w:p>
    <w:p>
      <w:pPr>
        <w:numPr>
          <w:ilvl w:val="0"/>
          <w:numId w:val="5"/>
        </w:numPr>
        <w:spacing w:line="240" w:lineRule="auto"/>
        <w:ind w:left="240" w:leftChars="0" w:firstLine="0" w:firstLineChars="0"/>
        <w:rPr>
          <w:rFonts w:ascii="仿宋" w:hAnsi="仿宋" w:eastAsia="仿宋"/>
          <w:b w:val="0"/>
          <w:bCs/>
          <w:sz w:val="32"/>
          <w:szCs w:val="32"/>
        </w:rPr>
      </w:pPr>
      <w:r>
        <w:rPr>
          <w:rFonts w:hint="eastAsia" w:ascii="仿宋" w:hAnsi="仿宋" w:eastAsia="仿宋"/>
          <w:b w:val="0"/>
          <w:bCs/>
          <w:sz w:val="32"/>
          <w:szCs w:val="32"/>
          <w:lang w:val="en-US" w:eastAsia="zh-CN"/>
        </w:rPr>
        <w:t>资金管理使用存在问题</w:t>
      </w:r>
    </w:p>
    <w:p>
      <w:pPr>
        <w:spacing w:line="240" w:lineRule="auto"/>
        <w:ind w:left="420" w:firstLine="420" w:firstLineChars="0"/>
        <w:rPr>
          <w:rFonts w:ascii="仿宋" w:hAnsi="仿宋" w:eastAsia="仿宋"/>
          <w:b/>
          <w:sz w:val="32"/>
          <w:szCs w:val="32"/>
        </w:rPr>
      </w:pPr>
    </w:p>
    <w:p>
      <w:pPr>
        <w:spacing w:line="240" w:lineRule="auto"/>
        <w:ind w:firstLine="0" w:firstLineChars="0"/>
        <w:rPr>
          <w:rFonts w:hint="eastAsia" w:ascii="仿宋" w:hAnsi="仿宋" w:eastAsia="仿宋"/>
          <w:b/>
          <w:sz w:val="32"/>
          <w:szCs w:val="32"/>
          <w:lang w:val="en-US" w:eastAsia="zh-CN"/>
        </w:rPr>
      </w:pPr>
      <w:r>
        <w:rPr>
          <w:rFonts w:hint="eastAsia" w:ascii="仿宋" w:hAnsi="仿宋" w:eastAsia="仿宋"/>
          <w:b/>
          <w:sz w:val="32"/>
          <w:szCs w:val="32"/>
        </w:rPr>
        <w:t>五、其他需要说明的</w:t>
      </w:r>
      <w:r>
        <w:rPr>
          <w:rFonts w:hint="eastAsia" w:ascii="仿宋" w:hAnsi="仿宋" w:eastAsia="仿宋"/>
          <w:b/>
          <w:sz w:val="32"/>
          <w:szCs w:val="32"/>
          <w:lang w:val="en-US" w:eastAsia="zh-CN"/>
        </w:rPr>
        <w:t>问题</w:t>
      </w:r>
    </w:p>
    <w:p>
      <w:pPr>
        <w:spacing w:before="188" w:line="204" w:lineRule="auto"/>
        <w:ind w:firstLine="577"/>
        <w:rPr>
          <w:rFonts w:ascii="仿宋" w:hAnsi="仿宋" w:eastAsia="仿宋" w:cs="仿宋"/>
          <w:sz w:val="30"/>
          <w:szCs w:val="30"/>
        </w:rPr>
      </w:pPr>
      <w:r>
        <w:rPr>
          <w:rFonts w:ascii="仿宋" w:hAnsi="仿宋" w:eastAsia="仿宋" w:cs="仿宋"/>
          <w:sz w:val="30"/>
          <w:szCs w:val="30"/>
        </w:rPr>
        <w:t>（一）后续工作计划。</w:t>
      </w:r>
    </w:p>
    <w:p>
      <w:pPr>
        <w:keepNext w:val="0"/>
        <w:keepLines w:val="0"/>
        <w:widowControl/>
        <w:suppressLineNumbers w:val="0"/>
        <w:jc w:val="left"/>
        <w:rPr>
          <w:rFonts w:ascii="仿宋" w:hAnsi="仿宋" w:eastAsia="仿宋" w:cs="仿宋"/>
          <w:sz w:val="30"/>
          <w:szCs w:val="30"/>
        </w:rPr>
      </w:pPr>
      <w:r>
        <w:rPr>
          <w:rFonts w:hint="default" w:ascii="仿宋" w:hAnsi="仿宋" w:eastAsia="仿宋" w:cs="仿宋"/>
          <w:spacing w:val="1"/>
          <w:sz w:val="30"/>
          <w:szCs w:val="30"/>
        </w:rPr>
        <w:t>组织实施日常工作的开展及业务费的使用，有利于发挥，做好了镇级人民政府日常工作，坚持了党的领导、人民当家作主、依法治国的有机统一。在镇政府的指导下，切实发挥地方国家权利机关的职能作用，履行工作职责，增强监督效能，实现政府职能。并将项目资金按照相关使用规定继续使用，并且按照按照财经法规制度，根据单位的收入、支出制度实施。</w:t>
      </w:r>
    </w:p>
    <w:p>
      <w:pPr>
        <w:spacing w:before="189" w:line="204" w:lineRule="auto"/>
        <w:ind w:firstLine="577"/>
        <w:rPr>
          <w:rFonts w:ascii="仿宋" w:hAnsi="仿宋" w:eastAsia="仿宋" w:cs="仿宋"/>
          <w:spacing w:val="-1"/>
          <w:sz w:val="30"/>
          <w:szCs w:val="30"/>
        </w:rPr>
      </w:pPr>
      <w:r>
        <w:rPr>
          <w:rFonts w:ascii="仿宋" w:hAnsi="仿宋" w:eastAsia="仿宋" w:cs="仿宋"/>
          <w:spacing w:val="-1"/>
          <w:sz w:val="30"/>
          <w:szCs w:val="30"/>
        </w:rPr>
        <w:t>（二）措施及办法。</w:t>
      </w:r>
    </w:p>
    <w:p>
      <w:pPr>
        <w:widowControl/>
        <w:spacing w:before="240" w:after="240"/>
        <w:jc w:val="left"/>
        <w:rPr>
          <w:rFonts w:ascii="Times New Roman" w:hAnsi="Times New Roman" w:eastAsia="Times New Roman" w:cs="Times New Roman"/>
          <w:kern w:val="0"/>
          <w:sz w:val="24"/>
        </w:rPr>
      </w:pPr>
    </w:p>
    <w:p>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第三部分  名词解释</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一、财政拨款收入：</w:t>
      </w:r>
      <w:r>
        <w:rPr>
          <w:rFonts w:ascii="fang_song_gb2312" w:hAnsi="fang_song_gb2312" w:eastAsia="fang_song_gb2312" w:cs="fang_song_gb2312"/>
          <w:kern w:val="0"/>
          <w:sz w:val="27"/>
          <w:szCs w:val="27"/>
        </w:rPr>
        <w:t>从同级财政部门取得的各类财政拨款，包括一般公共预算财政拨款、政府性基金预算财政拨款、国有资本经营预算财政拨款。</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二、上级补助收入：</w:t>
      </w:r>
      <w:r>
        <w:rPr>
          <w:rFonts w:ascii="fang_song_gb2312" w:hAnsi="fang_song_gb2312" w:eastAsia="fang_song_gb2312" w:cs="fang_song_gb2312"/>
          <w:kern w:val="0"/>
          <w:sz w:val="27"/>
          <w:szCs w:val="27"/>
        </w:rPr>
        <w:t>指事业单位从主管部门和上级单位取得的非财政补助收入。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三、财政专户管理教育收费：</w:t>
      </w:r>
      <w:r>
        <w:rPr>
          <w:rFonts w:ascii="fang_song_gb2312" w:hAnsi="fang_song_gb2312" w:eastAsia="fang_song_gb2312" w:cs="fang_song_gb2312"/>
          <w:kern w:val="0"/>
          <w:sz w:val="27"/>
          <w:szCs w:val="27"/>
        </w:rPr>
        <w:t>指缴入财政专户、实行专项管理的高中以上学费、住宿费、高校委托培养费、函大、电大、夜大及短训班培训费等教育收费。</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四、事业收入：</w:t>
      </w:r>
      <w:r>
        <w:rPr>
          <w:rFonts w:ascii="fang_song_gb2312" w:hAnsi="fang_song_gb2312" w:eastAsia="fang_song_gb2312" w:cs="fang_song_gb2312"/>
          <w:kern w:val="0"/>
          <w:sz w:val="27"/>
          <w:szCs w:val="27"/>
        </w:rPr>
        <w:t>指事业单位开展专业业务活动及其辅助活动取得的收入。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五、经营收入：</w:t>
      </w:r>
      <w:r>
        <w:rPr>
          <w:rFonts w:ascii="fang_song_gb2312" w:hAnsi="fang_song_gb2312" w:eastAsia="fang_song_gb2312" w:cs="fang_song_gb2312"/>
          <w:kern w:val="0"/>
          <w:sz w:val="27"/>
          <w:szCs w:val="27"/>
        </w:rPr>
        <w:t>指事业单位在专业业务活动及其辅助活动之外开展非独立核算经营活动取得的收入。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六、附属单位上缴收入：</w:t>
      </w:r>
      <w:r>
        <w:rPr>
          <w:rFonts w:ascii="fang_song_gb2312" w:hAnsi="fang_song_gb2312" w:eastAsia="fang_song_gb2312" w:cs="fang_song_gb2312"/>
          <w:kern w:val="0"/>
          <w:sz w:val="27"/>
          <w:szCs w:val="27"/>
        </w:rPr>
        <w:t>指事业单位取得附属独立核算单位按照有关规定上缴的收入。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七、其他收入：</w:t>
      </w:r>
      <w:r>
        <w:rPr>
          <w:rFonts w:ascii="fang_song_gb2312" w:hAnsi="fang_song_gb2312" w:eastAsia="fang_song_gb2312" w:cs="fang_song_gb2312"/>
          <w:kern w:val="0"/>
          <w:sz w:val="27"/>
          <w:szCs w:val="27"/>
        </w:rPr>
        <w:t>取得的除上述“财政拨款收入”、“上级补助收入”、“事业收入”、“经营收入”、“附属单位上缴收入”等以外的各项收入。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八、使用非财政拨款结余和专用结余：</w:t>
      </w:r>
      <w:r>
        <w:rPr>
          <w:rFonts w:ascii="fang_song_gb2312" w:hAnsi="fang_song_gb2312" w:eastAsia="fang_song_gb2312" w:cs="fang_song_gb2312"/>
          <w:kern w:val="0"/>
          <w:sz w:val="27"/>
          <w:szCs w:val="27"/>
        </w:rPr>
        <w:t>指事业单位按照预算管理要求使用非财政拨款结余和专用结余弥补当年收支差额的数额。</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九、年初结转和结余：</w:t>
      </w:r>
      <w:r>
        <w:rPr>
          <w:rFonts w:ascii="fang_song_gb2312" w:hAnsi="fang_song_gb2312" w:eastAsia="fang_song_gb2312" w:cs="fang_song_gb2312"/>
          <w:kern w:val="0"/>
          <w:sz w:val="27"/>
          <w:szCs w:val="27"/>
        </w:rPr>
        <w:t>指单位上年结转本年使用的基本支出结转、项目支出结转和结余、经营结余。</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十、结余分配：</w:t>
      </w:r>
      <w:r>
        <w:rPr>
          <w:rFonts w:ascii="fang_song_gb2312" w:hAnsi="fang_song_gb2312" w:eastAsia="fang_song_gb2312" w:cs="fang_song_gb2312"/>
          <w:kern w:val="0"/>
          <w:sz w:val="27"/>
          <w:szCs w:val="27"/>
        </w:rPr>
        <w:t>指事业单位按规定缴纳企业所得税以及从非财政拨款结余或经营结余中提取各类结余的情况。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十一、年末结转和结余资金：</w:t>
      </w:r>
      <w:r>
        <w:rPr>
          <w:rFonts w:ascii="fang_song_gb2312" w:hAnsi="fang_song_gb2312" w:eastAsia="fang_song_gb2312" w:cs="fang_song_gb2312"/>
          <w:kern w:val="0"/>
          <w:sz w:val="27"/>
          <w:szCs w:val="27"/>
        </w:rPr>
        <w:t>指单位结转下年的基本支出结转、项目支出结转和结余、经营结余。</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十二、基本支出：</w:t>
      </w:r>
      <w:r>
        <w:rPr>
          <w:rFonts w:ascii="fang_song_gb2312" w:hAnsi="fang_song_gb2312" w:eastAsia="fang_song_gb2312" w:cs="fang_song_gb2312"/>
          <w:kern w:val="0"/>
          <w:sz w:val="27"/>
          <w:szCs w:val="27"/>
        </w:rPr>
        <w:t>指为保障机构正常运转、完成日常工作任务所发生的支出，包括人员经费和公用经费。</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十三、项目支出：</w:t>
      </w:r>
      <w:r>
        <w:rPr>
          <w:rFonts w:ascii="fang_song_gb2312" w:hAnsi="fang_song_gb2312" w:eastAsia="fang_song_gb2312" w:cs="fang_song_gb2312"/>
          <w:kern w:val="0"/>
          <w:sz w:val="27"/>
          <w:szCs w:val="27"/>
        </w:rPr>
        <w:t>指在为完成特定的工作任务和事业发展目标所发生的支出。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十四、上缴上级支出：</w:t>
      </w:r>
      <w:r>
        <w:rPr>
          <w:rFonts w:ascii="fang_song_gb2312" w:hAnsi="fang_song_gb2312" w:eastAsia="fang_song_gb2312" w:cs="fang_song_gb2312"/>
          <w:kern w:val="0"/>
          <w:sz w:val="27"/>
          <w:szCs w:val="27"/>
        </w:rPr>
        <w:t>指事业单位按照财政部门和主管部门的规定上缴上级单位的支出。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十五、经营支出：</w:t>
      </w:r>
      <w:r>
        <w:rPr>
          <w:rFonts w:ascii="fang_song_gb2312" w:hAnsi="fang_song_gb2312" w:eastAsia="fang_song_gb2312" w:cs="fang_song_gb2312"/>
          <w:kern w:val="0"/>
          <w:sz w:val="27"/>
          <w:szCs w:val="27"/>
        </w:rPr>
        <w:t>指事业单位在专业业务活动及其辅助活动之外开展非独立核算经营活动发生的支出。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十六、对附属单位补助支出：</w:t>
      </w:r>
      <w:r>
        <w:rPr>
          <w:rFonts w:ascii="fang_song_gb2312" w:hAnsi="fang_song_gb2312" w:eastAsia="fang_song_gb2312" w:cs="fang_song_gb2312"/>
          <w:kern w:val="0"/>
          <w:sz w:val="27"/>
          <w:szCs w:val="27"/>
        </w:rPr>
        <w:t>指事业单位用财政拨款收入之外的收入对附属单位补助发生的支出。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十七、“三公”经费：</w:t>
      </w:r>
      <w:r>
        <w:rPr>
          <w:rFonts w:ascii="fang_song_gb2312" w:hAnsi="fang_song_gb2312" w:eastAsia="fang_song_gb2312" w:cs="fang_song_gb2312"/>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十八、机构运行经费：</w:t>
      </w:r>
      <w:r>
        <w:rPr>
          <w:rFonts w:ascii="fang_song_gb2312" w:hAnsi="fang_song_gb2312" w:eastAsia="fang_song_gb2312" w:cs="fang_song_gb2312"/>
          <w:kern w:val="0"/>
          <w:sz w:val="27"/>
          <w:szCs w:val="27"/>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p>
    <w:p>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第四部分 决算公开联系方式及信息反馈渠道</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本单位决算公开信息反馈和联系方式：</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联系人：</w:t>
      </w:r>
      <w:r>
        <w:rPr>
          <w:rFonts w:ascii="fang_song_gb2312" w:hAnsi="fang_song_gb2312" w:eastAsia="fang_song_gb2312" w:cs="fang_song_gb2312"/>
          <w:kern w:val="0"/>
          <w:sz w:val="27"/>
          <w:szCs w:val="27"/>
          <w:u w:val="single"/>
        </w:rPr>
        <w:t xml:space="preserve">乌云高娃 </w:t>
      </w:r>
      <w:r>
        <w:rPr>
          <w:rFonts w:ascii="fang_song_gb2312" w:hAnsi="fang_song_gb2312" w:eastAsia="fang_song_gb2312" w:cs="fang_song_gb2312"/>
          <w:kern w:val="0"/>
          <w:sz w:val="27"/>
          <w:szCs w:val="27"/>
        </w:rPr>
        <w:t>          联系电话：0470-4951010- </w:t>
      </w:r>
    </w:p>
    <w:p>
      <w:pPr>
        <w:widowControl/>
        <w:spacing w:before="240" w:after="240"/>
        <w:jc w:val="left"/>
        <w:rPr>
          <w:rFonts w:ascii="Times New Roman" w:hAnsi="Times New Roman" w:eastAsia="Times New Roman" w:cs="Times New Roman"/>
          <w:kern w:val="0"/>
          <w:sz w:val="24"/>
        </w:rPr>
      </w:pPr>
    </w:p>
    <w:p>
      <w:pPr>
        <w:widowControl/>
        <w:spacing w:before="240" w:after="240"/>
        <w:jc w:val="center"/>
        <w:rPr>
          <w:rFonts w:ascii="Times New Roman" w:hAnsi="Times New Roman" w:eastAsia="Times New Roman" w:cs="Times New Roman"/>
          <w:kern w:val="0"/>
          <w:sz w:val="24"/>
        </w:rPr>
      </w:pPr>
      <w:r>
        <w:rPr>
          <w:rFonts w:ascii="fang_zheng_xiao_biao_song_ti" w:hAnsi="fang_zheng_xiao_biao_song_ti" w:eastAsia="fang_zheng_xiao_biao_song_ti" w:cs="fang_zheng_xiao_biao_song_ti"/>
          <w:b/>
          <w:bCs/>
          <w:kern w:val="0"/>
          <w:sz w:val="36"/>
          <w:szCs w:val="36"/>
        </w:rPr>
        <w:t>第五部分 部门（单位）决算表</w:t>
      </w:r>
    </w:p>
    <w:p>
      <w:pPr>
        <w:widowControl/>
        <w:spacing w:before="240" w:after="240"/>
        <w:jc w:val="center"/>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见附件。</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bookmarkEnd w:id="0"/>
    <w:p>
      <w:pPr>
        <w:adjustRightInd w:val="0"/>
        <w:snapToGrid w:val="0"/>
        <w:rPr>
          <w:rFonts w:ascii="宋体" w:hAnsi="宋体"/>
          <w:b/>
          <w:sz w:val="32"/>
          <w:szCs w:val="32"/>
        </w:rPr>
      </w:pPr>
    </w:p>
    <w:p>
      <w:pPr>
        <w:adjustRightInd w:val="0"/>
        <w:snapToGrid w:val="0"/>
        <w:rPr>
          <w:rFonts w:ascii="宋体" w:hAnsi="宋体"/>
          <w:b/>
          <w:sz w:val="32"/>
          <w:szCs w:val="32"/>
        </w:rPr>
      </w:pPr>
    </w:p>
    <w:p>
      <w:pPr>
        <w:tabs>
          <w:tab w:val="left" w:pos="8415"/>
        </w:tabs>
      </w:pPr>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fang_song_gb2312">
    <w:altName w:val="Segoe Print"/>
    <w:panose1 w:val="00000000000000000000"/>
    <w:charset w:val="00"/>
    <w:family w:val="auto"/>
    <w:pitch w:val="default"/>
    <w:sig w:usb0="00000000" w:usb1="00000000" w:usb2="00000000" w:usb3="00000000" w:csb0="00000000" w:csb1="00000000"/>
  </w:font>
  <w:font w:name="times_new_roman">
    <w:altName w:val="Segoe Print"/>
    <w:panose1 w:val="00000000000000000000"/>
    <w:charset w:val="00"/>
    <w:family w:val="auto"/>
    <w:pitch w:val="default"/>
    <w:sig w:usb0="00000000" w:usb1="00000000" w:usb2="00000000" w:usb3="00000000" w:csb0="00000000" w:csb1="00000000"/>
  </w:font>
  <w:font w:name="fang_zheng_xiao_biao_song_ti">
    <w:altName w:val="Segoe Print"/>
    <w:panose1 w:val="00000000000000000000"/>
    <w:charset w:val="00"/>
    <w:family w:val="auto"/>
    <w:pitch w:val="default"/>
    <w:sig w:usb0="00000000" w:usb1="00000000" w:usb2="00000000" w:usb3="00000000" w:csb0="00000000" w:csb1="00000000"/>
  </w:font>
  <w:font w:name="kai_ti_gb2312">
    <w:altName w:val="Segoe Print"/>
    <w:panose1 w:val="00000000000000000000"/>
    <w:charset w:val="00"/>
    <w:family w:val="auto"/>
    <w:pitch w:val="default"/>
    <w:sig w:usb0="00000000" w:usb1="00000000" w:usb2="00000000" w:usb3="00000000" w:csb0="00000000" w:csb1="00000000"/>
  </w:font>
  <w:font w:name="方正小标宋简体">
    <w:altName w:val="方正舒体"/>
    <w:panose1 w:val="00000000000000000000"/>
    <w:charset w:val="86"/>
    <w:family w:val="roma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 PAGE   \* MERGEFORMAT </w:instrText>
    </w:r>
    <w:r>
      <w:fldChar w:fldCharType="separate"/>
    </w:r>
    <w:r>
      <w:rPr>
        <w:lang w:val="zh-CN"/>
      </w:rPr>
      <w:t>24</w:t>
    </w:r>
    <w:r>
      <w:rPr>
        <w:lang w:val="zh-CN"/>
      </w:rPr>
      <w:fldChar w:fldCharType="end"/>
    </w:r>
  </w:p>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4BB1F1"/>
    <w:multiLevelType w:val="multilevel"/>
    <w:tmpl w:val="994BB1F1"/>
    <w:lvl w:ilvl="0" w:tentative="0">
      <w:start w:val="1"/>
      <w:numFmt w:val="japaneseCounting"/>
      <w:lvlText w:val="%1、"/>
      <w:lvlJc w:val="left"/>
      <w:pPr>
        <w:ind w:left="1310" w:hanging="720"/>
      </w:pPr>
      <w:rPr>
        <w:rFonts w:hint="default"/>
      </w:rPr>
    </w:lvl>
    <w:lvl w:ilvl="1" w:tentative="0">
      <w:start w:val="1"/>
      <w:numFmt w:val="lowerLetter"/>
      <w:lvlText w:val="%2)"/>
      <w:lvlJc w:val="left"/>
      <w:pPr>
        <w:ind w:left="1430" w:hanging="420"/>
      </w:pPr>
    </w:lvl>
    <w:lvl w:ilvl="2" w:tentative="0">
      <w:start w:val="1"/>
      <w:numFmt w:val="lowerRoman"/>
      <w:lvlText w:val="%3."/>
      <w:lvlJc w:val="right"/>
      <w:pPr>
        <w:ind w:left="1850" w:hanging="420"/>
      </w:pPr>
    </w:lvl>
    <w:lvl w:ilvl="3" w:tentative="0">
      <w:start w:val="1"/>
      <w:numFmt w:val="decimal"/>
      <w:lvlText w:val="%4."/>
      <w:lvlJc w:val="left"/>
      <w:pPr>
        <w:ind w:left="2270" w:hanging="420"/>
      </w:pPr>
    </w:lvl>
    <w:lvl w:ilvl="4" w:tentative="0">
      <w:start w:val="1"/>
      <w:numFmt w:val="lowerLetter"/>
      <w:lvlText w:val="%5)"/>
      <w:lvlJc w:val="left"/>
      <w:pPr>
        <w:ind w:left="2690" w:hanging="420"/>
      </w:pPr>
    </w:lvl>
    <w:lvl w:ilvl="5" w:tentative="0">
      <w:start w:val="1"/>
      <w:numFmt w:val="lowerRoman"/>
      <w:lvlText w:val="%6."/>
      <w:lvlJc w:val="right"/>
      <w:pPr>
        <w:ind w:left="3110" w:hanging="420"/>
      </w:pPr>
    </w:lvl>
    <w:lvl w:ilvl="6" w:tentative="0">
      <w:start w:val="1"/>
      <w:numFmt w:val="decimal"/>
      <w:lvlText w:val="%7."/>
      <w:lvlJc w:val="left"/>
      <w:pPr>
        <w:ind w:left="3530" w:hanging="420"/>
      </w:pPr>
    </w:lvl>
    <w:lvl w:ilvl="7" w:tentative="0">
      <w:start w:val="1"/>
      <w:numFmt w:val="lowerLetter"/>
      <w:lvlText w:val="%8)"/>
      <w:lvlJc w:val="left"/>
      <w:pPr>
        <w:ind w:left="3950" w:hanging="420"/>
      </w:pPr>
    </w:lvl>
    <w:lvl w:ilvl="8" w:tentative="0">
      <w:start w:val="1"/>
      <w:numFmt w:val="lowerRoman"/>
      <w:lvlText w:val="%9."/>
      <w:lvlJc w:val="right"/>
      <w:pPr>
        <w:ind w:left="4370" w:hanging="420"/>
      </w:pPr>
    </w:lvl>
  </w:abstractNum>
  <w:abstractNum w:abstractNumId="1">
    <w:nsid w:val="ADA24D32"/>
    <w:multiLevelType w:val="singleLevel"/>
    <w:tmpl w:val="ADA24D32"/>
    <w:lvl w:ilvl="0" w:tentative="0">
      <w:start w:val="1"/>
      <w:numFmt w:val="chineseCounting"/>
      <w:suff w:val="nothing"/>
      <w:lvlText w:val="（%1）"/>
      <w:lvlJc w:val="left"/>
      <w:pPr>
        <w:ind w:left="240"/>
      </w:pPr>
      <w:rPr>
        <w:rFonts w:hint="eastAsia"/>
      </w:rPr>
    </w:lvl>
  </w:abstractNum>
  <w:abstractNum w:abstractNumId="2">
    <w:nsid w:val="EEF44A4F"/>
    <w:multiLevelType w:val="singleLevel"/>
    <w:tmpl w:val="EEF44A4F"/>
    <w:lvl w:ilvl="0" w:tentative="0">
      <w:start w:val="3"/>
      <w:numFmt w:val="decimal"/>
      <w:lvlText w:val="%1."/>
      <w:lvlJc w:val="left"/>
      <w:pPr>
        <w:tabs>
          <w:tab w:val="left" w:pos="312"/>
        </w:tabs>
      </w:pPr>
    </w:lvl>
  </w:abstractNum>
  <w:abstractNum w:abstractNumId="3">
    <w:nsid w:val="FBB8592C"/>
    <w:multiLevelType w:val="singleLevel"/>
    <w:tmpl w:val="FBB8592C"/>
    <w:lvl w:ilvl="0" w:tentative="0">
      <w:start w:val="1"/>
      <w:numFmt w:val="chineseCounting"/>
      <w:suff w:val="nothing"/>
      <w:lvlText w:val="（%1）"/>
      <w:lvlJc w:val="left"/>
      <w:rPr>
        <w:rFonts w:hint="eastAsia"/>
      </w:rPr>
    </w:lvl>
  </w:abstractNum>
  <w:abstractNum w:abstractNumId="4">
    <w:nsid w:val="0CF258D6"/>
    <w:multiLevelType w:val="singleLevel"/>
    <w:tmpl w:val="0CF258D6"/>
    <w:lvl w:ilvl="0" w:tentative="0">
      <w:start w:val="2"/>
      <w:numFmt w:val="chineseCounting"/>
      <w:suff w:val="nothing"/>
      <w:lvlText w:val="（%1）"/>
      <w:lvlJc w:val="left"/>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lZDUxMWI5ZjM2NWFmZTY4ZTBlZGMzMGVkYmE1MmUifQ=="/>
  </w:docVars>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A7CA7"/>
    <w:rsid w:val="00BD0928"/>
    <w:rsid w:val="00BE5F73"/>
    <w:rsid w:val="00BF4228"/>
    <w:rsid w:val="00C07A30"/>
    <w:rsid w:val="00C352FF"/>
    <w:rsid w:val="00C44231"/>
    <w:rsid w:val="00CC6B8B"/>
    <w:rsid w:val="00CD3751"/>
    <w:rsid w:val="00D2051A"/>
    <w:rsid w:val="00D96390"/>
    <w:rsid w:val="00E219E7"/>
    <w:rsid w:val="00E60D6A"/>
    <w:rsid w:val="00E73321"/>
    <w:rsid w:val="00E77EC0"/>
    <w:rsid w:val="00E914C1"/>
    <w:rsid w:val="00E97C37"/>
    <w:rsid w:val="00EE533B"/>
    <w:rsid w:val="00F04882"/>
    <w:rsid w:val="00F63327"/>
    <w:rsid w:val="00F80A29"/>
    <w:rsid w:val="00FA7CA5"/>
    <w:rsid w:val="00FD08EC"/>
    <w:rsid w:val="00FD7690"/>
    <w:rsid w:val="03E60E7D"/>
    <w:rsid w:val="03F04AFA"/>
    <w:rsid w:val="04BC5D9C"/>
    <w:rsid w:val="070D6D82"/>
    <w:rsid w:val="08F7786A"/>
    <w:rsid w:val="0BEB51B8"/>
    <w:rsid w:val="0CA21D1B"/>
    <w:rsid w:val="0CE2480D"/>
    <w:rsid w:val="0EFB3964"/>
    <w:rsid w:val="0F2C7320"/>
    <w:rsid w:val="0F3A4B7C"/>
    <w:rsid w:val="13873A19"/>
    <w:rsid w:val="13FC4407"/>
    <w:rsid w:val="16F1518B"/>
    <w:rsid w:val="18CE5C46"/>
    <w:rsid w:val="1A1B310D"/>
    <w:rsid w:val="1CDF0421"/>
    <w:rsid w:val="1E8A1393"/>
    <w:rsid w:val="1E967206"/>
    <w:rsid w:val="1FF16DE9"/>
    <w:rsid w:val="248A3369"/>
    <w:rsid w:val="248F4E23"/>
    <w:rsid w:val="25FE550F"/>
    <w:rsid w:val="26CC7C68"/>
    <w:rsid w:val="29361D11"/>
    <w:rsid w:val="31132B7F"/>
    <w:rsid w:val="32975DA6"/>
    <w:rsid w:val="32B2245C"/>
    <w:rsid w:val="33851EE6"/>
    <w:rsid w:val="35F5260C"/>
    <w:rsid w:val="368C4D1E"/>
    <w:rsid w:val="372907BF"/>
    <w:rsid w:val="3B6C511E"/>
    <w:rsid w:val="3B7F30A4"/>
    <w:rsid w:val="3EB76FF8"/>
    <w:rsid w:val="40C539CE"/>
    <w:rsid w:val="44184095"/>
    <w:rsid w:val="45C67B21"/>
    <w:rsid w:val="46357180"/>
    <w:rsid w:val="494D658F"/>
    <w:rsid w:val="4A712751"/>
    <w:rsid w:val="4BDA756E"/>
    <w:rsid w:val="4C082C41"/>
    <w:rsid w:val="4C6702A3"/>
    <w:rsid w:val="4D8C1650"/>
    <w:rsid w:val="4F7D3946"/>
    <w:rsid w:val="50584677"/>
    <w:rsid w:val="50770396"/>
    <w:rsid w:val="51984A67"/>
    <w:rsid w:val="53D512FD"/>
    <w:rsid w:val="54166797"/>
    <w:rsid w:val="554A7E27"/>
    <w:rsid w:val="5E282CCF"/>
    <w:rsid w:val="604F27E5"/>
    <w:rsid w:val="60D1764E"/>
    <w:rsid w:val="62946B85"/>
    <w:rsid w:val="63864720"/>
    <w:rsid w:val="64A82DBC"/>
    <w:rsid w:val="665E3732"/>
    <w:rsid w:val="66833198"/>
    <w:rsid w:val="69913E1E"/>
    <w:rsid w:val="6A611FA2"/>
    <w:rsid w:val="6AED6F15"/>
    <w:rsid w:val="6B7460A0"/>
    <w:rsid w:val="6D82064E"/>
    <w:rsid w:val="6E5A6ED5"/>
    <w:rsid w:val="725615F1"/>
    <w:rsid w:val="74C50E20"/>
    <w:rsid w:val="74D872A4"/>
    <w:rsid w:val="753B3B98"/>
    <w:rsid w:val="796C3F60"/>
    <w:rsid w:val="7B721AA8"/>
    <w:rsid w:val="7DE40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29"/>
    <w:qFormat/>
    <w:uiPriority w:val="0"/>
    <w:pPr>
      <w:keepNext/>
      <w:keepLines/>
      <w:spacing w:before="260" w:after="260" w:line="416" w:lineRule="auto"/>
      <w:outlineLvl w:val="2"/>
    </w:pPr>
    <w:rPr>
      <w:b/>
      <w:bCs/>
      <w:sz w:val="32"/>
      <w:szCs w:val="32"/>
    </w:rPr>
  </w:style>
  <w:style w:type="paragraph" w:styleId="6">
    <w:name w:val="heading 4"/>
    <w:basedOn w:val="1"/>
    <w:next w:val="1"/>
    <w:link w:val="24"/>
    <w:qFormat/>
    <w:uiPriority w:val="0"/>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0"/>
    <w:pPr>
      <w:widowControl/>
      <w:spacing w:after="120"/>
    </w:pPr>
    <w:rPr>
      <w:rFonts w:hint="eastAsia" w:ascii="宋体" w:hAnsi="宋体" w:eastAsia="宋体" w:cs="宋体"/>
      <w:sz w:val="21"/>
      <w:szCs w:val="21"/>
      <w:lang w:val="en-US" w:eastAsia="zh-CN" w:bidi="ar"/>
    </w:rPr>
  </w:style>
  <w:style w:type="paragraph" w:styleId="7">
    <w:name w:val="toc 7"/>
    <w:basedOn w:val="1"/>
    <w:next w:val="1"/>
    <w:qFormat/>
    <w:uiPriority w:val="0"/>
    <w:pPr>
      <w:ind w:left="1260"/>
      <w:jc w:val="left"/>
    </w:pPr>
    <w:rPr>
      <w:sz w:val="20"/>
      <w:szCs w:val="20"/>
    </w:rPr>
  </w:style>
  <w:style w:type="paragraph" w:styleId="8">
    <w:name w:val="Document Map"/>
    <w:basedOn w:val="1"/>
    <w:qFormat/>
    <w:uiPriority w:val="0"/>
    <w:pPr>
      <w:shd w:val="clear" w:color="auto" w:fill="000080"/>
    </w:pPr>
  </w:style>
  <w:style w:type="paragraph" w:styleId="9">
    <w:name w:val="toc 5"/>
    <w:basedOn w:val="1"/>
    <w:next w:val="1"/>
    <w:qFormat/>
    <w:uiPriority w:val="0"/>
    <w:pPr>
      <w:ind w:left="840"/>
      <w:jc w:val="left"/>
    </w:pPr>
    <w:rPr>
      <w:sz w:val="20"/>
      <w:szCs w:val="20"/>
    </w:rPr>
  </w:style>
  <w:style w:type="paragraph" w:styleId="10">
    <w:name w:val="toc 3"/>
    <w:basedOn w:val="1"/>
    <w:next w:val="1"/>
    <w:qFormat/>
    <w:uiPriority w:val="0"/>
    <w:pPr>
      <w:adjustRightInd w:val="0"/>
      <w:snapToGrid w:val="0"/>
      <w:spacing w:line="360" w:lineRule="auto"/>
      <w:ind w:firstLine="400" w:firstLineChars="400"/>
      <w:jc w:val="left"/>
    </w:pPr>
    <w:rPr>
      <w:sz w:val="24"/>
      <w:szCs w:val="20"/>
    </w:rPr>
  </w:style>
  <w:style w:type="paragraph" w:styleId="11">
    <w:name w:val="toc 8"/>
    <w:basedOn w:val="1"/>
    <w:next w:val="1"/>
    <w:qFormat/>
    <w:uiPriority w:val="0"/>
    <w:pPr>
      <w:ind w:left="1470"/>
      <w:jc w:val="left"/>
    </w:pPr>
    <w:rPr>
      <w:sz w:val="20"/>
      <w:szCs w:val="20"/>
    </w:rPr>
  </w:style>
  <w:style w:type="paragraph" w:styleId="12">
    <w:name w:val="footer"/>
    <w:basedOn w:val="1"/>
    <w:link w:val="27"/>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jc w:val="left"/>
    </w:pPr>
    <w:rPr>
      <w:b/>
      <w:bCs/>
      <w:sz w:val="24"/>
      <w:szCs w:val="20"/>
    </w:rPr>
  </w:style>
  <w:style w:type="paragraph" w:styleId="15">
    <w:name w:val="toc 4"/>
    <w:basedOn w:val="1"/>
    <w:next w:val="1"/>
    <w:qFormat/>
    <w:uiPriority w:val="0"/>
    <w:pPr>
      <w:ind w:left="630"/>
      <w:jc w:val="left"/>
    </w:pPr>
    <w:rPr>
      <w:sz w:val="20"/>
      <w:szCs w:val="20"/>
    </w:rPr>
  </w:style>
  <w:style w:type="paragraph" w:styleId="16">
    <w:name w:val="toc 6"/>
    <w:basedOn w:val="1"/>
    <w:next w:val="1"/>
    <w:qFormat/>
    <w:uiPriority w:val="0"/>
    <w:pPr>
      <w:ind w:left="1050"/>
      <w:jc w:val="left"/>
    </w:pPr>
    <w:rPr>
      <w:sz w:val="20"/>
      <w:szCs w:val="20"/>
    </w:rPr>
  </w:style>
  <w:style w:type="paragraph" w:styleId="17">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18">
    <w:name w:val="toc 9"/>
    <w:basedOn w:val="1"/>
    <w:next w:val="1"/>
    <w:qFormat/>
    <w:uiPriority w:val="0"/>
    <w:pPr>
      <w:ind w:left="1680"/>
      <w:jc w:val="left"/>
    </w:pPr>
    <w:rPr>
      <w:sz w:val="20"/>
      <w:szCs w:val="20"/>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22">
    <w:name w:val="page number"/>
    <w:basedOn w:val="21"/>
    <w:qFormat/>
    <w:uiPriority w:val="0"/>
  </w:style>
  <w:style w:type="character" w:styleId="23">
    <w:name w:val="Hyperlink"/>
    <w:basedOn w:val="21"/>
    <w:qFormat/>
    <w:uiPriority w:val="0"/>
    <w:rPr>
      <w:color w:val="0000FF"/>
      <w:u w:val="single"/>
    </w:rPr>
  </w:style>
  <w:style w:type="character" w:customStyle="1" w:styleId="24">
    <w:name w:val="标题 4 字符"/>
    <w:basedOn w:val="21"/>
    <w:link w:val="6"/>
    <w:uiPriority w:val="0"/>
    <w:rPr>
      <w:rFonts w:ascii="Cambria" w:hAnsi="Cambria"/>
      <w:b/>
      <w:bCs/>
      <w:kern w:val="2"/>
      <w:sz w:val="28"/>
      <w:szCs w:val="28"/>
    </w:rPr>
  </w:style>
  <w:style w:type="paragraph" w:styleId="25">
    <w:name w:val="No Spacing"/>
    <w:link w:val="26"/>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6">
    <w:name w:val="无间隔 字符"/>
    <w:link w:val="25"/>
    <w:qFormat/>
    <w:locked/>
    <w:uiPriority w:val="0"/>
    <w:rPr>
      <w:rFonts w:eastAsia="仿宋_GB2312"/>
      <w:sz w:val="30"/>
      <w:szCs w:val="22"/>
      <w:lang w:bidi="ar-SA"/>
    </w:rPr>
  </w:style>
  <w:style w:type="character" w:customStyle="1" w:styleId="27">
    <w:name w:val="页脚 字符"/>
    <w:basedOn w:val="21"/>
    <w:link w:val="12"/>
    <w:qFormat/>
    <w:uiPriority w:val="0"/>
    <w:rPr>
      <w:kern w:val="2"/>
      <w:sz w:val="18"/>
      <w:szCs w:val="18"/>
    </w:rPr>
  </w:style>
  <w:style w:type="paragraph" w:styleId="28">
    <w:name w:val="List Paragraph"/>
    <w:basedOn w:val="1"/>
    <w:qFormat/>
    <w:uiPriority w:val="0"/>
    <w:pPr>
      <w:ind w:firstLine="420" w:firstLineChars="200"/>
    </w:pPr>
  </w:style>
  <w:style w:type="character" w:customStyle="1" w:styleId="29">
    <w:name w:val="标题 3 字符"/>
    <w:basedOn w:val="21"/>
    <w:link w:val="5"/>
    <w:qFormat/>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收入决算图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pt idx="1">
                  <c:v>政府性基金预算财政拨款收入</c:v>
                </c:pt>
                <c:pt idx="2">
                  <c:v>国有资本经营预算财政拨款收入</c:v>
                </c:pt>
              </c:strCache>
            </c:strRef>
          </c:cat>
          <c:val>
            <c:numRef>
              <c:f>Sheet1!$B$2:$B$4</c:f>
              <c:numCache>
                <c:formatCode>General</c:formatCode>
                <c:ptCount val="3"/>
                <c:pt idx="0">
                  <c:v>3348.04</c:v>
                </c:pt>
                <c:pt idx="1">
                  <c:v>0</c:v>
                </c:pt>
                <c:pt idx="2">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支出决算图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#,##0.00</c:formatCode>
                <c:ptCount val="2"/>
                <c:pt idx="0">
                  <c:v>1268.66</c:v>
                </c:pt>
                <c:pt idx="1">
                  <c:v>2079.38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57559B6-2DC7-41B5-818F-6E7F243775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35</Pages>
  <Words>11320</Words>
  <Characters>12310</Characters>
  <Lines>1</Lines>
  <Paragraphs>1</Paragraphs>
  <TotalTime>1</TotalTime>
  <ScaleCrop>false</ScaleCrop>
  <LinksUpToDate>false</LinksUpToDate>
  <CharactersWithSpaces>13005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Lenovo</cp:lastModifiedBy>
  <cp:lastPrinted>2021-04-16T00:45:00Z</cp:lastPrinted>
  <dcterms:modified xsi:type="dcterms:W3CDTF">2024-10-18T03:30:37Z</dcterms:modified>
  <dc:title>××年度××部门/单位</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B0B1CC1C489042979D64A1B579F5C606_13</vt:lpwstr>
  </property>
</Properties>
</file>