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03"/>
        <w:spacing w:before="101" w:line="223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关于</w:t>
      </w:r>
      <w:r>
        <w:rPr>
          <w:rFonts w:ascii="SimSun" w:hAnsi="SimSun" w:eastAsia="SimSun" w:cs="SimSun"/>
          <w:sz w:val="43"/>
          <w:szCs w:val="43"/>
          <w:spacing w:val="-62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2024</w:t>
      </w:r>
      <w:r>
        <w:rPr>
          <w:rFonts w:ascii="SimSun" w:hAnsi="SimSun" w:eastAsia="SimSun" w:cs="SimSun"/>
          <w:sz w:val="43"/>
          <w:szCs w:val="43"/>
          <w:spacing w:val="-82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年财政转移支付安排情况的说明</w:t>
      </w:r>
    </w:p>
    <w:p>
      <w:pPr>
        <w:spacing w:line="343" w:lineRule="auto"/>
        <w:rPr>
          <w:rFonts w:ascii="Arial"/>
          <w:sz w:val="21"/>
        </w:rPr>
      </w:pPr>
      <w:r/>
    </w:p>
    <w:p>
      <w:pPr>
        <w:spacing w:line="343" w:lineRule="auto"/>
        <w:rPr>
          <w:rFonts w:ascii="Arial"/>
          <w:sz w:val="21"/>
        </w:rPr>
      </w:pPr>
      <w:r/>
    </w:p>
    <w:p>
      <w:pPr>
        <w:ind w:right="11"/>
        <w:spacing w:before="101" w:line="219" w:lineRule="auto"/>
        <w:jc w:val="righ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我旗作为基层旗县，无对下税收返还和转移支付支出。</w:t>
      </w:r>
    </w:p>
    <w:sectPr>
      <w:footerReference w:type="default" r:id="rId1"/>
      <w:pgSz w:w="11906" w:h="16839"/>
      <w:pgMar w:top="1431" w:right="1785" w:bottom="1377" w:left="1785" w:header="0" w:footer="121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35"/>
      <w:spacing w:line="168" w:lineRule="auto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dcterms:created xsi:type="dcterms:W3CDTF">2024-02-07T11:55:24Z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2024-04-18T11:50:39</vt:filetime>
  </property>
</Properties>
</file>