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256" w:lineRule="auto"/>
        <w:rPr>
          <w:rFonts w:ascii="Arial"/>
          <w:sz w:val="21"/>
        </w:rPr>
      </w:pPr>
      <w:r/>
    </w:p>
    <w:p>
      <w:pPr>
        <w:spacing w:line="256" w:lineRule="auto"/>
        <w:rPr>
          <w:rFonts w:ascii="Arial"/>
          <w:sz w:val="21"/>
        </w:rPr>
      </w:pPr>
      <w:r/>
    </w:p>
    <w:p>
      <w:pPr>
        <w:spacing w:line="256" w:lineRule="auto"/>
        <w:rPr>
          <w:rFonts w:ascii="Arial"/>
          <w:sz w:val="21"/>
        </w:rPr>
      </w:pPr>
      <w:r/>
    </w:p>
    <w:p>
      <w:pPr>
        <w:spacing w:line="257" w:lineRule="auto"/>
        <w:rPr>
          <w:rFonts w:ascii="Arial"/>
          <w:sz w:val="21"/>
        </w:rPr>
      </w:pPr>
      <w:r/>
    </w:p>
    <w:p>
      <w:pPr>
        <w:ind w:left="599"/>
        <w:spacing w:before="140" w:line="221" w:lineRule="auto"/>
        <w:outlineLvl w:val="0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14:textOutline w14:w="6350" w14:cap="flat" w14:cmpd="sng">
            <w14:solidFill>
              <w14:srgbClr w14:val="000000"/>
            </w14:solidFill>
            <w14:prstDash w14:val="solid"/>
            <w14:miter w14:lim="0"/>
          </w14:textOutline>
          <w:spacing w:val="7"/>
        </w:rPr>
        <w:t>2023</w:t>
      </w:r>
      <w:r>
        <w:rPr>
          <w:rFonts w:ascii="SimSun" w:hAnsi="SimSun" w:eastAsia="SimSun" w:cs="SimSun"/>
          <w:sz w:val="43"/>
          <w:szCs w:val="43"/>
          <w:spacing w:val="-83"/>
        </w:rPr>
        <w:t xml:space="preserve"> </w:t>
      </w:r>
      <w:r>
        <w:rPr>
          <w:rFonts w:ascii="SimSun" w:hAnsi="SimSun" w:eastAsia="SimSun" w:cs="SimSun"/>
          <w:sz w:val="43"/>
          <w:szCs w:val="43"/>
          <w14:textOutline w14:w="6350" w14:cap="flat" w14:cmpd="sng">
            <w14:solidFill>
              <w14:srgbClr w14:val="000000"/>
            </w14:solidFill>
            <w14:prstDash w14:val="solid"/>
            <w14:miter w14:lim="0"/>
          </w14:textOutline>
          <w:spacing w:val="7"/>
        </w:rPr>
        <w:t>年预算绩效工作开展情况的说明</w:t>
      </w:r>
    </w:p>
    <w:p>
      <w:pPr>
        <w:spacing w:line="336" w:lineRule="auto"/>
        <w:rPr>
          <w:rFonts w:ascii="Arial"/>
          <w:sz w:val="21"/>
        </w:rPr>
      </w:pPr>
      <w:r/>
    </w:p>
    <w:p>
      <w:pPr>
        <w:spacing w:line="337" w:lineRule="auto"/>
        <w:rPr>
          <w:rFonts w:ascii="Arial"/>
          <w:sz w:val="21"/>
        </w:rPr>
      </w:pPr>
      <w:r/>
    </w:p>
    <w:p>
      <w:pPr>
        <w:pStyle w:val="BodyText"/>
        <w:ind w:left="32" w:right="13" w:firstLine="633"/>
        <w:spacing w:before="101" w:line="372" w:lineRule="auto"/>
        <w:rPr/>
      </w:pPr>
      <w:r>
        <w:rPr>
          <w:spacing w:val="22"/>
        </w:rPr>
        <w:t>全面实施预算绩效管理是推进国家治理体系和治理能</w:t>
      </w:r>
      <w:r>
        <w:rPr>
          <w:spacing w:val="17"/>
        </w:rPr>
        <w:t xml:space="preserve"> </w:t>
      </w:r>
      <w:r>
        <w:rPr>
          <w:spacing w:val="8"/>
        </w:rPr>
        <w:t>力现代化的内在要求，是深化财税体制改革、建立现代财政</w:t>
      </w:r>
      <w:r>
        <w:rPr>
          <w:spacing w:val="18"/>
        </w:rPr>
        <w:t xml:space="preserve"> </w:t>
      </w:r>
      <w:r>
        <w:rPr>
          <w:spacing w:val="8"/>
        </w:rPr>
        <w:t>制度的重要内容，是优化财政资源配置、提升公共服务质量</w:t>
      </w:r>
      <w:r>
        <w:rPr>
          <w:spacing w:val="15"/>
        </w:rPr>
        <w:t xml:space="preserve"> </w:t>
      </w:r>
      <w:r>
        <w:rPr>
          <w:spacing w:val="12"/>
        </w:rPr>
        <w:t>的关键举措。按照政府预算公开要求，现将</w:t>
      </w:r>
      <w:r>
        <w:rPr>
          <w:spacing w:val="-41"/>
        </w:rPr>
        <w:t xml:space="preserve"> </w:t>
      </w:r>
      <w:r>
        <w:rPr>
          <w:spacing w:val="12"/>
        </w:rPr>
        <w:t>20</w:t>
      </w:r>
      <w:r>
        <w:rPr>
          <w:spacing w:val="11"/>
        </w:rPr>
        <w:t>23</w:t>
      </w:r>
      <w:r>
        <w:rPr>
          <w:spacing w:val="-54"/>
        </w:rPr>
        <w:t xml:space="preserve"> </w:t>
      </w:r>
      <w:r>
        <w:rPr>
          <w:spacing w:val="11"/>
        </w:rPr>
        <w:t>年预算绩</w:t>
      </w:r>
    </w:p>
    <w:p>
      <w:pPr>
        <w:pStyle w:val="BodyText"/>
        <w:ind w:left="35"/>
        <w:spacing w:line="220" w:lineRule="auto"/>
        <w:rPr/>
      </w:pPr>
      <w:r>
        <w:rPr>
          <w:spacing w:val="6"/>
        </w:rPr>
        <w:t>效管理工作说明如下：</w:t>
      </w:r>
    </w:p>
    <w:p>
      <w:pPr>
        <w:ind w:left="672"/>
        <w:spacing w:before="274" w:line="227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7"/>
        </w:rPr>
        <w:t>一、加强制度建设</w:t>
      </w:r>
    </w:p>
    <w:p>
      <w:pPr>
        <w:pStyle w:val="BodyText"/>
        <w:ind w:left="22" w:right="13" w:firstLine="654"/>
        <w:spacing w:before="154" w:line="372" w:lineRule="auto"/>
        <w:rPr/>
      </w:pPr>
      <w:r>
        <w:rPr>
          <w:spacing w:val="8"/>
        </w:rPr>
        <w:t>为积极推进预算绩效管理工作，规范财政支出绩效评价</w:t>
      </w:r>
      <w:r>
        <w:rPr>
          <w:spacing w:val="7"/>
        </w:rPr>
        <w:t xml:space="preserve"> </w:t>
      </w:r>
      <w:r>
        <w:rPr>
          <w:spacing w:val="9"/>
        </w:rPr>
        <w:t>行为，建立科学、合理的绩效评价管理体系，提高财政资金</w:t>
      </w:r>
      <w:r>
        <w:rPr>
          <w:spacing w:val="2"/>
        </w:rPr>
        <w:t xml:space="preserve"> </w:t>
      </w:r>
      <w:r>
        <w:rPr>
          <w:spacing w:val="9"/>
        </w:rPr>
        <w:t>使用效益，结合我旗预算绩效管理工作实际，莫旗财政局已</w:t>
      </w:r>
      <w:r>
        <w:rPr>
          <w:spacing w:val="2"/>
        </w:rPr>
        <w:t xml:space="preserve"> </w:t>
      </w:r>
      <w:r>
        <w:rPr>
          <w:spacing w:val="9"/>
        </w:rPr>
        <w:t>出台全面实施预算绩效管理的综合性制度文件，以及绩效管</w:t>
      </w:r>
      <w:r>
        <w:rPr/>
        <w:t xml:space="preserve"> </w:t>
      </w:r>
      <w:r>
        <w:rPr>
          <w:spacing w:val="9"/>
        </w:rPr>
        <w:t>理考核、规范第三方机构参与绩效管理等有关具体制度办法</w:t>
      </w:r>
    </w:p>
    <w:p>
      <w:pPr>
        <w:pStyle w:val="BodyText"/>
        <w:ind w:left="41"/>
        <w:spacing w:before="2" w:line="223" w:lineRule="auto"/>
        <w:rPr/>
      </w:pPr>
      <w:r>
        <w:rPr>
          <w:spacing w:val="-10"/>
        </w:rPr>
        <w:t>等。</w:t>
      </w:r>
    </w:p>
    <w:p>
      <w:pPr>
        <w:spacing w:line="286" w:lineRule="auto"/>
        <w:rPr>
          <w:rFonts w:ascii="Arial"/>
          <w:sz w:val="21"/>
        </w:rPr>
      </w:pPr>
      <w:r/>
    </w:p>
    <w:p>
      <w:pPr>
        <w:ind w:left="672"/>
        <w:spacing w:before="101" w:line="226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8"/>
        </w:rPr>
        <w:t>二、强化绩效目标审核</w:t>
      </w:r>
    </w:p>
    <w:p>
      <w:pPr>
        <w:pStyle w:val="BodyText"/>
        <w:ind w:left="36" w:right="13" w:firstLine="640"/>
        <w:spacing w:before="159" w:line="372" w:lineRule="auto"/>
        <w:rPr/>
      </w:pPr>
      <w:r>
        <w:rPr>
          <w:spacing w:val="8"/>
        </w:rPr>
        <w:t>绩效目标是预算安排的前置条件。加强预算绩效目标的</w:t>
      </w:r>
      <w:r>
        <w:rPr>
          <w:spacing w:val="9"/>
        </w:rPr>
        <w:t xml:space="preserve"> </w:t>
      </w:r>
      <w:r>
        <w:rPr>
          <w:spacing w:val="8"/>
        </w:rPr>
        <w:t>审核，提升绩效目标的编报质量，是预算编报过程中尤为重</w:t>
      </w:r>
      <w:r>
        <w:rPr>
          <w:spacing w:val="12"/>
        </w:rPr>
        <w:t xml:space="preserve"> </w:t>
      </w:r>
      <w:r>
        <w:rPr>
          <w:spacing w:val="12"/>
        </w:rPr>
        <w:t>要的环节。莫力达瓦达斡尔族自治旗</w:t>
      </w:r>
      <w:r>
        <w:rPr>
          <w:spacing w:val="-44"/>
        </w:rPr>
        <w:t xml:space="preserve"> </w:t>
      </w:r>
      <w:r>
        <w:rPr>
          <w:spacing w:val="12"/>
        </w:rPr>
        <w:t>2023</w:t>
      </w:r>
      <w:r>
        <w:rPr>
          <w:spacing w:val="-53"/>
        </w:rPr>
        <w:t xml:space="preserve"> </w:t>
      </w:r>
      <w:r>
        <w:rPr>
          <w:spacing w:val="11"/>
        </w:rPr>
        <w:t>年度旗本级各部</w:t>
      </w:r>
      <w:r>
        <w:rPr/>
        <w:t xml:space="preserve"> </w:t>
      </w:r>
      <w:r>
        <w:rPr>
          <w:spacing w:val="8"/>
        </w:rPr>
        <w:t>门各单位的项目支出以及部门（单位）整体支出预算项目绩</w:t>
      </w:r>
    </w:p>
    <w:p>
      <w:pPr>
        <w:pStyle w:val="BodyText"/>
        <w:ind w:left="35"/>
        <w:spacing w:before="1" w:line="219" w:lineRule="auto"/>
        <w:rPr/>
      </w:pPr>
      <w:r>
        <w:rPr>
          <w:spacing w:val="4"/>
        </w:rPr>
        <w:t>效目标在预算管理一体化系统中进行全覆盖管理，2023</w:t>
      </w:r>
      <w:r>
        <w:rPr>
          <w:spacing w:val="-46"/>
        </w:rPr>
        <w:t xml:space="preserve"> </w:t>
      </w:r>
      <w:r>
        <w:rPr>
          <w:spacing w:val="4"/>
        </w:rPr>
        <w:t>年已</w:t>
      </w:r>
    </w:p>
    <w:p>
      <w:pPr>
        <w:spacing w:line="219" w:lineRule="auto"/>
        <w:sectPr>
          <w:footerReference w:type="default" r:id="rId1"/>
          <w:pgSz w:w="11906" w:h="16839"/>
          <w:pgMar w:top="1431" w:right="1785" w:bottom="1123" w:left="1785" w:header="0" w:footer="843" w:gutter="0"/>
        </w:sectPr>
        <w:rPr/>
      </w:pPr>
    </w:p>
    <w:p>
      <w:pPr>
        <w:pStyle w:val="BodyText"/>
        <w:ind w:left="36" w:right="83" w:firstLine="7"/>
        <w:spacing w:before="162" w:line="372" w:lineRule="auto"/>
        <w:jc w:val="both"/>
        <w:rPr/>
      </w:pPr>
      <w:r>
        <w:rPr>
          <w:spacing w:val="11"/>
        </w:rPr>
        <w:t>完成包括部门预算项目、专项资金和部门整体共计</w:t>
      </w:r>
      <w:r>
        <w:rPr>
          <w:spacing w:val="-30"/>
        </w:rPr>
        <w:t xml:space="preserve"> </w:t>
      </w:r>
      <w:r>
        <w:rPr>
          <w:spacing w:val="11"/>
        </w:rPr>
        <w:t>2455</w:t>
      </w:r>
      <w:r>
        <w:rPr>
          <w:spacing w:val="-55"/>
        </w:rPr>
        <w:t xml:space="preserve"> </w:t>
      </w:r>
      <w:r>
        <w:rPr>
          <w:spacing w:val="11"/>
        </w:rPr>
        <w:t>个</w:t>
      </w:r>
      <w:r>
        <w:rPr/>
        <w:t xml:space="preserve"> </w:t>
      </w:r>
      <w:r>
        <w:rPr>
          <w:spacing w:val="9"/>
        </w:rPr>
        <w:t>绩效目标的填报工作，涉及</w:t>
      </w:r>
      <w:r>
        <w:rPr>
          <w:spacing w:val="-28"/>
        </w:rPr>
        <w:t xml:space="preserve"> </w:t>
      </w:r>
      <w:r>
        <w:rPr>
          <w:spacing w:val="9"/>
        </w:rPr>
        <w:t>177</w:t>
      </w:r>
      <w:r>
        <w:rPr>
          <w:spacing w:val="-54"/>
        </w:rPr>
        <w:t xml:space="preserve"> </w:t>
      </w:r>
      <w:r>
        <w:rPr>
          <w:spacing w:val="9"/>
        </w:rPr>
        <w:t>个预算单位和</w:t>
      </w:r>
      <w:r>
        <w:rPr>
          <w:spacing w:val="-41"/>
        </w:rPr>
        <w:t xml:space="preserve"> </w:t>
      </w:r>
      <w:r>
        <w:rPr>
          <w:spacing w:val="9"/>
        </w:rPr>
        <w:t>98</w:t>
      </w:r>
      <w:r>
        <w:rPr>
          <w:spacing w:val="-55"/>
        </w:rPr>
        <w:t xml:space="preserve"> </w:t>
      </w:r>
      <w:r>
        <w:rPr>
          <w:spacing w:val="9"/>
        </w:rPr>
        <w:t>个主管部</w:t>
      </w:r>
      <w:r>
        <w:rPr/>
        <w:t xml:space="preserve"> </w:t>
      </w:r>
      <w:r>
        <w:rPr>
          <w:spacing w:val="8"/>
        </w:rPr>
        <w:t>门。在各预算单位填报完成后出具绩效目标审核报告，应用</w:t>
      </w:r>
    </w:p>
    <w:p>
      <w:pPr>
        <w:pStyle w:val="BodyText"/>
        <w:ind w:left="41"/>
        <w:spacing w:line="220" w:lineRule="auto"/>
        <w:rPr/>
      </w:pPr>
      <w:r>
        <w:rPr>
          <w:spacing w:val="6"/>
        </w:rPr>
        <w:t>于之后的预算安排等工作。</w:t>
      </w:r>
    </w:p>
    <w:p>
      <w:pPr>
        <w:spacing w:line="275" w:lineRule="auto"/>
        <w:rPr>
          <w:rFonts w:ascii="Arial"/>
          <w:sz w:val="21"/>
        </w:rPr>
      </w:pPr>
      <w:r/>
    </w:p>
    <w:p>
      <w:pPr>
        <w:ind w:left="673"/>
        <w:spacing w:before="101" w:line="226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8"/>
        </w:rPr>
        <w:t>三、绩效评价提质增效</w:t>
      </w:r>
    </w:p>
    <w:p>
      <w:pPr>
        <w:pStyle w:val="BodyText"/>
        <w:ind w:left="30" w:firstLine="657"/>
        <w:spacing w:before="151" w:line="372" w:lineRule="auto"/>
        <w:rPr/>
      </w:pPr>
      <w:r>
        <w:rPr>
          <w:spacing w:val="7"/>
        </w:rPr>
        <w:t>1.绩效自评管理。预算部门项目支出绩效自评在预算管</w:t>
      </w:r>
      <w:r>
        <w:rPr>
          <w:spacing w:val="14"/>
        </w:rPr>
        <w:t xml:space="preserve"> </w:t>
      </w:r>
      <w:r>
        <w:rPr>
          <w:spacing w:val="9"/>
        </w:rPr>
        <w:t>理一体化系统中全覆盖管理，</w:t>
      </w:r>
      <w:r>
        <w:rPr>
          <w:spacing w:val="-69"/>
        </w:rPr>
        <w:t xml:space="preserve"> </w:t>
      </w:r>
      <w:r>
        <w:rPr>
          <w:spacing w:val="9"/>
        </w:rPr>
        <w:t>已完成</w:t>
      </w:r>
      <w:r>
        <w:rPr>
          <w:spacing w:val="-44"/>
        </w:rPr>
        <w:t xml:space="preserve"> </w:t>
      </w:r>
      <w:r>
        <w:rPr>
          <w:spacing w:val="9"/>
        </w:rPr>
        <w:t>2022</w:t>
      </w:r>
      <w:r>
        <w:rPr>
          <w:spacing w:val="-53"/>
        </w:rPr>
        <w:t xml:space="preserve"> </w:t>
      </w:r>
      <w:r>
        <w:rPr>
          <w:spacing w:val="9"/>
        </w:rPr>
        <w:t>年</w:t>
      </w:r>
      <w:r>
        <w:rPr>
          <w:spacing w:val="8"/>
        </w:rPr>
        <w:t>度部门预算项</w:t>
      </w:r>
      <w:r>
        <w:rPr/>
        <w:t xml:space="preserve"> </w:t>
      </w:r>
      <w:r>
        <w:rPr>
          <w:spacing w:val="3"/>
        </w:rPr>
        <w:t>目、专项资金和部门整体共计</w:t>
      </w:r>
      <w:r>
        <w:rPr>
          <w:spacing w:val="-25"/>
        </w:rPr>
        <w:t xml:space="preserve"> </w:t>
      </w:r>
      <w:r>
        <w:rPr>
          <w:spacing w:val="3"/>
        </w:rPr>
        <w:t>1649</w:t>
      </w:r>
      <w:r>
        <w:rPr>
          <w:spacing w:val="-59"/>
        </w:rPr>
        <w:t xml:space="preserve"> </w:t>
      </w:r>
      <w:r>
        <w:rPr>
          <w:spacing w:val="3"/>
        </w:rPr>
        <w:t>个绩效自评的填报工作，</w:t>
      </w:r>
      <w:r>
        <w:rPr/>
        <w:t xml:space="preserve"> </w:t>
      </w:r>
      <w:r>
        <w:rPr>
          <w:spacing w:val="9"/>
        </w:rPr>
        <w:t>涉及</w:t>
      </w:r>
      <w:r>
        <w:rPr>
          <w:spacing w:val="-22"/>
        </w:rPr>
        <w:t xml:space="preserve"> </w:t>
      </w:r>
      <w:r>
        <w:rPr>
          <w:spacing w:val="9"/>
        </w:rPr>
        <w:t>142</w:t>
      </w:r>
      <w:r>
        <w:rPr>
          <w:spacing w:val="-54"/>
        </w:rPr>
        <w:t xml:space="preserve"> </w:t>
      </w:r>
      <w:r>
        <w:rPr>
          <w:spacing w:val="9"/>
        </w:rPr>
        <w:t>个预算单位和</w:t>
      </w:r>
      <w:r>
        <w:rPr>
          <w:spacing w:val="-41"/>
        </w:rPr>
        <w:t xml:space="preserve"> </w:t>
      </w:r>
      <w:r>
        <w:rPr>
          <w:spacing w:val="9"/>
        </w:rPr>
        <w:t>89</w:t>
      </w:r>
      <w:r>
        <w:rPr>
          <w:spacing w:val="-53"/>
        </w:rPr>
        <w:t xml:space="preserve"> </w:t>
      </w:r>
      <w:r>
        <w:rPr>
          <w:spacing w:val="9"/>
        </w:rPr>
        <w:t>个主管部门，并采用抽查的形式</w:t>
      </w:r>
      <w:r>
        <w:rPr/>
        <w:t xml:space="preserve"> </w:t>
      </w:r>
      <w:r>
        <w:rPr>
          <w:spacing w:val="6"/>
        </w:rPr>
        <w:t>对</w:t>
      </w:r>
      <w:r>
        <w:rPr>
          <w:spacing w:val="-36"/>
        </w:rPr>
        <w:t xml:space="preserve"> </w:t>
      </w:r>
      <w:r>
        <w:rPr>
          <w:spacing w:val="6"/>
        </w:rPr>
        <w:t>35</w:t>
      </w:r>
      <w:r>
        <w:rPr>
          <w:spacing w:val="-62"/>
        </w:rPr>
        <w:t xml:space="preserve"> </w:t>
      </w:r>
      <w:r>
        <w:rPr>
          <w:spacing w:val="6"/>
        </w:rPr>
        <w:t>个单位</w:t>
      </w:r>
      <w:r>
        <w:rPr>
          <w:spacing w:val="-46"/>
        </w:rPr>
        <w:t xml:space="preserve"> </w:t>
      </w:r>
      <w:r>
        <w:rPr>
          <w:spacing w:val="6"/>
        </w:rPr>
        <w:t>96</w:t>
      </w:r>
      <w:r>
        <w:rPr>
          <w:spacing w:val="-62"/>
        </w:rPr>
        <w:t xml:space="preserve"> </w:t>
      </w:r>
      <w:r>
        <w:rPr>
          <w:spacing w:val="6"/>
        </w:rPr>
        <w:t>个项目进行了自评复核。2.重</w:t>
      </w:r>
      <w:r>
        <w:rPr>
          <w:spacing w:val="5"/>
        </w:rPr>
        <w:t>点绩效评价。</w:t>
      </w:r>
      <w:r>
        <w:rPr/>
        <w:t xml:space="preserve"> </w:t>
      </w:r>
      <w:r>
        <w:rPr>
          <w:spacing w:val="8"/>
        </w:rPr>
        <w:t>莫旗财政局通过与各部门各单位的沟通，组织第三方机构对</w:t>
      </w:r>
      <w:r>
        <w:rPr>
          <w:spacing w:val="18"/>
        </w:rPr>
        <w:t xml:space="preserve"> </w:t>
      </w:r>
      <w:r>
        <w:rPr>
          <w:spacing w:val="5"/>
        </w:rPr>
        <w:t>2022</w:t>
      </w:r>
      <w:r>
        <w:rPr>
          <w:spacing w:val="-56"/>
        </w:rPr>
        <w:t xml:space="preserve"> </w:t>
      </w:r>
      <w:r>
        <w:rPr>
          <w:spacing w:val="5"/>
        </w:rPr>
        <w:t>年度重点项目开展绩效评价工作，</w:t>
      </w:r>
      <w:r>
        <w:rPr>
          <w:spacing w:val="-67"/>
        </w:rPr>
        <w:t xml:space="preserve"> </w:t>
      </w:r>
      <w:r>
        <w:rPr>
          <w:spacing w:val="5"/>
        </w:rPr>
        <w:t>目前已出具</w:t>
      </w:r>
      <w:r>
        <w:rPr>
          <w:spacing w:val="-38"/>
        </w:rPr>
        <w:t xml:space="preserve"> </w:t>
      </w:r>
      <w:r>
        <w:rPr>
          <w:spacing w:val="5"/>
        </w:rPr>
        <w:t>1</w:t>
      </w:r>
      <w:r>
        <w:rPr>
          <w:spacing w:val="4"/>
        </w:rPr>
        <w:t>2</w:t>
      </w:r>
      <w:r>
        <w:rPr>
          <w:spacing w:val="-58"/>
        </w:rPr>
        <w:t xml:space="preserve"> </w:t>
      </w:r>
      <w:r>
        <w:rPr>
          <w:spacing w:val="4"/>
        </w:rPr>
        <w:t>个重</w:t>
      </w:r>
      <w:r>
        <w:rPr/>
        <w:t xml:space="preserve"> </w:t>
      </w:r>
      <w:r>
        <w:rPr>
          <w:spacing w:val="9"/>
        </w:rPr>
        <w:t>点项目的绩效评价报告，将健全绩效评价结果</w:t>
      </w:r>
      <w:r>
        <w:rPr>
          <w:spacing w:val="8"/>
        </w:rPr>
        <w:t>反馈制度和绩</w:t>
      </w:r>
    </w:p>
    <w:p>
      <w:pPr>
        <w:pStyle w:val="BodyText"/>
        <w:ind w:left="35"/>
        <w:spacing w:before="1" w:line="221" w:lineRule="auto"/>
        <w:rPr/>
      </w:pPr>
      <w:r>
        <w:rPr>
          <w:spacing w:val="8"/>
        </w:rPr>
        <w:t>效问题整改责任制，加强绩效评价结果应用。</w:t>
      </w:r>
    </w:p>
    <w:p>
      <w:pPr>
        <w:spacing w:line="273" w:lineRule="auto"/>
        <w:rPr>
          <w:rFonts w:ascii="Arial"/>
          <w:sz w:val="21"/>
        </w:rPr>
      </w:pPr>
      <w:r/>
    </w:p>
    <w:p>
      <w:pPr>
        <w:ind w:left="686"/>
        <w:spacing w:before="100" w:line="226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6"/>
        </w:rPr>
        <w:t>四、绩效评价提质增效</w:t>
      </w:r>
    </w:p>
    <w:p>
      <w:pPr>
        <w:pStyle w:val="BodyText"/>
        <w:ind w:left="26" w:right="81" w:firstLine="654"/>
        <w:spacing w:before="154" w:line="372" w:lineRule="auto"/>
        <w:rPr/>
      </w:pPr>
      <w:r>
        <w:rPr>
          <w:spacing w:val="8"/>
        </w:rPr>
        <w:t>莫旗财政局通过与各部门各单位的沟通，组织第三方机</w:t>
      </w:r>
      <w:r>
        <w:rPr>
          <w:spacing w:val="6"/>
        </w:rPr>
        <w:t xml:space="preserve"> </w:t>
      </w:r>
      <w:r>
        <w:rPr>
          <w:spacing w:val="7"/>
        </w:rPr>
        <w:t>构对</w:t>
      </w:r>
      <w:r>
        <w:rPr>
          <w:spacing w:val="-45"/>
        </w:rPr>
        <w:t xml:space="preserve"> </w:t>
      </w:r>
      <w:r>
        <w:rPr>
          <w:spacing w:val="7"/>
        </w:rPr>
        <w:t>2023</w:t>
      </w:r>
      <w:r>
        <w:rPr>
          <w:spacing w:val="-58"/>
        </w:rPr>
        <w:t xml:space="preserve"> </w:t>
      </w:r>
      <w:r>
        <w:rPr>
          <w:spacing w:val="7"/>
        </w:rPr>
        <w:t>年新项目独立开展绩效评估工作，重点论证立项</w:t>
      </w:r>
      <w:r>
        <w:rPr/>
        <w:t xml:space="preserve">  </w:t>
      </w:r>
      <w:r>
        <w:rPr>
          <w:spacing w:val="9"/>
        </w:rPr>
        <w:t>必要性、投入经济性、绩效目标合理性、实施方案可行</w:t>
      </w:r>
      <w:r>
        <w:rPr>
          <w:spacing w:val="8"/>
        </w:rPr>
        <w:t>性、</w:t>
      </w:r>
      <w:r>
        <w:rPr/>
        <w:t xml:space="preserve"> </w:t>
      </w:r>
      <w:r>
        <w:rPr>
          <w:spacing w:val="5"/>
        </w:rPr>
        <w:t>筹资合规性等。</w:t>
      </w:r>
      <w:r>
        <w:rPr>
          <w:spacing w:val="-55"/>
        </w:rPr>
        <w:t xml:space="preserve"> </w:t>
      </w:r>
      <w:r>
        <w:rPr>
          <w:spacing w:val="5"/>
        </w:rPr>
        <w:t>已出具两个项目的绩效评估报告，以评估结</w:t>
      </w:r>
    </w:p>
    <w:p>
      <w:pPr>
        <w:pStyle w:val="BodyText"/>
        <w:ind w:left="23"/>
        <w:spacing w:before="1" w:line="220" w:lineRule="auto"/>
        <w:rPr/>
      </w:pPr>
      <w:r>
        <w:rPr>
          <w:spacing w:val="9"/>
        </w:rPr>
        <w:t>果作为申请预算的必备条件以及预算安排的重要参考依据。</w:t>
      </w:r>
    </w:p>
    <w:p>
      <w:pPr>
        <w:ind w:left="675"/>
        <w:spacing w:before="253" w:line="226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8"/>
        </w:rPr>
        <w:t>五、全过程预算绩效结果应用</w:t>
      </w:r>
    </w:p>
    <w:p>
      <w:pPr>
        <w:spacing w:line="226" w:lineRule="auto"/>
        <w:sectPr>
          <w:footerReference w:type="default" r:id="rId2"/>
          <w:pgSz w:w="11906" w:h="16839"/>
          <w:pgMar w:top="1431" w:right="1718" w:bottom="1121" w:left="1785" w:header="0" w:footer="843" w:gutter="0"/>
        </w:sectPr>
        <w:rPr>
          <w:rFonts w:ascii="SimHei" w:hAnsi="SimHei" w:eastAsia="SimHei" w:cs="SimHei"/>
          <w:sz w:val="31"/>
          <w:szCs w:val="31"/>
        </w:rPr>
      </w:pPr>
    </w:p>
    <w:p>
      <w:pPr>
        <w:pStyle w:val="BodyText"/>
        <w:ind w:left="684"/>
        <w:spacing w:before="164" w:line="220" w:lineRule="auto"/>
        <w:rPr/>
      </w:pPr>
      <w:r>
        <w:rPr>
          <w:spacing w:val="8"/>
        </w:rPr>
        <w:t>我旗已经将完成的两个事前绩效评估结果作为预算安</w:t>
      </w:r>
    </w:p>
    <w:p>
      <w:pPr>
        <w:pStyle w:val="BodyText"/>
        <w:ind w:left="22" w:right="16" w:firstLine="7"/>
        <w:spacing w:before="252" w:line="372" w:lineRule="auto"/>
        <w:rPr/>
      </w:pPr>
      <w:r>
        <w:rPr>
          <w:spacing w:val="8"/>
        </w:rPr>
        <w:t>排的重要参考依据的，无存在严重问题的政策、项目，绩效</w:t>
      </w:r>
      <w:r>
        <w:rPr>
          <w:spacing w:val="18"/>
        </w:rPr>
        <w:t xml:space="preserve"> </w:t>
      </w:r>
      <w:r>
        <w:rPr>
          <w:spacing w:val="9"/>
        </w:rPr>
        <w:t>评价结果已经发文通知各预算单位针对重点项目进行整改，</w:t>
      </w:r>
      <w:r>
        <w:rPr/>
        <w:t xml:space="preserve"> </w:t>
      </w:r>
      <w:r>
        <w:rPr>
          <w:spacing w:val="9"/>
        </w:rPr>
        <w:t>根据评级对下一年度的预算安排进行调节，做到评价结果有</w:t>
      </w:r>
    </w:p>
    <w:p>
      <w:pPr>
        <w:pStyle w:val="BodyText"/>
        <w:ind w:left="34"/>
        <w:spacing w:before="1" w:line="223" w:lineRule="auto"/>
        <w:rPr/>
      </w:pPr>
      <w:r>
        <w:rPr>
          <w:spacing w:val="-1"/>
        </w:rPr>
        <w:t>应用。</w:t>
      </w:r>
    </w:p>
    <w:p>
      <w:pPr>
        <w:ind w:left="677"/>
        <w:spacing w:before="247" w:line="226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8"/>
        </w:rPr>
        <w:t>六、绩效信息报送人大情况</w:t>
      </w:r>
    </w:p>
    <w:p>
      <w:pPr>
        <w:pStyle w:val="BodyText"/>
        <w:ind w:left="684"/>
        <w:spacing w:before="241" w:line="224" w:lineRule="auto"/>
        <w:rPr/>
      </w:pPr>
      <w:r>
        <w:rPr>
          <w:spacing w:val="8"/>
        </w:rPr>
        <w:t>我旗财政已将重要绩效目标与年度预算草案同步报送</w:t>
      </w:r>
    </w:p>
    <w:p>
      <w:pPr>
        <w:pStyle w:val="BodyText"/>
        <w:ind w:left="59"/>
        <w:spacing w:before="247" w:line="628" w:lineRule="exact"/>
        <w:rPr/>
      </w:pPr>
      <w:r>
        <w:rPr>
          <w:spacing w:val="7"/>
          <w:position w:val="23"/>
        </w:rPr>
        <w:t>同级人大，我旗已将绩效评价结果与决算草案同步报送同级</w:t>
      </w:r>
    </w:p>
    <w:p>
      <w:pPr>
        <w:pStyle w:val="BodyText"/>
        <w:ind w:left="29"/>
        <w:spacing w:before="2" w:line="221" w:lineRule="auto"/>
        <w:rPr/>
      </w:pPr>
      <w:r>
        <w:rPr>
          <w:spacing w:val="4"/>
        </w:rPr>
        <w:t>人大参阅。</w:t>
      </w:r>
    </w:p>
    <w:sectPr>
      <w:footerReference w:type="default" r:id="rId3"/>
      <w:pgSz w:w="11906" w:h="16839"/>
      <w:pgMar w:top="1431" w:right="1785" w:bottom="1121" w:left="1785" w:header="0" w:footer="843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3826"/>
      <w:spacing w:line="177" w:lineRule="auto"/>
      <w:rPr>
        <w:rFonts w:ascii="SimSun" w:hAnsi="SimSun" w:eastAsia="SimSun" w:cs="SimSun"/>
        <w:sz w:val="28"/>
        <w:szCs w:val="28"/>
      </w:rPr>
    </w:pPr>
    <w:r>
      <w:rPr>
        <w:rFonts w:ascii="SimSun" w:hAnsi="SimSun" w:eastAsia="SimSun" w:cs="SimSun"/>
        <w:sz w:val="28"/>
        <w:szCs w:val="28"/>
        <w:spacing w:val="-14"/>
      </w:rPr>
      <w:t>-</w:t>
    </w:r>
    <w:r>
      <w:rPr>
        <w:rFonts w:ascii="SimSun" w:hAnsi="SimSun" w:eastAsia="SimSun" w:cs="SimSun"/>
        <w:sz w:val="28"/>
        <w:szCs w:val="28"/>
        <w:spacing w:val="31"/>
      </w:rPr>
      <w:t xml:space="preserve"> </w:t>
    </w:r>
    <w:r>
      <w:rPr>
        <w:rFonts w:ascii="SimSun" w:hAnsi="SimSun" w:eastAsia="SimSun" w:cs="SimSun"/>
        <w:sz w:val="28"/>
        <w:szCs w:val="28"/>
        <w:spacing w:val="-14"/>
      </w:rPr>
      <w:t>1</w:t>
    </w:r>
    <w:r>
      <w:rPr>
        <w:rFonts w:ascii="SimSun" w:hAnsi="SimSun" w:eastAsia="SimSun" w:cs="SimSun"/>
        <w:sz w:val="28"/>
        <w:szCs w:val="28"/>
        <w:spacing w:val="9"/>
      </w:rPr>
      <w:t xml:space="preserve"> </w:t>
    </w:r>
    <w:r>
      <w:rPr>
        <w:rFonts w:ascii="SimSun" w:hAnsi="SimSun" w:eastAsia="SimSun" w:cs="SimSun"/>
        <w:sz w:val="28"/>
        <w:szCs w:val="28"/>
        <w:spacing w:val="-14"/>
      </w:rPr>
      <w:t>-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3826"/>
      <w:spacing w:before="1" w:line="176" w:lineRule="auto"/>
      <w:rPr>
        <w:rFonts w:ascii="SimSun" w:hAnsi="SimSun" w:eastAsia="SimSun" w:cs="SimSun"/>
        <w:sz w:val="28"/>
        <w:szCs w:val="28"/>
      </w:rPr>
    </w:pPr>
    <w:r>
      <w:rPr>
        <w:rFonts w:ascii="SimSun" w:hAnsi="SimSun" w:eastAsia="SimSun" w:cs="SimSun"/>
        <w:sz w:val="28"/>
        <w:szCs w:val="28"/>
        <w:spacing w:val="-8"/>
      </w:rPr>
      <w:t>-</w:t>
    </w:r>
    <w:r>
      <w:rPr>
        <w:rFonts w:ascii="SimSun" w:hAnsi="SimSun" w:eastAsia="SimSun" w:cs="SimSun"/>
        <w:sz w:val="28"/>
        <w:szCs w:val="28"/>
        <w:spacing w:val="13"/>
      </w:rPr>
      <w:t xml:space="preserve"> </w:t>
    </w:r>
    <w:r>
      <w:rPr>
        <w:rFonts w:ascii="SimSun" w:hAnsi="SimSun" w:eastAsia="SimSun" w:cs="SimSun"/>
        <w:sz w:val="28"/>
        <w:szCs w:val="28"/>
        <w:spacing w:val="-8"/>
      </w:rPr>
      <w:t>2</w:t>
    </w:r>
    <w:r>
      <w:rPr>
        <w:rFonts w:ascii="SimSun" w:hAnsi="SimSun" w:eastAsia="SimSun" w:cs="SimSun"/>
        <w:sz w:val="28"/>
        <w:szCs w:val="28"/>
        <w:spacing w:val="9"/>
      </w:rPr>
      <w:t xml:space="preserve"> </w:t>
    </w:r>
    <w:r>
      <w:rPr>
        <w:rFonts w:ascii="SimSun" w:hAnsi="SimSun" w:eastAsia="SimSun" w:cs="SimSun"/>
        <w:sz w:val="28"/>
        <w:szCs w:val="28"/>
        <w:spacing w:val="-8"/>
      </w:rPr>
      <w:t>-</w: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3826"/>
      <w:spacing w:before="1" w:line="176" w:lineRule="auto"/>
      <w:rPr>
        <w:rFonts w:ascii="SimSun" w:hAnsi="SimSun" w:eastAsia="SimSun" w:cs="SimSun"/>
        <w:sz w:val="28"/>
        <w:szCs w:val="28"/>
      </w:rPr>
    </w:pPr>
    <w:r>
      <w:rPr>
        <w:rFonts w:ascii="SimSun" w:hAnsi="SimSun" w:eastAsia="SimSun" w:cs="SimSun"/>
        <w:sz w:val="28"/>
        <w:szCs w:val="28"/>
        <w:spacing w:val="-9"/>
      </w:rPr>
      <w:t>-</w:t>
    </w:r>
    <w:r>
      <w:rPr>
        <w:rFonts w:ascii="SimSun" w:hAnsi="SimSun" w:eastAsia="SimSun" w:cs="SimSun"/>
        <w:sz w:val="28"/>
        <w:szCs w:val="28"/>
        <w:spacing w:val="16"/>
      </w:rPr>
      <w:t xml:space="preserve"> </w:t>
    </w:r>
    <w:r>
      <w:rPr>
        <w:rFonts w:ascii="SimSun" w:hAnsi="SimSun" w:eastAsia="SimSun" w:cs="SimSun"/>
        <w:sz w:val="28"/>
        <w:szCs w:val="28"/>
        <w:spacing w:val="-9"/>
      </w:rPr>
      <w:t>3</w:t>
    </w:r>
    <w:r>
      <w:rPr>
        <w:rFonts w:ascii="SimSun" w:hAnsi="SimSun" w:eastAsia="SimSun" w:cs="SimSun"/>
        <w:sz w:val="28"/>
        <w:szCs w:val="28"/>
        <w:spacing w:val="9"/>
      </w:rPr>
      <w:t xml:space="preserve"> </w:t>
    </w:r>
    <w:r>
      <w:rPr>
        <w:rFonts w:ascii="SimSun" w:hAnsi="SimSun" w:eastAsia="SimSun" w:cs="SimSun"/>
        <w:sz w:val="28"/>
        <w:szCs w:val="28"/>
        <w:spacing w:val="-9"/>
      </w:rPr>
      <w:t>-</w:t>
    </w:r>
  </w:p>
</w:ft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FangSong" w:hAnsi="FangSong" w:eastAsia="FangSong" w:cs="FangSong"/>
      <w:sz w:val="31"/>
      <w:szCs w:val="3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styles" Target="styles.xml"/><Relationship Id="rId4" Type="http://schemas.openxmlformats.org/officeDocument/2006/relationships/settings" Target="settings.xml"/><Relationship Id="rId3" Type="http://schemas.openxmlformats.org/officeDocument/2006/relationships/footer" Target="footer3.xml"/><Relationship Id="rId2" Type="http://schemas.openxmlformats.org/officeDocument/2006/relationships/footer" Target="footer2.xml"/><Relationship Id="rId1" Type="http://schemas.openxmlformats.org/officeDocument/2006/relationships/footer" Target="foot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WPS 文字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terms:created xsi:type="dcterms:W3CDTF">2024-02-07T11:55:10Z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2024-04-18T11:50:39</vt:filetime>
  </property>
</Properties>
</file>