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ind w:left="1057"/>
        <w:spacing w:before="140" w:line="603" w:lineRule="exact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2024</w:t>
      </w:r>
      <w:r>
        <w:rPr>
          <w:rFonts w:ascii="SimSun" w:hAnsi="SimSun" w:eastAsia="SimSun" w:cs="SimSun"/>
          <w:sz w:val="43"/>
          <w:szCs w:val="43"/>
          <w:spacing w:val="-82"/>
          <w:position w:val="3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年国有资本经营预算编制说明</w:t>
      </w:r>
    </w:p>
    <w:p>
      <w:pPr>
        <w:spacing w:line="299" w:lineRule="auto"/>
        <w:rPr>
          <w:rFonts w:ascii="Arial"/>
          <w:sz w:val="21"/>
        </w:rPr>
      </w:pPr>
      <w:r/>
    </w:p>
    <w:p>
      <w:pPr>
        <w:spacing w:line="300" w:lineRule="auto"/>
        <w:rPr>
          <w:rFonts w:ascii="Arial"/>
          <w:sz w:val="21"/>
        </w:rPr>
      </w:pPr>
      <w:r/>
    </w:p>
    <w:p>
      <w:pPr>
        <w:pStyle w:val="BodyText"/>
        <w:ind w:left="21" w:right="9" w:firstLine="627"/>
        <w:spacing w:before="101" w:line="343" w:lineRule="auto"/>
        <w:jc w:val="both"/>
        <w:rPr/>
      </w:pPr>
      <w:r>
        <w:rPr>
          <w:spacing w:val="4"/>
        </w:rPr>
        <w:t>2024</w:t>
      </w:r>
      <w:r>
        <w:rPr>
          <w:spacing w:val="-59"/>
        </w:rPr>
        <w:t xml:space="preserve"> </w:t>
      </w:r>
      <w:r>
        <w:rPr>
          <w:spacing w:val="4"/>
        </w:rPr>
        <w:t>年，国有资本经营收入预算安排</w:t>
      </w:r>
      <w:r>
        <w:rPr>
          <w:spacing w:val="-35"/>
        </w:rPr>
        <w:t xml:space="preserve"> </w:t>
      </w:r>
      <w:r>
        <w:rPr>
          <w:spacing w:val="4"/>
        </w:rPr>
        <w:t>3</w:t>
      </w:r>
      <w:r>
        <w:rPr>
          <w:spacing w:val="3"/>
        </w:rPr>
        <w:t>9</w:t>
      </w:r>
      <w:r>
        <w:rPr>
          <w:spacing w:val="-45"/>
        </w:rPr>
        <w:t xml:space="preserve"> </w:t>
      </w:r>
      <w:r>
        <w:rPr>
          <w:spacing w:val="3"/>
        </w:rPr>
        <w:t>万元，其中旗本级</w:t>
      </w:r>
      <w:r>
        <w:rPr/>
        <w:t xml:space="preserve"> </w:t>
      </w:r>
      <w:r>
        <w:rPr>
          <w:spacing w:val="2"/>
        </w:rPr>
        <w:t>收入</w:t>
      </w:r>
      <w:r>
        <w:rPr>
          <w:spacing w:val="-36"/>
        </w:rPr>
        <w:t xml:space="preserve"> </w:t>
      </w:r>
      <w:r>
        <w:rPr>
          <w:spacing w:val="2"/>
        </w:rPr>
        <w:t>30</w:t>
      </w:r>
      <w:r>
        <w:rPr>
          <w:spacing w:val="-47"/>
        </w:rPr>
        <w:t xml:space="preserve"> </w:t>
      </w:r>
      <w:r>
        <w:rPr>
          <w:spacing w:val="2"/>
        </w:rPr>
        <w:t>万元,收入来源是国有企业预缴利润收入；</w:t>
      </w:r>
      <w:r>
        <w:rPr>
          <w:spacing w:val="1"/>
        </w:rPr>
        <w:t>上年结转专项</w:t>
      </w:r>
    </w:p>
    <w:p>
      <w:pPr>
        <w:pStyle w:val="BodyText"/>
        <w:ind w:left="12"/>
        <w:spacing w:line="226" w:lineRule="auto"/>
        <w:rPr/>
      </w:pPr>
      <w:r>
        <w:rPr>
          <w:spacing w:val="-9"/>
        </w:rPr>
        <w:t>9</w:t>
      </w:r>
      <w:r>
        <w:rPr>
          <w:spacing w:val="-45"/>
        </w:rPr>
        <w:t xml:space="preserve"> </w:t>
      </w:r>
      <w:r>
        <w:rPr>
          <w:spacing w:val="-9"/>
        </w:rPr>
        <w:t>万元。</w:t>
      </w:r>
    </w:p>
    <w:p>
      <w:pPr>
        <w:pStyle w:val="BodyText"/>
        <w:ind w:left="1" w:firstLine="681"/>
        <w:spacing w:before="196" w:line="343" w:lineRule="auto"/>
        <w:jc w:val="both"/>
        <w:rPr/>
      </w:pPr>
      <w:r>
        <w:rPr>
          <w:spacing w:val="8"/>
        </w:rPr>
        <w:t>按照</w:t>
      </w:r>
      <w:r>
        <w:rPr>
          <w:spacing w:val="-81"/>
        </w:rPr>
        <w:t xml:space="preserve"> </w:t>
      </w:r>
      <w:r>
        <w:rPr>
          <w:spacing w:val="8"/>
        </w:rPr>
        <w:t>“</w:t>
      </w:r>
      <w:r>
        <w:rPr>
          <w:spacing w:val="-77"/>
        </w:rPr>
        <w:t xml:space="preserve"> </w:t>
      </w:r>
      <w:r>
        <w:rPr>
          <w:spacing w:val="8"/>
        </w:rPr>
        <w:t>以收定支</w:t>
      </w:r>
      <w:r>
        <w:rPr>
          <w:spacing w:val="-92"/>
        </w:rPr>
        <w:t xml:space="preserve"> </w:t>
      </w:r>
      <w:r>
        <w:rPr>
          <w:spacing w:val="8"/>
        </w:rPr>
        <w:t>、</w:t>
      </w:r>
      <w:r>
        <w:rPr>
          <w:spacing w:val="-92"/>
        </w:rPr>
        <w:t xml:space="preserve"> </w:t>
      </w:r>
      <w:r>
        <w:rPr>
          <w:spacing w:val="8"/>
        </w:rPr>
        <w:t>统筹兼顾</w:t>
      </w:r>
      <w:r>
        <w:rPr>
          <w:spacing w:val="-92"/>
        </w:rPr>
        <w:t xml:space="preserve"> </w:t>
      </w:r>
      <w:r>
        <w:rPr>
          <w:spacing w:val="8"/>
        </w:rPr>
        <w:t>、</w:t>
      </w:r>
      <w:r>
        <w:rPr>
          <w:spacing w:val="-92"/>
        </w:rPr>
        <w:t xml:space="preserve"> </w:t>
      </w:r>
      <w:r>
        <w:rPr>
          <w:spacing w:val="8"/>
        </w:rPr>
        <w:t>突出重点</w:t>
      </w:r>
      <w:r>
        <w:rPr>
          <w:spacing w:val="-110"/>
        </w:rPr>
        <w:t xml:space="preserve"> </w:t>
      </w:r>
      <w:r>
        <w:rPr>
          <w:spacing w:val="8"/>
        </w:rPr>
        <w:t>”</w:t>
      </w:r>
      <w:r>
        <w:rPr>
          <w:spacing w:val="-106"/>
        </w:rPr>
        <w:t xml:space="preserve"> </w:t>
      </w:r>
      <w:r>
        <w:rPr>
          <w:spacing w:val="8"/>
        </w:rPr>
        <w:t>的原则，2</w:t>
      </w:r>
      <w:r>
        <w:rPr>
          <w:spacing w:val="7"/>
        </w:rPr>
        <w:t>024</w:t>
      </w:r>
      <w:r>
        <w:rPr/>
        <w:t xml:space="preserve"> </w:t>
      </w:r>
      <w:r>
        <w:rPr>
          <w:spacing w:val="-2"/>
        </w:rPr>
        <w:t>年国有资本经营支出安排</w:t>
      </w:r>
      <w:r>
        <w:rPr>
          <w:spacing w:val="-40"/>
        </w:rPr>
        <w:t xml:space="preserve"> </w:t>
      </w:r>
      <w:r>
        <w:rPr>
          <w:spacing w:val="-2"/>
        </w:rPr>
        <w:t>39</w:t>
      </w:r>
      <w:r>
        <w:rPr>
          <w:spacing w:val="-56"/>
        </w:rPr>
        <w:t xml:space="preserve"> </w:t>
      </w:r>
      <w:r>
        <w:rPr>
          <w:spacing w:val="-2"/>
        </w:rPr>
        <w:t>万元，本级收入用于补充国有企业注</w:t>
      </w:r>
    </w:p>
    <w:p>
      <w:pPr>
        <w:pStyle w:val="BodyText"/>
        <w:spacing w:before="1" w:line="218" w:lineRule="auto"/>
        <w:rPr/>
      </w:pPr>
      <w:r>
        <w:rPr>
          <w:spacing w:val="-3"/>
        </w:rPr>
        <w:t>册资本金，结转专项按照规定用途使用。</w:t>
      </w:r>
    </w:p>
    <w:sectPr>
      <w:footerReference w:type="default" r:id="rId1"/>
      <w:pgSz w:w="11906" w:h="16839"/>
      <w:pgMar w:top="1431" w:right="1463" w:bottom="1496" w:left="1603" w:header="0" w:footer="122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4064"/>
      <w:spacing w:line="173" w:lineRule="auto"/>
      <w:rPr>
        <w:sz w:val="28"/>
        <w:szCs w:val="28"/>
      </w:rPr>
    </w:pPr>
    <w:r>
      <w:rPr>
        <w:sz w:val="28"/>
        <w:szCs w:val="28"/>
        <w:spacing w:val="-13"/>
      </w:rPr>
      <w:t>-</w:t>
    </w:r>
    <w:r>
      <w:rPr>
        <w:sz w:val="28"/>
        <w:szCs w:val="28"/>
        <w:spacing w:val="30"/>
      </w:rPr>
      <w:t xml:space="preserve"> </w:t>
    </w:r>
    <w:r>
      <w:rPr>
        <w:sz w:val="28"/>
        <w:szCs w:val="28"/>
        <w:spacing w:val="-13"/>
      </w:rPr>
      <w:t>1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3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呼伦贝尔市人民政府关于2016年预算执行</dc:title>
  <dc:creator>Administrator</dc:creator>
  <dcterms:created xsi:type="dcterms:W3CDTF">2024-02-07T11:54:21Z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2024-04-18T11:50:35</vt:filetime>
  </property>
</Properties>
</file>