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74" w:lineRule="auto"/>
        <w:rPr>
          <w:rFonts w:ascii="Arial"/>
          <w:sz w:val="21"/>
        </w:rPr>
      </w:pPr>
      <w:r/>
    </w:p>
    <w:p>
      <w:pPr>
        <w:spacing w:line="274" w:lineRule="auto"/>
        <w:rPr>
          <w:rFonts w:ascii="Arial"/>
          <w:sz w:val="21"/>
        </w:rPr>
      </w:pPr>
      <w:r/>
    </w:p>
    <w:p>
      <w:pPr>
        <w:ind w:left="817"/>
        <w:spacing w:before="140" w:line="602" w:lineRule="exact"/>
        <w:outlineLvl w:val="0"/>
        <w:rPr>
          <w:rFonts w:ascii="SimSun" w:hAnsi="SimSun" w:eastAsia="SimSun" w:cs="SimSun"/>
          <w:sz w:val="43"/>
          <w:szCs w:val="43"/>
        </w:rPr>
      </w:pP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2024</w:t>
      </w:r>
      <w:r>
        <w:rPr>
          <w:rFonts w:ascii="SimSun" w:hAnsi="SimSun" w:eastAsia="SimSun" w:cs="SimSun"/>
          <w:sz w:val="43"/>
          <w:szCs w:val="43"/>
          <w:spacing w:val="-82"/>
          <w:position w:val="3"/>
        </w:rPr>
        <w:t xml:space="preserve"> </w:t>
      </w:r>
      <w:r>
        <w:rPr>
          <w:rFonts w:ascii="SimSun" w:hAnsi="SimSun" w:eastAsia="SimSun" w:cs="SimSun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lim="0"/>
          </w14:textOutline>
          <w:spacing w:val="7"/>
          <w:position w:val="3"/>
        </w:rPr>
        <w:t>年社会保险基金预算编制说明</w:t>
      </w:r>
    </w:p>
    <w:p>
      <w:pPr>
        <w:spacing w:line="309" w:lineRule="auto"/>
        <w:rPr>
          <w:rFonts w:ascii="Arial"/>
          <w:sz w:val="21"/>
        </w:rPr>
      </w:pPr>
      <w:r/>
    </w:p>
    <w:p>
      <w:pPr>
        <w:spacing w:line="310" w:lineRule="auto"/>
        <w:rPr>
          <w:rFonts w:ascii="Arial"/>
          <w:sz w:val="21"/>
        </w:rPr>
      </w:pPr>
      <w:r/>
    </w:p>
    <w:p>
      <w:pPr>
        <w:pStyle w:val="BodyText"/>
        <w:ind w:left="51" w:firstLine="612"/>
        <w:spacing w:before="101" w:line="357" w:lineRule="auto"/>
        <w:jc w:val="both"/>
        <w:rPr/>
      </w:pPr>
      <w:r>
        <w:rPr>
          <w:spacing w:val="2"/>
        </w:rPr>
        <w:t>根据《中华人民共和国社会保险法》（2010</w:t>
      </w:r>
      <w:r>
        <w:rPr>
          <w:spacing w:val="-59"/>
        </w:rPr>
        <w:t xml:space="preserve"> </w:t>
      </w:r>
      <w:r>
        <w:rPr>
          <w:spacing w:val="2"/>
        </w:rPr>
        <w:t>年主席令第</w:t>
      </w:r>
      <w:r>
        <w:rPr/>
        <w:t xml:space="preserve">  </w:t>
      </w:r>
      <w:r>
        <w:rPr>
          <w:spacing w:val="-4"/>
        </w:rPr>
        <w:t>35</w:t>
      </w:r>
      <w:r>
        <w:rPr>
          <w:spacing w:val="-49"/>
        </w:rPr>
        <w:t xml:space="preserve"> </w:t>
      </w:r>
      <w:r>
        <w:rPr>
          <w:spacing w:val="-4"/>
        </w:rPr>
        <w:t>号）《关于试行社会保险基金预算的意见》（国发〔2010〕</w:t>
      </w:r>
    </w:p>
    <w:p>
      <w:pPr>
        <w:pStyle w:val="BodyText"/>
        <w:ind w:right="3"/>
        <w:spacing w:line="221" w:lineRule="auto"/>
        <w:jc w:val="right"/>
        <w:rPr/>
      </w:pPr>
      <w:r>
        <w:rPr>
          <w:spacing w:val="5"/>
        </w:rPr>
        <w:t>2</w:t>
      </w:r>
      <w:r>
        <w:rPr>
          <w:spacing w:val="-39"/>
        </w:rPr>
        <w:t xml:space="preserve"> </w:t>
      </w:r>
      <w:r>
        <w:rPr>
          <w:spacing w:val="5"/>
        </w:rPr>
        <w:t>号）等有关规定和要求，编制</w:t>
      </w:r>
      <w:r>
        <w:rPr>
          <w:spacing w:val="-49"/>
        </w:rPr>
        <w:t xml:space="preserve"> </w:t>
      </w:r>
      <w:r>
        <w:rPr>
          <w:spacing w:val="5"/>
        </w:rPr>
        <w:t>2024</w:t>
      </w:r>
      <w:r>
        <w:rPr>
          <w:spacing w:val="-58"/>
        </w:rPr>
        <w:t xml:space="preserve"> </w:t>
      </w:r>
      <w:r>
        <w:rPr>
          <w:spacing w:val="5"/>
        </w:rPr>
        <w:t>年社会保险基金预算。</w:t>
      </w:r>
    </w:p>
    <w:p>
      <w:pPr>
        <w:pStyle w:val="BodyText"/>
        <w:ind w:left="34" w:right="87" w:firstLine="634"/>
        <w:spacing w:before="209" w:line="343" w:lineRule="auto"/>
        <w:jc w:val="both"/>
        <w:rPr/>
      </w:pPr>
      <w:r>
        <w:rPr>
          <w:spacing w:val="8"/>
        </w:rPr>
        <w:t>按照统筹级次，医疗保险基金由市级统筹，工伤保险通</w:t>
      </w:r>
      <w:r>
        <w:rPr>
          <w:spacing w:val="16"/>
        </w:rPr>
        <w:t xml:space="preserve"> </w:t>
      </w:r>
      <w:r>
        <w:rPr>
          <w:spacing w:val="8"/>
        </w:rPr>
        <w:t>过自治区调剂金实行省级统筹，企业职工基本养老保险实行</w:t>
      </w:r>
      <w:r>
        <w:rPr>
          <w:spacing w:val="16"/>
        </w:rPr>
        <w:t xml:space="preserve"> </w:t>
      </w:r>
      <w:r>
        <w:rPr>
          <w:spacing w:val="9"/>
        </w:rPr>
        <w:t>统收统支形式的省级统筹，</w:t>
      </w:r>
      <w:r>
        <w:rPr>
          <w:spacing w:val="-79"/>
        </w:rPr>
        <w:t xml:space="preserve"> </w:t>
      </w:r>
      <w:r>
        <w:rPr>
          <w:spacing w:val="9"/>
        </w:rPr>
        <w:t>因此我旗</w:t>
      </w:r>
      <w:r>
        <w:rPr>
          <w:spacing w:val="-43"/>
        </w:rPr>
        <w:t xml:space="preserve"> </w:t>
      </w:r>
      <w:r>
        <w:rPr>
          <w:spacing w:val="9"/>
        </w:rPr>
        <w:t>2024</w:t>
      </w:r>
      <w:r>
        <w:rPr>
          <w:spacing w:val="-54"/>
        </w:rPr>
        <w:t xml:space="preserve"> </w:t>
      </w:r>
      <w:r>
        <w:rPr>
          <w:spacing w:val="9"/>
        </w:rPr>
        <w:t>年社会保险基金</w:t>
      </w:r>
      <w:r>
        <w:rPr/>
        <w:t xml:space="preserve"> </w:t>
      </w:r>
      <w:r>
        <w:rPr>
          <w:spacing w:val="8"/>
        </w:rPr>
        <w:t>收支预算只安排机关事业单位和城乡居民基本养老保险。收</w:t>
      </w:r>
    </w:p>
    <w:p>
      <w:pPr>
        <w:pStyle w:val="BodyText"/>
        <w:ind w:left="29"/>
        <w:spacing w:before="1" w:line="221" w:lineRule="auto"/>
        <w:rPr/>
      </w:pPr>
      <w:r>
        <w:rPr>
          <w:spacing w:val="3"/>
        </w:rPr>
        <w:t>入支出预算安排均为</w:t>
      </w:r>
      <w:r>
        <w:rPr>
          <w:spacing w:val="-37"/>
        </w:rPr>
        <w:t xml:space="preserve"> </w:t>
      </w:r>
      <w:r>
        <w:rPr>
          <w:spacing w:val="3"/>
        </w:rPr>
        <w:t>64,759</w:t>
      </w:r>
      <w:r>
        <w:rPr>
          <w:spacing w:val="-45"/>
        </w:rPr>
        <w:t xml:space="preserve"> </w:t>
      </w:r>
      <w:r>
        <w:rPr>
          <w:spacing w:val="3"/>
        </w:rPr>
        <w:t>万元。</w:t>
      </w:r>
    </w:p>
    <w:sectPr>
      <w:pgSz w:w="11906" w:h="16839"/>
      <w:pgMar w:top="1431" w:right="1711" w:bottom="0" w:left="1785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WPS 文字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2021年社会保险基金预算编制基本情况</dc:title>
  <dc:creator>范珂萌(范珂萌:会签处室内部运转)</dc:creator>
  <dcterms:created xsi:type="dcterms:W3CDTF">2024-02-07T11:54:03Z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2024-04-18T11:50:34</vt:filetime>
  </property>
</Properties>
</file>