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03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关于</w:t>
      </w:r>
      <w:r>
        <w:rPr>
          <w:rFonts w:ascii="SimSun" w:hAnsi="SimSun" w:eastAsia="SimSun" w:cs="SimSun"/>
          <w:sz w:val="43"/>
          <w:szCs w:val="43"/>
          <w:spacing w:val="-62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2023</w:t>
      </w:r>
      <w:r>
        <w:rPr>
          <w:rFonts w:ascii="SimSun" w:hAnsi="SimSun" w:eastAsia="SimSun" w:cs="SimSun"/>
          <w:sz w:val="43"/>
          <w:szCs w:val="43"/>
          <w:spacing w:val="-82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7972" w14:cap="sq" w14:cmpd="sng">
            <w14:solidFill>
              <w14:srgbClr w14:val="000000"/>
            </w14:solidFill>
            <w14:prstDash w14:val="solid"/>
            <w14:bevel/>
          </w14:textOutline>
          <w:spacing w:val="6"/>
        </w:rPr>
        <w:t>年财政转移支付安排情况的说明</w:t>
      </w:r>
    </w:p>
    <w:p>
      <w:pPr>
        <w:spacing w:line="343" w:lineRule="auto"/>
        <w:rPr>
          <w:rFonts w:ascii="Arial"/>
          <w:sz w:val="21"/>
        </w:rPr>
      </w:pPr>
      <w:r/>
    </w:p>
    <w:p>
      <w:pPr>
        <w:spacing w:line="343" w:lineRule="auto"/>
        <w:rPr>
          <w:rFonts w:ascii="Arial"/>
          <w:sz w:val="21"/>
        </w:rPr>
      </w:pPr>
      <w:r/>
    </w:p>
    <w:p>
      <w:pPr>
        <w:ind w:right="11"/>
        <w:spacing w:before="101" w:line="219" w:lineRule="auto"/>
        <w:jc w:val="righ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我旗作为基层旗县，无对下税收返还和转移支付支出。</w:t>
      </w:r>
    </w:p>
    <w:sectPr>
      <w:footerReference w:type="default" r:id="rId1"/>
      <w:pgSz w:w="11906" w:h="16839"/>
      <w:pgMar w:top="1431" w:right="1785" w:bottom="1377" w:left="1785" w:header="0" w:footer="121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35"/>
      <w:spacing w:line="168" w:lineRule="auto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dcterms:created xsi:type="dcterms:W3CDTF">2023-04-04T16:22:34Z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2024-04-18T11:37:55</vt:filetime>
  </property>
</Properties>
</file>