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jc w:val="center"/>
        <w:rPr>
          <w:rFonts w:hint="eastAsia" w:ascii="方正小标宋简体" w:hAnsi="方正小标宋简体" w:eastAsia="方正小标宋简体" w:cs="方正小标宋简体"/>
          <w:i w:val="0"/>
          <w:iCs w:val="0"/>
          <w:color w:val="000000"/>
          <w:kern w:val="0"/>
          <w:sz w:val="44"/>
          <w:szCs w:val="44"/>
          <w:u w:val="none"/>
          <w:lang w:val="en-US" w:eastAsia="zh-CN" w:bidi="ar"/>
        </w:rPr>
      </w:pPr>
      <w:bookmarkStart w:id="0" w:name="_GoBack"/>
      <w:r>
        <w:rPr>
          <w:rFonts w:hint="eastAsia" w:ascii="方正小标宋简体" w:hAnsi="方正小标宋简体" w:eastAsia="方正小标宋简体" w:cs="方正小标宋简体"/>
          <w:i w:val="0"/>
          <w:iCs w:val="0"/>
          <w:color w:val="000000"/>
          <w:kern w:val="0"/>
          <w:sz w:val="44"/>
          <w:szCs w:val="44"/>
          <w:u w:val="none"/>
          <w:lang w:val="en-US" w:eastAsia="zh-CN" w:bidi="ar"/>
        </w:rPr>
        <w:t>莫旗行政许可事项清单（2023年版）</w:t>
      </w:r>
      <w:bookmarkEnd w:id="0"/>
    </w:p>
    <w:p>
      <w:pPr>
        <w:jc w:val="center"/>
        <w:rPr>
          <w:rFonts w:hint="eastAsia" w:ascii="楷体_GB2312" w:hAnsi="楷体_GB2312" w:eastAsia="楷体_GB2312" w:cs="楷体_GB2312"/>
          <w:i w:val="0"/>
          <w:iCs w:val="0"/>
          <w:color w:val="000000"/>
          <w:kern w:val="0"/>
          <w:sz w:val="32"/>
          <w:szCs w:val="32"/>
          <w:u w:val="none"/>
          <w:lang w:val="en-US" w:eastAsia="zh-CN" w:bidi="ar"/>
        </w:rPr>
      </w:pPr>
      <w:r>
        <w:rPr>
          <w:rFonts w:hint="eastAsia" w:ascii="楷体_GB2312" w:hAnsi="楷体_GB2312" w:eastAsia="楷体_GB2312" w:cs="楷体_GB2312"/>
          <w:i w:val="0"/>
          <w:iCs w:val="0"/>
          <w:color w:val="000000"/>
          <w:kern w:val="0"/>
          <w:sz w:val="32"/>
          <w:szCs w:val="32"/>
          <w:u w:val="none"/>
          <w:lang w:val="en-US" w:eastAsia="zh-CN" w:bidi="ar"/>
        </w:rPr>
        <w:t>第一部分：法律、行政法规、国务院决定设定的行政许可事项清单（211项）</w:t>
      </w:r>
    </w:p>
    <w:p>
      <w:pPr>
        <w:rPr>
          <w:rFonts w:hint="eastAsia"/>
          <w:lang w:val="en-US" w:eastAsia="zh-CN"/>
        </w:rPr>
      </w:pPr>
    </w:p>
    <w:tbl>
      <w:tblPr>
        <w:tblStyle w:val="9"/>
        <w:tblW w:w="14405" w:type="dxa"/>
        <w:tblInd w:w="-73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5"/>
        <w:gridCol w:w="1500"/>
        <w:gridCol w:w="2234"/>
        <w:gridCol w:w="1965"/>
        <w:gridCol w:w="4736"/>
        <w:gridCol w:w="1450"/>
        <w:gridCol w:w="18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73"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序号</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旗级主管</w:t>
            </w:r>
          </w:p>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部门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事项名称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实施机关</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设定和实施依据</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中央指导</w:t>
            </w:r>
          </w:p>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部门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自治区</w:t>
            </w:r>
          </w:p>
          <w:p>
            <w:pPr>
              <w:keepNext w:val="0"/>
              <w:keepLines w:val="0"/>
              <w:widowControl/>
              <w:suppressLineNumbers w:val="0"/>
              <w:jc w:val="center"/>
              <w:textAlignment w:val="center"/>
              <w:rPr>
                <w:rFonts w:hint="eastAsia" w:ascii="黑体" w:hAnsi="黑体" w:eastAsia="黑体" w:cs="黑体"/>
                <w:i w:val="0"/>
                <w:iCs w:val="0"/>
                <w:color w:val="000000" w:themeColor="text1"/>
                <w:sz w:val="24"/>
                <w:szCs w:val="24"/>
                <w:u w:val="none"/>
                <w14:textFill>
                  <w14:solidFill>
                    <w14:schemeClr w14:val="tx1"/>
                  </w14:solidFill>
                </w14:textFill>
              </w:rPr>
            </w:pPr>
            <w:r>
              <w:rPr>
                <w:rFonts w:hint="eastAsia" w:ascii="黑体" w:hAnsi="黑体" w:eastAsia="黑体" w:cs="黑体"/>
                <w:i w:val="0"/>
                <w:iCs w:val="0"/>
                <w:color w:val="000000" w:themeColor="text1"/>
                <w:kern w:val="0"/>
                <w:sz w:val="24"/>
                <w:szCs w:val="24"/>
                <w:u w:val="none"/>
                <w:lang w:val="en-US" w:eastAsia="zh-CN" w:bidi="ar"/>
                <w14:textFill>
                  <w14:solidFill>
                    <w14:schemeClr w14:val="tx1"/>
                  </w14:solidFill>
                </w14:textFill>
              </w:rPr>
              <w:t>主管部门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1"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固定资产投资项目节能审查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《中华人民共和国节约能源法》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《固定资产投资项目节能审查办法》（国家发展改革委令2023年第2号）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国家发展和改革委员会</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内蒙古自治区发展和改革</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4"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民办、中外合作开办中等及以下学校和其他教育机构筹设审批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《中华人民共和国民办教育促进法》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《中华人民共和国中外合作办学条例》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《国务院关于当前发展学前教育的若干意见》（国发〔2010〕41号）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6"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中等及以下学校和其他教育机构设置审批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《中华人民共和国教育法》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《中华人民共和国民办教育促进法》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spacing w:val="-10"/>
                <w:kern w:val="0"/>
                <w:sz w:val="24"/>
                <w:szCs w:val="24"/>
                <w:u w:val="none"/>
                <w:lang w:val="en-US" w:eastAsia="zh-CN" w:bidi="ar"/>
                <w14:textFill>
                  <w14:solidFill>
                    <w14:schemeClr w14:val="tx1"/>
                  </w14:solidFill>
                </w14:textFill>
              </w:rPr>
              <w:t>《中华人民共和国民办教育促进法实施条例》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《中华人民共和国中外合作办学条例》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《国务院关于当前发展学前教育的若干意见》（国发〔2010〕41号）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《国务院办公厅关于规范校外培训机构发展的意见》（国办发〔2018〕80号）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6"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从事文艺、体育等专业训练的社会组织自行实施义务教育审批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《中华人民共和国义务教育法》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校车使用许可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莫旗人民政府（由莫旗教育局会同公安机关、交通运输部门承办）</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《校车安全管理条例》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教师资格认定</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《中华人民共和国教师法》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《教师资格条例》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《国家职业资格目录（2021年版）》</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《内蒙古自治区实施〈中华人民共和国教师法〉办法》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适龄儿童、少年因身体状况需要延缓入学或者休学审批</w:t>
            </w:r>
          </w:p>
        </w:tc>
        <w:tc>
          <w:tcPr>
            <w:tcW w:w="196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center"/>
              <w:textAlignment w:val="top"/>
              <w:rPr>
                <w:rFonts w:hint="eastAsia" w:ascii="方正仿宋_GB18030" w:hAnsi="方正仿宋_GB18030" w:eastAsia="方正仿宋_GB18030" w:cs="方正仿宋_GB18030"/>
                <w:i w:val="0"/>
                <w:iCs w:val="0"/>
                <w:color w:val="000000" w:themeColor="text1"/>
                <w:kern w:val="0"/>
                <w:sz w:val="24"/>
                <w:szCs w:val="24"/>
                <w:u w:val="none"/>
                <w:lang w:val="en-US" w:eastAsia="zh-CN" w:bidi="ar"/>
                <w14:textFill>
                  <w14:solidFill>
                    <w14:schemeClr w14:val="tx1"/>
                  </w14:solidFill>
                </w14:textFill>
              </w:rPr>
            </w:pPr>
            <w:r>
              <w:rPr>
                <w:rFonts w:hint="eastAsia" w:ascii="方正仿宋_GB18030" w:hAnsi="方正仿宋_GB18030" w:eastAsia="方正仿宋_GB18030" w:cs="方正仿宋_GB18030"/>
                <w:i w:val="0"/>
                <w:iCs w:val="0"/>
                <w:color w:val="000000" w:themeColor="text1"/>
                <w:kern w:val="0"/>
                <w:sz w:val="24"/>
                <w:szCs w:val="24"/>
                <w:u w:val="none"/>
                <w:lang w:val="en-US" w:eastAsia="zh-CN" w:bidi="ar"/>
                <w14:textFill>
                  <w14:solidFill>
                    <w14:schemeClr w14:val="tx1"/>
                  </w14:solidFill>
                </w14:textFill>
              </w:rPr>
              <w:t>莫旗教育局，</w:t>
            </w:r>
          </w:p>
          <w:p>
            <w:pPr>
              <w:keepNext w:val="0"/>
              <w:keepLines w:val="0"/>
              <w:widowControl/>
              <w:suppressLineNumbers w:val="0"/>
              <w:jc w:val="center"/>
              <w:textAlignment w:val="top"/>
              <w:rPr>
                <w:rFonts w:hint="eastAsia" w:ascii="仿宋_GB2312" w:hAnsi="仿宋_GB2312" w:eastAsia="仿宋_GB2312" w:cs="仿宋_GB2312"/>
                <w:i w:val="0"/>
                <w:iCs w:val="0"/>
                <w:color w:val="000000" w:themeColor="text1"/>
                <w:sz w:val="21"/>
                <w:szCs w:val="21"/>
                <w:u w:val="none"/>
                <w14:textFill>
                  <w14:solidFill>
                    <w14:schemeClr w14:val="tx1"/>
                  </w14:solidFill>
                </w14:textFill>
              </w:rPr>
            </w:pPr>
            <w:r>
              <w:rPr>
                <w:rFonts w:hint="eastAsia" w:ascii="方正仿宋_GB18030" w:hAnsi="方正仿宋_GB18030" w:eastAsia="方正仿宋_GB18030" w:cs="方正仿宋_GB18030"/>
                <w:i w:val="0"/>
                <w:iCs w:val="0"/>
                <w:color w:val="000000" w:themeColor="text1"/>
                <w:kern w:val="0"/>
                <w:sz w:val="24"/>
                <w:szCs w:val="24"/>
                <w:u w:val="none"/>
                <w:lang w:val="en-US" w:eastAsia="zh-CN" w:bidi="ar"/>
                <w14:textFill>
                  <w14:solidFill>
                    <w14:schemeClr w14:val="tx1"/>
                  </w14:solidFill>
                </w14:textFill>
              </w:rPr>
              <w:t>莫旗各乡镇人民政府</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《中华人民共和国义务教育法》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教育部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内蒙古自治区教育厅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民用枪支及枪支主要零部件、弹药配置许可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《中华人民共和国枪支管理法》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举行集会游行示威许可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《中华人民共和国集会游行示威法》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《中华人民共和国集会游行示威法实施条例》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大型群众性活动安全许可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《中华人民共和国消防法》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《大型群众性活动安全管理条例》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公章刻制业特种行业许可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《印铸刻字业暂行管理规则》</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《公安部关于深化娱乐服务场所和特种行业治安管理改革进一步依法加强事中事后监管的工作意见》（公治〔2017〕529号）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旅馆业特种行业许可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《旅馆业治安管理办法》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《公安部关于深化娱乐服务场所和特种行业治安管理改革进一步依法加强事中事后监管的工作意见》（公治〔2017〕529号）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互联网上网服务营业场所信息网络安全审核</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《互联网上网服务营业场所管理条例》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举办焰火晚会及其他大型焰火燃放活动许可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《公安部办公厅关于贯彻执行〈大型焰火燃放作业人员资格条件及管理〉和〈大型焰火燃放作业单位资质条件及管理〉有关事项的通知》（公治〔2010〕592号）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烟花爆竹道路运输许可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（运达地或者启运地）</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《关于优化烟花爆竹道路运输许可审批进一步深化烟花爆竹“放管服”改革工作的通知》（公治安明发〔2019〕218号）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民用爆炸物品购买许可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《民用爆炸物品安全管理条例》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民用爆炸物品运输许可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（运达地）</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《民用爆炸物品安全管理条例》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剧毒化学品购买许可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剧毒化学品道路运输通行许可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《剧毒化学品购买和公路运输许可证件管理办法》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放射性物品道路运输许可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《中华人民共和国核安全法》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《放射性物品运输安全管理条例》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运输危险化学品的车辆进入危险化学品运输车辆限制通行区域审批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易制毒化学品购买许可（除第一类中的药品类易制毒化学品外）</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《中华人民共和国禁毒法》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《易制毒化学品管理条例》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易制毒化学品运输许可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《中华人民共和国禁毒法》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《易制毒化学品管理条例》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《机动车登记规定》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机动车临时通行牌证核发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《机动车登记规定》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机动车检验合格标志核发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《机动车登记规定》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856"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机动车驾驶证核发、审验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《机动车驾驶证申领和使用规定》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校车驾驶资格许可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《校车安全管理条例》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《机动车驾驶证申领和使用规定》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29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非机动车登记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涉路施工交通安全审查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《城市道路管理条例》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户口迁移审批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《中华人民共和国户口登记条例》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犬类准养证核发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《中华人民共和国动物防疫法》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《中华人民共和国传染病防治法实施办法》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公安部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社会团体成立、变更、注销登记及修改章程核准</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《社会团体登记管理条例》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民办非企业单位成立、变更、注销登记及修改章程核准</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《民办非企业单位登记管理暂行条例》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宗教活动场所法人成立、变更、注销登记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莫旗民政局（由莫旗委统战部实施前置审查）</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慈善组织公开募捐资格审批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《中华人民共和国慈善法》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殡葬设施建设审批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莫旗人民政府（由莫旗民政局承办）；</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莫旗民政局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《殡葬管理条例》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地名命名、更名审批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莫旗人民政府（由莫旗民政局承办）；</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莫旗民政局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《地名管理条例》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民政部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内蒙古自治区民政厅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39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莫旗财政局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中介机构从事代理记账业务审批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莫旗财政局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《中华人民共和国会计法》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财政部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内蒙古自治区财政厅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职业培训学校筹设审批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《中华人民共和国民办教育促进法》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《中华人民共和国中外合作办学条例》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人力资源和社会保障部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内蒙古自治区人力资源和社会保障厅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职业培训学校办学许可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《中华人民共和国民办教育促进法》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《中华人民共和国中外合作办学条例》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人力资源和社会保障部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内蒙古自治区人力资源和社会保障厅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人力资源服务许可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《中华人民共和国就业促进法》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《人力资源市场暂行条例》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人力资源和社会保障部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内蒙古自治区人力资源和社会保障厅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企业实行不定时工作制和综合计算工时工作制审批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莫旗人力资源和社会保障局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《中华人民共和国劳动法》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《关于企业实行不定时工作制和综合计算工时工作制的审批办法》（劳部发〔1994〕503号）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人力资源和社会保障部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内蒙古自治区人力资源和社会保障厅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开采矿产资源审批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《中华人民共和国矿产资源法》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《中华人民共和国矿产资源法实施细则》</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《矿产资源开采登记管理办法》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45</w:t>
            </w:r>
          </w:p>
        </w:tc>
        <w:tc>
          <w:tcPr>
            <w:tcW w:w="1500"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建设项目用地预审与选址意见书核发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《中华人民共和国城乡规划法》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《建设项目用地预审管理办法》</w:t>
            </w:r>
          </w:p>
        </w:tc>
        <w:tc>
          <w:tcPr>
            <w:tcW w:w="1450"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国有建设用地使用权出让后土地使用权分割转让批准</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《中华人民共和国城镇国有土地使用权出让和转让暂行条例》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乡（镇）村企业使用集体建设用地审批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莫旗人民政府（由莫旗自然资源局承办）；莫旗自然资源局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乡（镇）村公共设施、公益事业使用集体建设用地审批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莫旗人民政府（由莫旗自然资源局承办）；莫旗自然资源局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《内蒙古自治区实施〈中华人民共和国土地管理法〉办法》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49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临时用地审批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50</w:t>
            </w:r>
          </w:p>
        </w:tc>
        <w:tc>
          <w:tcPr>
            <w:tcW w:w="150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建设用地、临时建设用地规划许可</w:t>
            </w:r>
          </w:p>
        </w:tc>
        <w:tc>
          <w:tcPr>
            <w:tcW w:w="196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《中华人民共和国城乡规划法》</w:t>
            </w:r>
          </w:p>
        </w:tc>
        <w:tc>
          <w:tcPr>
            <w:tcW w:w="14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7" w:hRule="atLeast"/>
          <w:tblHeader/>
        </w:trPr>
        <w:tc>
          <w:tcPr>
            <w:tcW w:w="715"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51</w:t>
            </w:r>
          </w:p>
        </w:tc>
        <w:tc>
          <w:tcPr>
            <w:tcW w:w="1500"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auto"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开发未确定使用权的国有荒山、荒地、荒滩从事生产审查</w:t>
            </w:r>
          </w:p>
        </w:tc>
        <w:tc>
          <w:tcPr>
            <w:tcW w:w="1965" w:type="dxa"/>
            <w:tcBorders>
              <w:top w:val="single" w:color="auto"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莫旗人民政府（由莫旗自然资源局承办）；莫旗自然资源局</w:t>
            </w:r>
          </w:p>
        </w:tc>
        <w:tc>
          <w:tcPr>
            <w:tcW w:w="4736" w:type="dxa"/>
            <w:tcBorders>
              <w:top w:val="single" w:color="auto"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《内蒙古自治区实施〈中华人民共和国土地管理法〉办法》</w:t>
            </w:r>
          </w:p>
        </w:tc>
        <w:tc>
          <w:tcPr>
            <w:tcW w:w="1450" w:type="dxa"/>
            <w:tcBorders>
              <w:top w:val="single" w:color="auto"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自然资源部</w:t>
            </w:r>
          </w:p>
        </w:tc>
        <w:tc>
          <w:tcPr>
            <w:tcW w:w="1805" w:type="dxa"/>
            <w:tcBorders>
              <w:top w:val="single" w:color="auto" w:sz="4" w:space="0"/>
              <w:left w:val="single" w:color="000000"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52</w:t>
            </w:r>
          </w:p>
        </w:tc>
        <w:tc>
          <w:tcPr>
            <w:tcW w:w="150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呼伦贝尔市生态环境局莫旗分局</w:t>
            </w:r>
          </w:p>
        </w:tc>
        <w:tc>
          <w:tcPr>
            <w:tcW w:w="2234"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一般建设项目环境影响评价审批</w:t>
            </w:r>
          </w:p>
        </w:tc>
        <w:tc>
          <w:tcPr>
            <w:tcW w:w="1965"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呼伦贝尔市生态环境局莫旗分局</w:t>
            </w:r>
          </w:p>
        </w:tc>
        <w:tc>
          <w:tcPr>
            <w:tcW w:w="4736"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《中华人民共和国环境保护法》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《中华人民共和国环境影响评价法》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《中华人民共和国水污染防治法》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《中华人民共和国大气污染防治法》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《中华人民共和国土壤污染防治法》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《中华人民共和国固体废物污染环境防治法》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《中华人民共和国噪声污染防治法》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《建设项目环境保护管理条例》</w:t>
            </w:r>
          </w:p>
        </w:tc>
        <w:tc>
          <w:tcPr>
            <w:tcW w:w="145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生态环境部</w:t>
            </w:r>
          </w:p>
        </w:tc>
        <w:tc>
          <w:tcPr>
            <w:tcW w:w="1805"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内蒙古自治区生态环境厅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呼伦贝尔市生态环境局莫旗分局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危险废物经营许可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呼伦贝尔市生态环境局莫旗分局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pacing w:val="-12"/>
                <w:kern w:val="0"/>
                <w:sz w:val="24"/>
                <w:szCs w:val="24"/>
                <w:u w:val="none"/>
                <w:lang w:val="en-US" w:eastAsia="zh-CN" w:bidi="ar"/>
                <w14:textFill>
                  <w14:solidFill>
                    <w14:schemeClr w14:val="tx1"/>
                  </w14:solidFill>
                </w14:textFill>
              </w:rPr>
              <w:t>《中华人民共和国固体废物污染环境防治法》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《危险废物经营许可证管理办法》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生态环境部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内蒙古自治区生态环境厅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建筑工程施工许可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《中华人民共和国建筑法》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《建筑工程施工许可管理办法》（住房城乡建设部令第18号公布，住房城乡建设部令第52号修正）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商品房预售许可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《中华人民共和国城市房地产管理法》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城镇污水排入排水管网许可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《城镇排水与污水处理条例》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拆除、改动、迁移城市公共供水设施审核</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《城市供水条例》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《内蒙古自治区城市供水实施办法》（内蒙古自治区人民政府令第93号公布，2016年第二次修正）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拆除、改动城镇排水与污水处理设施审核</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《城镇排水与污水处理条例》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59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由于工程施工、设备维修等原因确需停止供水的审批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《城市供水条例》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《内蒙古自治区城市供水实施办法》（内蒙古自治区人民政府令第93号公布，2016年第二次修正）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燃气经营许可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《城镇燃气管理条例》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《内蒙古自治区燃气管理条例》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61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燃气经营者改动市政燃气设施审批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《城镇燃气管理条例》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《国务院关于第六批取消和调整行政审批项目的决定》（国发〔2012〕52号）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《内蒙古自治区燃气管理条例》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市政设施建设类审批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《城市道路管理条例》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历史建筑实施原址保护审批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《历史文化名城名镇名村保护条例》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历史文化街区、名镇、名村核心保护范围内拆除历史建筑以外的建筑物、构筑物或者其他设施审批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《历史文化名城名镇名村保护条例》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历史建筑外部修缮装饰、添加设施以及改变历史建筑的结构或者使用性质审批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《历史文化名城名镇名村保护条例》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建设工程消防设计审查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《中华人民共和国消防法》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《建设工程消防设计审查验收管理暂行规定》（住房城乡建设部令第51号）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建设工程消防验收</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《中华人民共和国消防法》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《建设工程消防设计审查验收管理暂行规定》（住房城乡建设部令第51号）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建筑起重机械使用登记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莫旗住房和城乡建设局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《中华人民共和国特种设备安全法》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《建设工程安全生产管理条例》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住房和城乡建设部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内蒙古自治区住房和城乡建设厅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69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公路建设项目设计文件审批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《建设工程质量管理条例》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《建设工程勘察设计管理条例》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《农村公路建设管理办法》（交通运输部令2018年第4号）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公路建设项目施工许可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《公路建设市场管理办法》（交通部令2004年第14号公布，交通运输部令2015年第11号修正）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公路建设项目竣工验收</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《收费公路管理条例》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《公路工程竣（交）工验收办法》（交通部令2004年第3号）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《农村公路建设管理办法》（交通运输部令2018年第4号）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72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涉路施工许可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《公路安全保护条例》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《路政管理规定》（交通部令2003年第2号公布，交通运输部令2016年第81号修正）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《内蒙古自治区公路条例》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《内蒙古自治区高速公路条例》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道路旅客运输经营许可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《中华人民共和国道路运输条例》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《道路旅客运输及客运站管理规定》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道路旅客运输站经营许可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《中华人民共和国道路运输条例》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《道路旅客运输及客运站管理规定》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道路货物运输经营许可（除使用4500千克及以下普通货运车辆从事普通货运经营外）</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《中华人民共和国道路运输条例》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《道路货物运输及站场管理规定》（2005年6月16日交通部发布，根据2022年9月26日《交通运输部关于修改〈道路货物运输及站场管理规定〉的决定》第六次修正）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出租汽车经营许可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《巡游出租汽车经营服务管理规定》（交通运输部令2014年第16号公布，交通运输部令2021年第16号修正）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《网络预约出租汽车经营服务管理暂行办法》（2016年交通运输部、工业和信息化部、公安部、商务部、工商总局、质检总局、国家网信办发布，2022年第二次修正）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出租汽车车辆运营证核发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《巡游出租汽车经营服务管理规定》（交通运输部令2014年第16号公布，交通运输部令2021年第16号修正）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《网络预约出租汽车经营服务管理暂行办法》（2016年交通运输部、工业和信息化部、公安部、商务部、工商总局、质检总局、国家网信办发布，2022年第二次修正）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设置或者撤销内河渡口审批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莫旗人民政府（由莫旗交通运输局承办）</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《中华人民共和国内河交通安全管理条例》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交通运输部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79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水利基建项目初步设计文件审批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取水许可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《取水许可和水资源费征收管理条例》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《内蒙古自治区取水许可和水资源费征收管理实施办法》（内蒙古自治区人民政府令第155号公布，2018年修改）</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洪水影响评价类审批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《中华人民共和国防洪法》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《中华人民共和国河道管理条例》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《中华人民共和国水文条例》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河道管理范围内特定活动审批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《中华人民共和国河道管理条例》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河道采砂许可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《中华人民共和国河道管理条例》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生产建设项目水土保持方案审批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《中华人民共和国水土保持法》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《内蒙古自治区水土保持条例》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农村集体经济组织修建水库审批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《中华人民共和国水法》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城市建设填堵水域、废除围堤审批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《中华人民共和国防洪法》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占用农业灌溉水源、灌排工程设施审批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利用堤顶、戗台兼做公路审批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《中华人民共和国河道管理条例》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89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坝顶兼做公路审批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《水库大坝安全管理条例》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蓄滞洪区避洪设施建设审批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大坝管理和保护范围内修建码头、渔塘许可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莫旗水利局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《水库大坝安全管理条例》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水利部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内蒙古自治区水利厅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农药经营许可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《农药管理条例》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兽药经营许可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《兽药管理条例》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农作物种子生产经营许可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《中华人民共和国种子法》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《农业转基因生物安全管理条例》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《转基因棉花种子生产经营许可规定》（农业部公告第2436号公布，农业农村部令2019年第2号修正）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《内蒙古自治区农作物种子条例》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食用菌菌种生产经营许可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《中华人民共和国种子法》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《食用菌菌种管理办法》（农业部令2006</w:t>
            </w:r>
            <w:r>
              <w:rPr>
                <w:rFonts w:hint="eastAsia" w:ascii="仿宋_GB2312" w:hAnsi="仿宋_GB2312" w:eastAsia="仿宋_GB2312" w:cs="仿宋_GB2312"/>
                <w:i w:val="0"/>
                <w:iCs w:val="0"/>
                <w:color w:val="000000" w:themeColor="text1"/>
                <w:spacing w:val="-12"/>
                <w:kern w:val="0"/>
                <w:sz w:val="24"/>
                <w:szCs w:val="24"/>
                <w:u w:val="none"/>
                <w:lang w:val="en-US" w:eastAsia="zh-CN" w:bidi="ar"/>
                <w14:textFill>
                  <w14:solidFill>
                    <w14:schemeClr w14:val="tx1"/>
                  </w14:solidFill>
                </w14:textFill>
              </w:rPr>
              <w:t>年第62号公布，农业部令2015年第1号修正）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使用低于国家或地方规定的种用标准的农作物种子审批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《中华人民共和国种子法》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种畜禽生产经营许可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《中华人民共和国畜牧法》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《农业转基因生物安全管理条例》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《养蜂管理办法（试行）》（农业部公告第1692号）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蚕种生产经营许可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呼伦贝尔市农牧局（受理），莫旗农牧和科技局（受理）</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《中华人民共和国畜牧法》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《蚕种管理办法》（农业部令2006年第68号）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99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农业植物检疫证书核发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《植物检疫条例》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农业植物产地检疫合格证签发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《植物检疫条例》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101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农业野生植物采集、出售、收购、野外考察审批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莫旗农牧和科技局（受理）</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《中华人民共和国野生植物保护条例》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动物及动物产品检疫合格证核发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《中华人民共和国动物防疫法》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《动物检疫管理办法》（农业部令2010年第6号公布，农业农村部令2019年第2号修正）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动物防疫条件合格证核发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《中华人民共和国动物防疫法》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向无规定动物疫病区输入易感动物、动物产品的检疫审批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《中华人民共和国动物防疫法》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《动物检疫管理办法》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动物诊疗许可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《中华人民共和国动物防疫法》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《动物诊疗机构管理办法》（农业部令2008</w:t>
            </w:r>
            <w:r>
              <w:rPr>
                <w:rFonts w:hint="eastAsia" w:ascii="仿宋_GB2312" w:hAnsi="仿宋_GB2312" w:eastAsia="仿宋_GB2312" w:cs="仿宋_GB2312"/>
                <w:i w:val="0"/>
                <w:iCs w:val="0"/>
                <w:color w:val="000000" w:themeColor="text1"/>
                <w:spacing w:val="-12"/>
                <w:kern w:val="0"/>
                <w:sz w:val="24"/>
                <w:szCs w:val="24"/>
                <w:u w:val="none"/>
                <w:lang w:val="en-US" w:eastAsia="zh-CN" w:bidi="ar"/>
                <w14:textFill>
                  <w14:solidFill>
                    <w14:schemeClr w14:val="tx1"/>
                  </w14:solidFill>
                </w14:textFill>
              </w:rPr>
              <w:t>年第19号公布，农业部令2017年第8号修正）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生鲜乳收购站许可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《乳品质量安全监督管理条例》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107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生鲜乳准运证明核发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《乳品质量安全监督管理条例》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108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拖拉机和联合收割机驾驶证核发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《农业机械安全监督管理条例》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《内蒙古自治区农牧业机械化促进条例》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109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拖拉机和联合收割机登记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《中华人民共和国道路交通安全法》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《农业机械安全监督管理条例》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《内蒙古自治区农牧业机械化促进条例》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工商企业等社会资本通过流转取得土地经营权审批</w:t>
            </w:r>
          </w:p>
        </w:tc>
        <w:tc>
          <w:tcPr>
            <w:tcW w:w="196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center"/>
              <w:textAlignment w:val="top"/>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莫旗人民政府（莫旗农牧业局承办）；莫旗各乡镇人民政府</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《中华人民共和国农村土地承包法》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《农村土地承包经营权流转管理办法》（农业农村部令2021年第1号）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农村村民宅基地审批</w:t>
            </w:r>
          </w:p>
        </w:tc>
        <w:tc>
          <w:tcPr>
            <w:tcW w:w="196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center"/>
              <w:textAlignment w:val="top"/>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莫旗各乡镇人民政府</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《中华人民共和国土地管理法》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渔业船舶船员证书核发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《中华人民共和国渔港水域交通安全管理条例》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《中华人民共和国渔业船员管理办法》（农业部令2014年第4号公布，农业部令2017年第8号修正）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《国家职业资格目录（2021年版）》</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水产苗种生产经营审批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《水产苗种管理办法》（农业部令2005年第46号）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《农业转基因生物安全管理条例》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水域滩涂养殖证核发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渔业船网工具指标审批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《渔业捕捞许可管理规定》（农业农村部令2018年第1号）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渔业捕捞许可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《中华人民共和国渔业法实施细则》</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《渔业捕捞许可管理规定》（农业农村部令2018年第1号）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渔业船舶国籍</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《中华人民共和国船舶登记条例》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《中华人民共和国渔港水域交通安全管理条例》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《中华人民共和国渔业船舶登记办法》（农业部令2012年第8号公布，农业部令2013年第5号修正）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文艺表演团体设立审批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《营业性演出管理条例》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文化和旅游部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内蒙古自治区文化和旅游厅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119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营业性演出审批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《营业性演出管理条例》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《营业性演出管理条例实施细则》（文化部令第47号公布，文化部令第57号修正）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文化和旅游部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内蒙古自治区文化和旅游厅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120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娱乐场所经营活动审批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《娱乐场所管理条例》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文化和旅游部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内蒙古自治区文化和旅游厅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121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互联网上网服务营业场所筹建审批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《互联网上网服务营业场所管理条例》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文化和旅游部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内蒙古自治区文化和旅游厅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122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互联网上网服务经营活动审批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《互联网上网服务营业场所管理条例》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文化和旅游部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内蒙古自治区文化和旅游厅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123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饮用水供水单位卫生许可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《中华人民共和国传染病防治法》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国家疾病预防控制局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公共场所卫生许可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《公共场所卫生管理条例》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国家疾病预防控制局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医疗机构执业登记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《医疗机构管理条例》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母婴保健技术服务机构执业许可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《中华人民共和国母婴保健法》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《中华人民共和国母婴保健法实施办法》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《母婴保健专项技术服务许可及人员资格管理办法》（卫妇发〔1995〕7号公布，国家卫生健康委令第7号修正）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127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仿宋_GB2312" w:hAnsi="仿宋_GB2312" w:eastAsia="仿宋_GB2312" w:cs="仿宋_GB2312"/>
                <w:i w:val="0"/>
                <w:iCs w:val="0"/>
                <w:color w:val="auto"/>
                <w:sz w:val="24"/>
                <w:szCs w:val="24"/>
                <w:u w:val="none"/>
                <w:lang w:val="en-US"/>
              </w:rPr>
            </w:pPr>
            <w:r>
              <w:rPr>
                <w:rFonts w:hint="eastAsia" w:ascii="仿宋_GB2312" w:hAnsi="仿宋_GB2312" w:eastAsia="仿宋_GB2312" w:cs="仿宋_GB2312"/>
                <w:i w:val="0"/>
                <w:iCs w:val="0"/>
                <w:color w:val="auto"/>
                <w:kern w:val="0"/>
                <w:sz w:val="24"/>
                <w:szCs w:val="24"/>
                <w:u w:val="none"/>
                <w:lang w:val="en-US" w:eastAsia="zh-CN" w:bidi="ar"/>
              </w:rPr>
              <w:t>医师执业注册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方正仿宋_GB2312" w:hAnsi="方正仿宋_GB2312" w:eastAsia="方正仿宋_GB2312" w:cs="方正仿宋_GB2312"/>
                <w:color w:val="auto"/>
                <w:sz w:val="24"/>
                <w:szCs w:val="24"/>
                <w:vertAlign w:val="baseline"/>
                <w:lang w:val="en-US" w:eastAsia="zh-CN"/>
              </w:rPr>
            </w:pPr>
            <w:r>
              <w:rPr>
                <w:rFonts w:hint="eastAsia" w:ascii="方正仿宋_GB2312" w:hAnsi="方正仿宋_GB2312" w:eastAsia="方正仿宋_GB2312" w:cs="方正仿宋_GB2312"/>
                <w:color w:val="auto"/>
                <w:sz w:val="24"/>
                <w:szCs w:val="24"/>
                <w:vertAlign w:val="baseline"/>
                <w:lang w:eastAsia="zh-CN"/>
              </w:rPr>
              <w:t>《</w:t>
            </w:r>
            <w:r>
              <w:rPr>
                <w:rFonts w:hint="eastAsia" w:ascii="方正仿宋_GB2312" w:hAnsi="方正仿宋_GB2312" w:eastAsia="方正仿宋_GB2312" w:cs="方正仿宋_GB2312"/>
                <w:color w:val="auto"/>
                <w:sz w:val="24"/>
                <w:szCs w:val="24"/>
                <w:vertAlign w:val="baseline"/>
                <w:lang w:val="en-US" w:eastAsia="zh-CN"/>
              </w:rPr>
              <w:t>中华人民共和国医师法》</w:t>
            </w:r>
          </w:p>
          <w:p>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方正仿宋_GB2312" w:hAnsi="方正仿宋_GB2312" w:eastAsia="方正仿宋_GB2312" w:cs="方正仿宋_GB2312"/>
                <w:color w:val="auto"/>
                <w:sz w:val="24"/>
                <w:szCs w:val="24"/>
                <w:vertAlign w:val="baseline"/>
                <w:lang w:val="en-US" w:eastAsia="zh-CN"/>
              </w:rPr>
              <w:t>《</w:t>
            </w:r>
            <w:r>
              <w:rPr>
                <w:rFonts w:hint="eastAsia" w:ascii="方正仿宋_GB2312" w:hAnsi="方正仿宋_GB2312" w:eastAsia="方正仿宋_GB2312" w:cs="方正仿宋_GB2312"/>
                <w:color w:val="auto"/>
                <w:sz w:val="24"/>
                <w:szCs w:val="24"/>
              </w:rPr>
              <w:t>医师执业注册</w:t>
            </w:r>
            <w:r>
              <w:rPr>
                <w:rFonts w:hint="eastAsia" w:ascii="方正仿宋_GB2312" w:hAnsi="方正仿宋_GB2312" w:eastAsia="方正仿宋_GB2312" w:cs="方正仿宋_GB2312"/>
                <w:color w:val="auto"/>
                <w:sz w:val="24"/>
                <w:szCs w:val="24"/>
                <w:lang w:val="en-US" w:eastAsia="zh-CN"/>
              </w:rPr>
              <w:t>管理</w:t>
            </w:r>
            <w:r>
              <w:rPr>
                <w:rFonts w:hint="eastAsia" w:ascii="方正仿宋_GB2312" w:hAnsi="方正仿宋_GB2312" w:eastAsia="方正仿宋_GB2312" w:cs="方正仿宋_GB2312"/>
                <w:color w:val="auto"/>
                <w:sz w:val="24"/>
                <w:szCs w:val="24"/>
              </w:rPr>
              <w:t>办法</w:t>
            </w:r>
            <w:r>
              <w:rPr>
                <w:rFonts w:hint="eastAsia" w:ascii="方正仿宋_GB2312" w:hAnsi="方正仿宋_GB2312" w:eastAsia="方正仿宋_GB2312" w:cs="方正仿宋_GB2312"/>
                <w:color w:val="auto"/>
                <w:sz w:val="24"/>
                <w:szCs w:val="24"/>
                <w:lang w:eastAsia="zh-CN"/>
              </w:rPr>
              <w:t>》</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乡村医生执业注册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《乡村医生从业管理条例》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129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母婴保健服务人员资格认定</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《中华人民共和国母婴保健法》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《中华人民共和国母婴保健法实施办法》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《母婴保健专项技术服务许可及人员资格管理办法》（卫妇发〔1995〕7号公布，国家卫生健康委令第7号修正）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《国家职业资格目录（2021年版）》</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130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护士执业注册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《护士条例》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《国家职业资格目录（2021年版）》</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国家卫生健康委</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131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石油天然气建设项目安全设施设计审查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《中华人民共和国安全生产法》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《建设项目安全设施“三同时”监督管理办法》（安全监管总局令第36号公布，安全监管总局令第77号修正）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《国家安全监管总局办公厅关于明确非煤矿山建设项目安全监管职责等事项的通知》（安监总厅管一〔2013〕143号）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应急管理部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内蒙古自治区应急管理厅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金属冶炼建设项目安全设施设计审查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《中华人民共和国安全生产法》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《建设项目安全设施“三同时”监督管理办法》（安全监管总局令第36号公布，安全监管总局令第77号修正）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《冶金企业和有色金属企业安全生产规定》（安全监管总局令第91号）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应急管理部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内蒙古自治区应急管理厅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《危险化学品经营许可证管理办法》（安全监管总局令第55号公布，安全监管总局令第79号修正）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应急管理部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内蒙古自治区应急管理厅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《烟花爆竹安全管理条例》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《烟花爆竹经营许可实施办法》（安全监管总局令第65号）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应急管理部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内蒙古自治区应急管理厅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莫旗消防救援大队</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公众聚集场所投入使用、营业前消防安全检查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莫旗消防救援大队</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《中华人民共和国消防法》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应急管理部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内蒙古自治区消防救援总队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中国人民银行莫旗支行</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银行账户开户许可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莫旗支行</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中国人民银行内蒙古自治区分行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中国人民银行莫旗支行</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国库集中收付代理银行资格认定</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莫旗支行</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中国人民银行内蒙古自治区分行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莫旗税务局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增值税防伪税控系统最高开票限额审批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莫旗税务局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国家税务总局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国家税务总局内蒙古自治区税务局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139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食品生产许可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《中华人民共和国食品安全法》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《食品生产许可管理办法》（市场监管总局令第24号）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食品经营许可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《中华人民共和国食品安全法》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特种设备使用登记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《中华人民共和国特种设备安全法》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《特种设备安全监察条例》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承担国家法定计量检定机构任务授权</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《中华人民共和国计量法》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《中华人民共和国计量法实施细则》</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企业登记注册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《中华人民共和国公司法》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《中华人民共和国合伙企业法》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《中华人民共和国个人独资企业法》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《中华人民共和国外商投资法》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《中华人民共和国外商投资法实施条例》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《中华人民共和国市场主体登记管理条例实施细则》（市场监督管理总局令第52号）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个体工商户登记注册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《促进个体工商户发展条例》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《中华人民共和国市场主体登记管理条例实施细则》（市场监督管理总局令第52号）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农民专业合作社登记注册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《中华人民共和国农民专业合作社法》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《中华人民共和国市场主体登记管理条例实施细则》（市场监督管理总局令第52号）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国家市场监督管理总局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内蒙古自治区市场监督管理局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广播电视专用频段频率使用许可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广播电台、电视台设立、终止审批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广播电台、电视台变更台名、台标、节目设置范围或节目套数审批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149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乡镇设立广播电视站和机关、部队、团体、企业事业单位设立有线广播电视站审批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《广播电视站审批管理暂行规定》（广播电影电视总局令第32号）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有线广播电视传输覆盖网工程验收审核</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卫星电视广播地面接收设施安装服务许可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《卫星电视广播地面接收设施管理规定》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《卫星电视广播地面接收设施安装服务暂行办法》（广播电影电视总局令第60号公布，广播电视总局令第10号修正）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《广电总局关于设立卫星地面接收设施安装服务机构审批事项的通知》（广发〔2010〕24号）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设置卫星电视广播地面接收设施审批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《广播电视管理条例》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《卫星电视广播地面接收设施管理规定》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国家广播电视总局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内蒙古自治区广播电视局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举办健身气功活动及设立站点审批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《健身气功管理办法》（体育总局令2006年第9号）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体育总局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高危险性体育项目经营许可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《全民健身条例》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《内蒙古自治区体育市场管理条例》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体育总局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临时占用公共体育场地设施审批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《中华人民共和国体育法》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《内蒙古自治区体育设施管理条例》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体育总局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举办高危险性体育赛事活动许可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莫旗教育局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《中华人民共和国体育法》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体育总局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出版物零售业务经营许可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《出版管理条例》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新闻出版署</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内蒙古自治区新闻出版局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宗教活动场所筹备设立审批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国家宗教事务局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159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宗教活动场所设立、变更、注销登记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国家宗教事务局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宗教活动场所内改建或者新建建筑物许可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《宗教事务部分行政许可项目实施办法》（国宗发〔2018〕11号）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国家宗教事务局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宗教临时活动地点审批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国家宗教事务局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宗教团体、宗教院校、宗教活动场所接受境外捐赠审批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莫旗委统战部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《宗教事务部分行政许可项目实施办法》（国宗发〔2018〕11号）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国家宗教事务局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内蒙古自治区宗教事务局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雷电防护装置设计审核</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《气象灾害防御条例》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中国气象局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内蒙古自治区气象局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雷电防护装置竣工验收</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《气象灾害防御条例》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中国气象局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内蒙古自治区气象局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升放无人驾驶自由气球或者系留气球活动审批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莫旗气象局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《通用航空飞行管制条例》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《国务院关于第六批取消和调整行政审批项目的决定》（国发〔2012〕52号）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中国气象局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内蒙古自治区气象局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在电力设施周围或者电力设施保护区内进行可能危及电力设施安全作业审批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《中华人民共和国电力法》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《电力设施保护条例》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《内蒙古自治区电力设施保护条例》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国家能源局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内蒙古自治区能源局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新建不能满足管道保护要求的石油天然气管道防护方案审批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《中华人民共和国石油天然气管道保护法》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国家能源局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内蒙古自治区能源局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可能影响石油天然气管道保护的施工作业审批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《中华人民共和国石油天然气管道保护法》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国家能源局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内蒙古自治区能源局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169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莫旗烟草专卖局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烟草专卖零售许可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莫旗烟草专卖局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《中华人民共和国烟草专卖法》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《中华人民共和国烟草专卖法实施条例》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国家烟草专卖局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内蒙古自治区烟草专卖局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普通护照签发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《中华人民共和国护照法》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出入境通行证签发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《中华人民共和国护照法》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《中国公民因私事往来香港地区或者澳门地区的暂行管理办法》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边境地区出入境通行证核发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内地居民前往港澳通行证、往来港澳通行证及签注签发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《中国公民因私事往来香港地区或者澳门地区的暂行管理办法》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港澳居民来往内地通行证签发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《中国公民因私事往来香港地区或者澳门地区的暂行管理办法》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大陆居民往来台湾通行证及签注签发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《中国公民往来台湾地区管理办法》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台湾居民来往大陆通行证签发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莫旗公安局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《中国公民往来台湾地区管理办法》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国家移民管理局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莫旗林草局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林草种子生产经营许可证核发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莫旗林草局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《中华人民共和国种子法》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林草植物检疫证书核发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《植物检疫条例》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《内蒙古自治区植物检疫条例实施办法》（林业部分）（1990年11月12日内蒙古自治区人民政府令第15号发布，2010年11月26日第二次修正）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179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建设项目使用林地及在森林和野生动物类型国家级自然保护区建设审批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莫旗林业和草原局（负责建设项目使用林地审批）</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《中华人民共和国森林法》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《中华人民共和国森林法实施条例》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《森林和野生动物类型自然保护区管理办法》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建设项目使用草原审批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《中华人民共和国草原法》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《内蒙古自治区草原管理条例实施细则》（2006年3月21日内蒙古自治区人民政府令第145号发布，自2006年5月1日起施行）</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林木采伐许可证核发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《中华人民共和国森林法》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《中华人民共和国森林法实施条例》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从事营利性治沙活动许可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《中华人民共和国防沙治沙法》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在风景名胜区内从事建设、设置广告、举办大型游乐活动以及其他影响生态和景观活动许可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《风景名胜区条例》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猎捕陆生野生动物审批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《中华人民共和国野生动物保护法》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《中华人民共和国陆生野生动物保护实施条例》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《内蒙古自治区实施〈中华人民共和国野生动物保护法〉办法》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森林草原防火期内在森林草原防火区野外用火审批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莫旗人民政府（由莫旗林业和草原局承办）</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《森林防火条例》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《草原防火条例》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《内蒙古自治区森林草原防火条例》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森林草原防火期内在森林草原防火区爆破、勘察和施工等活动审批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《森林防火条例》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《草原防火条例》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《内蒙古自治区森林草原防火条例》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进入森林高火险区、草原防火管制区审批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莫旗人民政府（由莫旗林业和草原局承办）</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《森林防火条例》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《草原防火条例》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莫旗林业和草原局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工商企业等社会资本通过流转取得林地经营权审批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莫旗人民政府（由莫旗林业和草原局承办）</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《中华人民共和国农村土地承包法》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国家林业和草原局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内蒙古自治区林业和草原局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189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建设工程文物保护许可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莫旗人民政府（由莫旗文化和旅游局承办，征得上一级文物部门同意）；莫旗文化和旅游局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《中华人民共和国文物保护法》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文物保护单位原址保护措施审批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《中华人民共和国文物保护法》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核定为文物保护单位的属于国家所有的纪念建筑物或者古建筑改变用途审批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莫旗人民政府（由莫旗文化和旅游局承办，征得上一级文物部门同意）；莫旗文化和旅游局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《中华人民共和国文物保护法》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不可移动文物修缮审批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《中华人民共和国文物保护法》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非国有文物收藏单位和其他单位借用国有馆藏文物审批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《中华人民共和国文物保护法》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博物馆处理不够入藏标准、无保存价值的文物或标本审批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莫旗文化和旅游局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《国务院对确需保留的行政审批项目设定行政许可的决定》</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国家文物局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内蒙古自治区文物局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确有专长的中医医师资格认定</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《中华人民共和国中医药法》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《中医医术确有专长人员医师资格考核注册管理暂行办法》（国家卫生计生委令第15号）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国家中医药局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确有专长的中医医师执业注册</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《中华人民共和国中医药法》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《中医医术确有专长人员医师资格考核注</w:t>
            </w:r>
            <w:r>
              <w:rPr>
                <w:rFonts w:hint="eastAsia" w:ascii="仿宋_GB2312" w:hAnsi="仿宋_GB2312" w:eastAsia="仿宋_GB2312" w:cs="仿宋_GB2312"/>
                <w:i w:val="0"/>
                <w:iCs w:val="0"/>
                <w:color w:val="000000" w:themeColor="text1"/>
                <w:spacing w:val="-12"/>
                <w:kern w:val="0"/>
                <w:sz w:val="24"/>
                <w:szCs w:val="24"/>
                <w:u w:val="none"/>
                <w:lang w:val="en-US" w:eastAsia="zh-CN" w:bidi="ar"/>
                <w14:textFill>
                  <w14:solidFill>
                    <w14:schemeClr w14:val="tx1"/>
                  </w14:solidFill>
                </w14:textFill>
              </w:rPr>
              <w:t>册管理暂行办法》（国家卫生计生委令第15号）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国家中医药局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中医医疗机构设置审批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《中华人民共和国中医药法》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《医疗机构管理条例》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国家中医药局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中医医疗机构执业登记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莫旗卫生健康委员会</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《中华人民共和国中医药法》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《医疗机构管理条例》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国家中医药局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内蒙古自治区卫生健康委员会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199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矿山建设项目安全设施设计审查</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莫旗应急管理局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《中华人民共和国安全生产法》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《煤矿安全监察条例》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《煤矿建设项目安全设施监察规定》（安全监管总局令第6号公布，安全监管总局令第81号修正）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《建设项目安全设施“三同时”监督管理办法》（安全监管总局令第36号公布，安全监管总局令第77号修正）</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《国家安全监管总局办公厅关于切实做好国家取消和下放投资审批有关建设项目安全监管工作的通知》（安监总厅政法〔2013〕120号）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《国家安全监管总局办公厅关于明确非煤矿山建设项目安全监管职责等事项的通知》（安监总厅管一〔2013〕143号）</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《中华人民共和国应急管理部公告》（2021年第1号）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国家矿山安全监察局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内蒙古自治区应急管理厅、内蒙古自治区能源局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药品零售企业筹建审批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《中华人民共和国药品管理法》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《中华人民共和国药品管理法实施条例》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国家药品监督管理局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药品零售企业经营许可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莫旗市场监督管理局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《中华人民共和国药品管理法》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《中华人民共和国药品管理法实施条例》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国家药品监督管理局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内蒙古自治区药品监督管理局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莫旗档案局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延期移交档案审批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莫旗档案局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《中华人民共和国档案法实施办法》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国家档案局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内蒙古自治区档案局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莫旗旗委宣传部</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电影放映单位设立审批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莫旗旗委宣传部</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《中华人民共和国电影产业促进法》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《电影管理条例》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《外商投资电影院暂行规定》（广播电影电视总局、商务部、文化部令第21号公布，广播电影电视总局令第51号修正）</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国家电影局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内蒙古自治区电影局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中共莫旗委员会机构编制委员会办公室</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事业单位登记</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中共莫旗委员会机构编制委员会办公室</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《事业单位登记管理暂行条例》</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《事业单位登记管理暂行条例实施细则》（中央编办发〔2014〕4号）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国家事业单位登记管理局</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中共内蒙古自治区委员会机构编制委员会办公室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应建防空地下室的民用建筑项目报建审批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《中共中央国务院中央军委关于加强人民防空工作的决定》</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《内蒙古自治区实施〈中华人民共和国人民防空法〉办法》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《内蒙古自治区人民防空工程建设管理规定》（内蒙古自治区人民政府令第190号）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国家人防办</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内蒙古自治区国防动员办公室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206</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拆除人民防空工程审批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《中华人民共和国人民防空法》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《内蒙古自治区实施〈中华人民共和国人民防空法〉办法》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《内蒙古自治区人民防空工程建设管理规定》（内蒙古自治区人民政府令第190号）</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国家人民防空办公室</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内蒙古自治区国防动员办公室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207</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占用国防交通控制范围土地审批</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莫旗交通运输局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《中华人民共和国国防交通法》</w:t>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《国防交通条例》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国家交通战备办公室</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208</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建设工程、临时建设工程规划许可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《中华人民共和国城乡规划法》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国务院城乡规划主管部门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8"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i w:val="0"/>
                <w:iCs w:val="0"/>
                <w:color w:val="000000" w:themeColor="text1"/>
                <w:sz w:val="24"/>
                <w:szCs w:val="24"/>
                <w:u w:val="none"/>
                <w:lang w:val="en-US" w:eastAsia="zh-CN"/>
                <w14:textFill>
                  <w14:solidFill>
                    <w14:schemeClr w14:val="tx1"/>
                  </w14:solidFill>
                </w14:textFill>
              </w:rPr>
              <w:t>209</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莫旗自然资源局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乡村建设规划许可</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莫旗各乡镇人民政府</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《中华人民共和国城乡规划法》</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国务院城乡规划主管部门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内蒙古自治区自然资源厅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8"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14:textFill>
                  <w14:solidFill>
                    <w14:schemeClr w14:val="tx1"/>
                  </w14:solidFill>
                </w14:textFill>
              </w:rPr>
              <w:t>210</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spacing w:val="-1"/>
                <w:sz w:val="24"/>
                <w:szCs w:val="24"/>
              </w:rPr>
              <w:t>经营不分装农作物种</w:t>
            </w:r>
            <w:r>
              <w:rPr>
                <w:rFonts w:hint="eastAsia" w:ascii="仿宋" w:hAnsi="仿宋" w:eastAsia="仿宋" w:cs="仿宋"/>
                <w:spacing w:val="-2"/>
                <w:sz w:val="24"/>
                <w:szCs w:val="24"/>
              </w:rPr>
              <w:t>子备案</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pStyle w:val="12"/>
              <w:spacing w:before="28" w:line="219" w:lineRule="auto"/>
              <w:ind w:left="634" w:firstLine="238" w:firstLineChars="100"/>
              <w:jc w:val="left"/>
              <w:rPr>
                <w:rFonts w:hint="eastAsia" w:ascii="仿宋" w:hAnsi="仿宋" w:eastAsia="仿宋" w:cs="仿宋"/>
                <w:sz w:val="24"/>
                <w:szCs w:val="24"/>
              </w:rPr>
            </w:pPr>
            <w:r>
              <w:rPr>
                <w:rFonts w:hint="eastAsia" w:ascii="仿宋" w:hAnsi="仿宋" w:eastAsia="仿宋" w:cs="仿宋"/>
                <w:spacing w:val="-1"/>
                <w:sz w:val="24"/>
                <w:szCs w:val="24"/>
              </w:rPr>
              <w:t>《中华人民共和国种子法》</w:t>
            </w:r>
          </w:p>
          <w:p>
            <w:pPr>
              <w:pStyle w:val="12"/>
              <w:spacing w:before="3" w:line="219" w:lineRule="auto"/>
              <w:ind w:left="424"/>
              <w:rPr>
                <w:rFonts w:hint="eastAsia" w:ascii="仿宋" w:hAnsi="仿宋" w:eastAsia="仿宋" w:cs="仿宋"/>
                <w:sz w:val="24"/>
                <w:szCs w:val="24"/>
              </w:rPr>
            </w:pPr>
            <w:r>
              <w:rPr>
                <w:rFonts w:hint="eastAsia" w:ascii="仿宋" w:hAnsi="仿宋" w:eastAsia="仿宋" w:cs="仿宋"/>
                <w:spacing w:val="-1"/>
                <w:sz w:val="24"/>
                <w:szCs w:val="24"/>
              </w:rPr>
              <w:t>《农业转基因生物安全管理条例》</w:t>
            </w:r>
          </w:p>
          <w:p>
            <w:pPr>
              <w:pStyle w:val="12"/>
              <w:spacing w:before="3" w:line="219" w:lineRule="auto"/>
              <w:ind w:left="243"/>
              <w:rPr>
                <w:rFonts w:hint="eastAsia" w:ascii="仿宋" w:hAnsi="仿宋" w:eastAsia="仿宋" w:cs="仿宋"/>
                <w:sz w:val="24"/>
                <w:szCs w:val="24"/>
              </w:rPr>
            </w:pPr>
            <w:r>
              <w:rPr>
                <w:rFonts w:hint="eastAsia" w:ascii="仿宋" w:hAnsi="仿宋" w:eastAsia="仿宋" w:cs="仿宋"/>
                <w:spacing w:val="-1"/>
                <w:sz w:val="24"/>
                <w:szCs w:val="24"/>
              </w:rPr>
              <w:t>《转基因棉花种子生产经营许可规定》(农业部公告第2436号公布，农业农村部令</w:t>
            </w:r>
            <w:r>
              <w:rPr>
                <w:rFonts w:hint="eastAsia" w:ascii="仿宋" w:hAnsi="仿宋" w:eastAsia="仿宋" w:cs="仿宋"/>
                <w:spacing w:val="2"/>
                <w:sz w:val="24"/>
                <w:szCs w:val="24"/>
              </w:rPr>
              <w:t>2019年第2号修正)</w:t>
            </w:r>
          </w:p>
          <w:p>
            <w:pPr>
              <w:keepNext w:val="0"/>
              <w:keepLines w:val="0"/>
              <w:widowControl/>
              <w:suppressLineNumbers w:val="0"/>
              <w:ind w:firstLine="476" w:firstLineChars="200"/>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spacing w:val="-1"/>
                <w:position w:val="-2"/>
                <w:sz w:val="24"/>
                <w:szCs w:val="24"/>
              </w:rPr>
              <w:t>《内蒙古自治区农作物种子条例》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8" w:hRule="atLeast"/>
          <w:tblHeader/>
        </w:trPr>
        <w:tc>
          <w:tcPr>
            <w:tcW w:w="7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14:textFill>
                  <w14:solidFill>
                    <w14:schemeClr w14:val="tx1"/>
                  </w14:solidFill>
                </w14:textFill>
              </w:rPr>
              <w:t>211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莫旗农牧和科技局</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spacing w:val="-1"/>
                <w:sz w:val="24"/>
                <w:szCs w:val="24"/>
              </w:rPr>
              <w:t>农业植物调运检疫证</w:t>
            </w:r>
            <w:r>
              <w:rPr>
                <w:rFonts w:hint="eastAsia" w:ascii="仿宋" w:hAnsi="仿宋" w:eastAsia="仿宋" w:cs="仿宋"/>
                <w:spacing w:val="-2"/>
                <w:sz w:val="24"/>
                <w:szCs w:val="24"/>
              </w:rPr>
              <w:t>书核发</w:t>
            </w:r>
          </w:p>
        </w:tc>
        <w:tc>
          <w:tcPr>
            <w:tcW w:w="19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莫旗农牧和科技局</w:t>
            </w:r>
          </w:p>
        </w:tc>
        <w:tc>
          <w:tcPr>
            <w:tcW w:w="47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spacing w:val="-2"/>
                <w:sz w:val="24"/>
                <w:szCs w:val="24"/>
              </w:rPr>
              <w:t>《植物检疫条例》</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农业农村部</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内蒙古自治区农牧厅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blHeader/>
        </w:trPr>
        <w:tc>
          <w:tcPr>
            <w:tcW w:w="14405" w:type="dxa"/>
            <w:gridSpan w:val="7"/>
            <w:tcBorders>
              <w:top w:val="nil"/>
              <w:left w:val="nil"/>
              <w:bottom w:val="nil"/>
              <w:right w:val="nil"/>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备注：因苏木乡镇一级实施的行政许可事项数量较少，因此不单独编列清单，统一纳入上级清单管理；实行相对集中行政许可权改革的地区，在编制清单时按照改革方案确定实施机关。</w:t>
            </w:r>
          </w:p>
        </w:tc>
      </w:tr>
    </w:tbl>
    <w:p>
      <w:pPr>
        <w:rPr>
          <w:rFonts w:hint="eastAsia"/>
          <w:lang w:val="en-US" w:eastAsia="zh-CN"/>
        </w:rPr>
      </w:pPr>
    </w:p>
    <w:p>
      <w:pPr>
        <w:rPr>
          <w:rFonts w:hint="eastAsia"/>
          <w:lang w:val="en-US" w:eastAsia="zh-CN"/>
        </w:rPr>
      </w:pPr>
    </w:p>
    <w:p>
      <w:pPr>
        <w:jc w:val="left"/>
        <w:rPr>
          <w:rFonts w:hint="eastAsia" w:ascii="楷体" w:hAnsi="楷体" w:eastAsia="楷体" w:cs="楷体"/>
          <w:i w:val="0"/>
          <w:iCs w:val="0"/>
          <w:color w:val="000000"/>
          <w:kern w:val="0"/>
          <w:sz w:val="32"/>
          <w:szCs w:val="32"/>
          <w:u w:val="none"/>
          <w:lang w:val="en-US" w:eastAsia="zh-CN" w:bidi="ar"/>
        </w:rPr>
      </w:pPr>
    </w:p>
    <w:p>
      <w:pPr>
        <w:jc w:val="center"/>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i w:val="0"/>
          <w:iCs w:val="0"/>
          <w:color w:val="000000"/>
          <w:kern w:val="0"/>
          <w:sz w:val="32"/>
          <w:szCs w:val="32"/>
          <w:u w:val="none"/>
          <w:lang w:val="en-US" w:eastAsia="zh-CN" w:bidi="ar"/>
        </w:rPr>
        <w:t xml:space="preserve">第二部分：地方性法规、内蒙古自治区人民政府规章设定的行政许可事项清单（8项） </w:t>
      </w:r>
    </w:p>
    <w:tbl>
      <w:tblPr>
        <w:tblStyle w:val="9"/>
        <w:tblW w:w="50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28"/>
        <w:gridCol w:w="1525"/>
        <w:gridCol w:w="2226"/>
        <w:gridCol w:w="1787"/>
        <w:gridCol w:w="4479"/>
        <w:gridCol w:w="24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31" w:hRule="atLeast"/>
        </w:trPr>
        <w:tc>
          <w:tcPr>
            <w:tcW w:w="275" w:type="pct"/>
            <w:tcBorders>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序号</w:t>
            </w:r>
          </w:p>
        </w:tc>
        <w:tc>
          <w:tcPr>
            <w:tcW w:w="576" w:type="pct"/>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kern w:val="0"/>
                <w:sz w:val="24"/>
                <w:szCs w:val="24"/>
                <w:u w:val="none"/>
                <w:lang w:val="en-US" w:eastAsia="zh-CN" w:bidi="ar"/>
              </w:rPr>
            </w:pPr>
            <w:r>
              <w:rPr>
                <w:rFonts w:hint="eastAsia" w:ascii="黑体" w:hAnsi="黑体" w:eastAsia="黑体" w:cs="黑体"/>
                <w:i w:val="0"/>
                <w:iCs w:val="0"/>
                <w:color w:val="000000"/>
                <w:kern w:val="0"/>
                <w:sz w:val="24"/>
                <w:szCs w:val="24"/>
                <w:u w:val="none"/>
                <w:lang w:val="en-US" w:eastAsia="zh-CN" w:bidi="ar"/>
              </w:rPr>
              <w:t>市级主管</w:t>
            </w:r>
          </w:p>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部门</w:t>
            </w:r>
          </w:p>
        </w:tc>
        <w:tc>
          <w:tcPr>
            <w:tcW w:w="841" w:type="pct"/>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事项名称</w:t>
            </w:r>
          </w:p>
        </w:tc>
        <w:tc>
          <w:tcPr>
            <w:tcW w:w="675" w:type="pct"/>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实施机关</w:t>
            </w:r>
          </w:p>
        </w:tc>
        <w:tc>
          <w:tcPr>
            <w:tcW w:w="1692" w:type="pct"/>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设定和实施依据</w:t>
            </w:r>
          </w:p>
        </w:tc>
        <w:tc>
          <w:tcPr>
            <w:tcW w:w="938" w:type="pct"/>
            <w:tcBorders>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iCs w:val="0"/>
                <w:color w:val="000000"/>
                <w:sz w:val="24"/>
                <w:szCs w:val="24"/>
                <w:u w:val="none"/>
              </w:rPr>
            </w:pPr>
            <w:r>
              <w:rPr>
                <w:rFonts w:hint="eastAsia" w:ascii="黑体" w:hAnsi="黑体" w:eastAsia="黑体" w:cs="黑体"/>
                <w:i w:val="0"/>
                <w:iCs w:val="0"/>
                <w:color w:val="000000"/>
                <w:kern w:val="0"/>
                <w:sz w:val="24"/>
                <w:szCs w:val="24"/>
                <w:u w:val="none"/>
                <w:lang w:val="en-US" w:eastAsia="zh-CN" w:bidi="ar"/>
              </w:rPr>
              <w:t>自治区主管部门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0"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莫旗住房和城乡建设局</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供热经营许可</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莫旗住房和城乡建设局</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《内蒙古自治区城镇供热条例》</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内蒙古自治区住房和城乡建设厅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10"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莫旗水利局</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新建、改建、扩建农村牧区饮用水供水工程审查</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莫旗水利局</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《内蒙古自治区农村牧区饮用水供水条例》</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内蒙古自治区水利厅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60"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莫旗市场监督管理局</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食品生产加工小作坊登记</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莫旗市场监督管理局</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《内蒙古自治区食品生产加工小作坊和食品摊贩管理条例》</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市场监督管理局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61"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莫旗林业和草原局</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出售、购买、利用非国家重点陆生野生动物及其制品审批</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莫旗林业和草原局</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《内蒙古自治区实施〈中华人民共和国野生动物保护法〉办法》</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林业和草原局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95"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莫旗林业和草原局</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非国家重点保护陆生野生动物人工繁育许可证核发</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莫旗林业和草原局</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《内蒙古自治区实施〈中华人民共和国野生动物保护法〉办法》</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林业和草原局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504"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6</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在危及人防工程范围内采石、挖沙、取土、修建地面建筑、埋设地下管线和人防工程口部修建其他建筑物许可</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《内蒙古自治区实施〈中华人民共和国人民防空法〉办法》</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国防动员办公室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22" w:hRule="atLeast"/>
        </w:trPr>
        <w:tc>
          <w:tcPr>
            <w:tcW w:w="275" w:type="pc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7</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人民防空警报设施拆除审批</w:t>
            </w:r>
          </w:p>
        </w:tc>
        <w:tc>
          <w:tcPr>
            <w:tcW w:w="6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16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《内蒙古自治区实施〈中华人民共和国人民防空法〉办法》</w:t>
            </w:r>
          </w:p>
        </w:tc>
        <w:tc>
          <w:tcPr>
            <w:tcW w:w="938" w:type="pct"/>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国防动员办公室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14" w:hRule="atLeast"/>
        </w:trPr>
        <w:tc>
          <w:tcPr>
            <w:tcW w:w="275" w:type="pct"/>
            <w:tcBorders>
              <w:top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8</w:t>
            </w:r>
          </w:p>
        </w:tc>
        <w:tc>
          <w:tcPr>
            <w:tcW w:w="576"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841"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城市修建地下通道或者地下商场、仓库工程兼顾人民防空需要审查</w:t>
            </w:r>
          </w:p>
        </w:tc>
        <w:tc>
          <w:tcPr>
            <w:tcW w:w="675"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莫旗发展和改革委员会（莫旗人民防空办公室）</w:t>
            </w:r>
          </w:p>
        </w:tc>
        <w:tc>
          <w:tcPr>
            <w:tcW w:w="1692"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《内蒙古自治区实施〈中华人民共和国人民防空法〉办法》</w:t>
            </w:r>
          </w:p>
        </w:tc>
        <w:tc>
          <w:tcPr>
            <w:tcW w:w="938" w:type="pct"/>
            <w:tcBorders>
              <w:top w:val="single" w:color="000000" w:sz="4" w:space="0"/>
              <w:lef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内蒙古自治区</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i w:val="0"/>
                <w:iCs w:val="0"/>
                <w:color w:val="000000" w:themeColor="text1"/>
                <w:kern w:val="0"/>
                <w:sz w:val="24"/>
                <w:szCs w:val="24"/>
                <w:u w:val="none"/>
                <w:lang w:val="en-US" w:eastAsia="zh-CN" w:bidi="ar"/>
                <w14:textFill>
                  <w14:solidFill>
                    <w14:schemeClr w14:val="tx1"/>
                  </w14:solidFill>
                </w14:textFill>
              </w:rPr>
              <w:t>国防动员办公室</w:t>
            </w:r>
          </w:p>
        </w:tc>
      </w:tr>
    </w:tbl>
    <w:p>
      <w:pPr>
        <w:pStyle w:val="8"/>
        <w:keepNext w:val="0"/>
        <w:keepLines w:val="0"/>
        <w:pageBreakBefore w:val="0"/>
        <w:widowControl w:val="0"/>
        <w:kinsoku/>
        <w:wordWrap/>
        <w:overflowPunct/>
        <w:topLinePunct w:val="0"/>
        <w:bidi w:val="0"/>
        <w:spacing w:line="660" w:lineRule="exact"/>
        <w:ind w:left="0" w:leftChars="0" w:firstLine="0" w:firstLineChars="0"/>
        <w:jc w:val="left"/>
        <w:textAlignment w:val="auto"/>
        <w:rPr>
          <w:rFonts w:hint="eastAsia" w:hAnsi="仿宋_GB2312" w:cs="仿宋_GB2312"/>
          <w:sz w:val="32"/>
          <w:szCs w:val="32"/>
          <w:lang w:val="en-US" w:eastAsia="zh-CN"/>
        </w:rPr>
      </w:pPr>
    </w:p>
    <w:sectPr>
      <w:footerReference r:id="rId3" w:type="default"/>
      <w:pgSz w:w="16838" w:h="11906" w:orient="landscape"/>
      <w:pgMar w:top="1531" w:right="2098" w:bottom="1531" w:left="1984" w:header="851" w:footer="947"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D155BA5-4E4F-49F5-963B-ED5E812E9A1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CC85F2F-EF83-44F5-8EAF-21BE5CE96B14}"/>
  </w:font>
  <w:font w:name="仿宋_GB2312">
    <w:altName w:val="仿宋"/>
    <w:panose1 w:val="02010609030101010101"/>
    <w:charset w:val="86"/>
    <w:family w:val="auto"/>
    <w:pitch w:val="default"/>
    <w:sig w:usb0="00000000" w:usb1="00000000" w:usb2="00000000" w:usb3="00000000" w:csb0="00040000" w:csb1="00000000"/>
    <w:embedRegular r:id="rId3" w:fontKey="{DB22DD2A-CD82-4091-B7D2-64007E305345}"/>
  </w:font>
  <w:font w:name="方正小标宋简体">
    <w:panose1 w:val="02000000000000000000"/>
    <w:charset w:val="86"/>
    <w:family w:val="auto"/>
    <w:pitch w:val="default"/>
    <w:sig w:usb0="00000001" w:usb1="08000000" w:usb2="00000000" w:usb3="00000000" w:csb0="00040000" w:csb1="00000000"/>
    <w:embedRegular r:id="rId4" w:fontKey="{10EA0FC3-C93A-42B7-8934-433892C06FF3}"/>
  </w:font>
  <w:font w:name="楷体_GB2312">
    <w:altName w:val="楷体"/>
    <w:panose1 w:val="02010609030101010101"/>
    <w:charset w:val="86"/>
    <w:family w:val="auto"/>
    <w:pitch w:val="default"/>
    <w:sig w:usb0="00000000" w:usb1="00000000" w:usb2="00000000" w:usb3="00000000" w:csb0="00040000" w:csb1="00000000"/>
    <w:embedRegular r:id="rId5" w:fontKey="{3B39B208-55C5-44B1-AC9D-8F31CD414E39}"/>
  </w:font>
  <w:font w:name="方正仿宋_GB18030">
    <w:altName w:val="仿宋"/>
    <w:panose1 w:val="02000000000000000000"/>
    <w:charset w:val="86"/>
    <w:family w:val="auto"/>
    <w:pitch w:val="default"/>
    <w:sig w:usb0="00000000" w:usb1="00000000" w:usb2="00000000" w:usb3="00000000" w:csb0="00040000" w:csb1="00000000"/>
    <w:embedRegular r:id="rId6" w:fontKey="{6B43BAE1-8865-4363-8FB8-EC1709BC6E74}"/>
  </w:font>
  <w:font w:name="仿宋">
    <w:panose1 w:val="02010609060101010101"/>
    <w:charset w:val="86"/>
    <w:family w:val="auto"/>
    <w:pitch w:val="default"/>
    <w:sig w:usb0="800002BF" w:usb1="38CF7CFA" w:usb2="00000016" w:usb3="00000000" w:csb0="00040001" w:csb1="00000000"/>
    <w:embedRegular r:id="rId7" w:fontKey="{C7FD3945-43A9-42EE-B57C-5C4CBE784657}"/>
  </w:font>
  <w:font w:name="方正仿宋_GB2312">
    <w:panose1 w:val="02000000000000000000"/>
    <w:charset w:val="86"/>
    <w:family w:val="auto"/>
    <w:pitch w:val="default"/>
    <w:sig w:usb0="A00002BF" w:usb1="184F6CFA" w:usb2="00000012" w:usb3="00000000" w:csb0="00040001" w:csb1="00000000"/>
    <w:embedRegular r:id="rId8" w:fontKey="{50F4111D-C6A7-4C20-BAFC-463F4216ED7F}"/>
  </w:font>
  <w:font w:name="楷体">
    <w:panose1 w:val="02010609060101010101"/>
    <w:charset w:val="86"/>
    <w:family w:val="auto"/>
    <w:pitch w:val="default"/>
    <w:sig w:usb0="800002BF" w:usb1="38CF7CFA" w:usb2="00000016" w:usb3="00000000" w:csb0="00040001" w:csb1="00000000"/>
    <w:embedRegular r:id="rId9" w:fontKey="{0AD930AF-6BE8-4479-B37B-29F06E7D78B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JhNmI0M2NmMmQ2M2RmNDhmZTZhODkyNGYzODY4NDAifQ=="/>
  </w:docVars>
  <w:rsids>
    <w:rsidRoot w:val="2A9C3C89"/>
    <w:rsid w:val="00CF3752"/>
    <w:rsid w:val="01050F22"/>
    <w:rsid w:val="02527F3A"/>
    <w:rsid w:val="02F254D6"/>
    <w:rsid w:val="03125B78"/>
    <w:rsid w:val="038658E1"/>
    <w:rsid w:val="03BD5AE4"/>
    <w:rsid w:val="06677F89"/>
    <w:rsid w:val="06C501D3"/>
    <w:rsid w:val="079428D4"/>
    <w:rsid w:val="09185D37"/>
    <w:rsid w:val="097C3D4B"/>
    <w:rsid w:val="0A7D2C1C"/>
    <w:rsid w:val="0AC37E28"/>
    <w:rsid w:val="11AA3420"/>
    <w:rsid w:val="120A610D"/>
    <w:rsid w:val="129A3494"/>
    <w:rsid w:val="13354E3D"/>
    <w:rsid w:val="14830684"/>
    <w:rsid w:val="14B22D17"/>
    <w:rsid w:val="150A5C0F"/>
    <w:rsid w:val="159A609C"/>
    <w:rsid w:val="15CC6AEE"/>
    <w:rsid w:val="16BA7BC9"/>
    <w:rsid w:val="16CC2283"/>
    <w:rsid w:val="19957DA4"/>
    <w:rsid w:val="1A2248EA"/>
    <w:rsid w:val="1AE87493"/>
    <w:rsid w:val="1D412E8A"/>
    <w:rsid w:val="1DEC729A"/>
    <w:rsid w:val="1F2660AA"/>
    <w:rsid w:val="1FB913FE"/>
    <w:rsid w:val="208915F6"/>
    <w:rsid w:val="223B434C"/>
    <w:rsid w:val="241F1A4B"/>
    <w:rsid w:val="24EC7B7F"/>
    <w:rsid w:val="25DA3E7C"/>
    <w:rsid w:val="26D22B93"/>
    <w:rsid w:val="27693709"/>
    <w:rsid w:val="277E4694"/>
    <w:rsid w:val="28C63B09"/>
    <w:rsid w:val="28E3573D"/>
    <w:rsid w:val="292011F5"/>
    <w:rsid w:val="2A9C3C89"/>
    <w:rsid w:val="2C2B2026"/>
    <w:rsid w:val="2C646B95"/>
    <w:rsid w:val="2D452523"/>
    <w:rsid w:val="2E0527A2"/>
    <w:rsid w:val="2E6D23CA"/>
    <w:rsid w:val="2FDA36CC"/>
    <w:rsid w:val="301F52AD"/>
    <w:rsid w:val="30A9101A"/>
    <w:rsid w:val="32470AEB"/>
    <w:rsid w:val="3321758E"/>
    <w:rsid w:val="336F6F2E"/>
    <w:rsid w:val="34CA5C86"/>
    <w:rsid w:val="36372C24"/>
    <w:rsid w:val="3681002D"/>
    <w:rsid w:val="37F94635"/>
    <w:rsid w:val="3A1D19F6"/>
    <w:rsid w:val="3A1E0383"/>
    <w:rsid w:val="3B304BCD"/>
    <w:rsid w:val="3CFA5D8B"/>
    <w:rsid w:val="3D5440BC"/>
    <w:rsid w:val="400C5C9C"/>
    <w:rsid w:val="42422152"/>
    <w:rsid w:val="45486BFC"/>
    <w:rsid w:val="488A3088"/>
    <w:rsid w:val="49310F9E"/>
    <w:rsid w:val="4A8F2BD7"/>
    <w:rsid w:val="4A9453D7"/>
    <w:rsid w:val="4C6A552F"/>
    <w:rsid w:val="4E3D2D1D"/>
    <w:rsid w:val="4FFD05E3"/>
    <w:rsid w:val="50406E4E"/>
    <w:rsid w:val="52D153BA"/>
    <w:rsid w:val="538704C1"/>
    <w:rsid w:val="55CE2031"/>
    <w:rsid w:val="56014C12"/>
    <w:rsid w:val="5806097D"/>
    <w:rsid w:val="5866141B"/>
    <w:rsid w:val="594C6863"/>
    <w:rsid w:val="5979517E"/>
    <w:rsid w:val="5A7A2F5C"/>
    <w:rsid w:val="5B71199B"/>
    <w:rsid w:val="5BC07095"/>
    <w:rsid w:val="5C473312"/>
    <w:rsid w:val="5D532BCA"/>
    <w:rsid w:val="5DAC03AC"/>
    <w:rsid w:val="5DB524FD"/>
    <w:rsid w:val="5E455387"/>
    <w:rsid w:val="5E6C0D37"/>
    <w:rsid w:val="5F531FCE"/>
    <w:rsid w:val="5FE3C8F3"/>
    <w:rsid w:val="6300246C"/>
    <w:rsid w:val="652561BA"/>
    <w:rsid w:val="65C91E0B"/>
    <w:rsid w:val="66805D9E"/>
    <w:rsid w:val="66DD23B9"/>
    <w:rsid w:val="670047E9"/>
    <w:rsid w:val="67E1286C"/>
    <w:rsid w:val="6A8018AC"/>
    <w:rsid w:val="6B3216F5"/>
    <w:rsid w:val="6CB22A29"/>
    <w:rsid w:val="6F7D0244"/>
    <w:rsid w:val="734C543A"/>
    <w:rsid w:val="73AE74BC"/>
    <w:rsid w:val="74F32408"/>
    <w:rsid w:val="754949D9"/>
    <w:rsid w:val="75EF16EA"/>
    <w:rsid w:val="76CC1706"/>
    <w:rsid w:val="77F5ECAB"/>
    <w:rsid w:val="78B10B79"/>
    <w:rsid w:val="7908577F"/>
    <w:rsid w:val="7BA43E85"/>
    <w:rsid w:val="7BC63DFB"/>
    <w:rsid w:val="7BFB72FA"/>
    <w:rsid w:val="7D0E55BB"/>
    <w:rsid w:val="7DCC49E8"/>
    <w:rsid w:val="7DEFB4C5"/>
    <w:rsid w:val="7E266DD3"/>
    <w:rsid w:val="7EAF0CA7"/>
    <w:rsid w:val="7F556080"/>
    <w:rsid w:val="7FDCDBC2"/>
    <w:rsid w:val="7FF40F34"/>
    <w:rsid w:val="95FBDAC2"/>
    <w:rsid w:val="96EA95BB"/>
    <w:rsid w:val="97FB1D05"/>
    <w:rsid w:val="AFDBA82B"/>
    <w:rsid w:val="B3AE83BA"/>
    <w:rsid w:val="B3B7AF60"/>
    <w:rsid w:val="CF5EC9C5"/>
    <w:rsid w:val="DE8F3157"/>
    <w:rsid w:val="DEEDCB89"/>
    <w:rsid w:val="E65ED504"/>
    <w:rsid w:val="EFFB62E8"/>
    <w:rsid w:val="F7FB2DCE"/>
    <w:rsid w:val="FC59DD3B"/>
    <w:rsid w:val="FDC6380A"/>
    <w:rsid w:val="FDDF70AF"/>
    <w:rsid w:val="FEBDAAA3"/>
    <w:rsid w:val="FEF76098"/>
    <w:rsid w:val="FFEFF409"/>
    <w:rsid w:val="FFFBBAE1"/>
    <w:rsid w:val="FFFBC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48" w:firstLineChars="200"/>
    </w:pPr>
    <w:rPr>
      <w:rFonts w:ascii="Calibri" w:hAnsi="Calibri" w:cs="Calibri"/>
      <w:szCs w:val="21"/>
    </w:rPr>
  </w:style>
  <w:style w:type="paragraph" w:styleId="5">
    <w:name w:val="Body Text Indent"/>
    <w:basedOn w:val="1"/>
    <w:qFormat/>
    <w:uiPriority w:val="0"/>
    <w:pPr>
      <w:ind w:left="1260" w:leftChars="600"/>
    </w:pPr>
    <w:rPr>
      <w:rFonts w:ascii="仿宋_GB2312" w:eastAsia="仿宋_GB2312"/>
      <w:sz w:val="32"/>
      <w:szCs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qFormat/>
    <w:uiPriority w:val="0"/>
    <w:pPr>
      <w:ind w:firstLine="420" w:firstLineChars="200"/>
    </w:pPr>
  </w:style>
  <w:style w:type="character" w:customStyle="1" w:styleId="11">
    <w:name w:val="NormalCharacter"/>
    <w:semiHidden/>
    <w:qFormat/>
    <w:uiPriority w:val="0"/>
    <w:rPr>
      <w:rFonts w:eastAsia="宋体"/>
      <w:kern w:val="2"/>
      <w:sz w:val="21"/>
      <w:szCs w:val="24"/>
      <w:lang w:val="en-US" w:eastAsia="zh-CN" w:bidi="ar-SA"/>
    </w:rPr>
  </w:style>
  <w:style w:type="paragraph" w:customStyle="1" w:styleId="12">
    <w:name w:val="Table Text"/>
    <w:basedOn w:val="1"/>
    <w:semiHidden/>
    <w:qFormat/>
    <w:uiPriority w:val="0"/>
    <w:rPr>
      <w:rFonts w:ascii="宋体" w:hAnsi="宋体" w:eastAsia="宋体" w:cs="宋体"/>
      <w:sz w:val="14"/>
      <w:szCs w:val="14"/>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33970</Words>
  <Characters>35050</Characters>
  <Lines>0</Lines>
  <Paragraphs>0</Paragraphs>
  <TotalTime>22</TotalTime>
  <ScaleCrop>false</ScaleCrop>
  <LinksUpToDate>false</LinksUpToDate>
  <CharactersWithSpaces>35060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2020-03-26T17:23:00Z</dcterms:created>
  <dc:creator>蔬菜的</dc:creator>
  <cp:lastModifiedBy>演示人</cp:lastModifiedBy>
  <cp:lastPrinted>2024-01-31T15:06:00Z</cp:lastPrinted>
  <dcterms:modified xsi:type="dcterms:W3CDTF">2024-01-31T09:08:11Z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03ED328103F5414B8BD26B3EFCFB7596_13</vt:lpwstr>
  </property>
</Properties>
</file>