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tabs>
          <w:tab w:val="right" w:leader="dot" w:pos="8200"/>
        </w:tabs>
        <w:spacing w:line="560" w:lineRule="exact"/>
        <w:rPr>
          <w:rFonts w:ascii="楷体_GB2312" w:hAnsi="楷体_GB2312" w:eastAsia="楷体_GB2312" w:cs="楷体_GB2312"/>
          <w:kern w:val="0"/>
          <w:szCs w:val="2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r>
        <w:rPr>
          <w:rFonts w:hint="eastAsia" w:ascii="楷体_GB2312" w:hAnsi="楷体_GB2312" w:eastAsia="楷体_GB2312" w:cs="楷体_GB2312"/>
          <w:kern w:val="0"/>
          <w:sz w:val="48"/>
          <w:szCs w:val="48"/>
        </w:rPr>
        <w:t>莫力达瓦达斡尔族自治旗招商引资</w:t>
      </w:r>
    </w:p>
    <w:p>
      <w:pPr>
        <w:pStyle w:val="11"/>
        <w:tabs>
          <w:tab w:val="right" w:leader="dot" w:pos="8200"/>
        </w:tabs>
        <w:spacing w:line="560" w:lineRule="exact"/>
        <w:ind w:left="560"/>
        <w:jc w:val="center"/>
        <w:rPr>
          <w:rFonts w:ascii="楷体_GB2312" w:hAnsi="楷体_GB2312" w:eastAsia="楷体_GB2312" w:cs="楷体_GB2312"/>
          <w:kern w:val="0"/>
          <w:sz w:val="48"/>
          <w:szCs w:val="4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p>
    <w:p>
      <w:pPr>
        <w:pStyle w:val="11"/>
        <w:tabs>
          <w:tab w:val="right" w:leader="dot" w:pos="8200"/>
        </w:tabs>
        <w:spacing w:line="560" w:lineRule="exact"/>
        <w:ind w:left="560"/>
        <w:jc w:val="center"/>
        <w:rPr>
          <w:rFonts w:ascii="楷体_GB2312" w:hAnsi="楷体_GB2312" w:eastAsia="楷体_GB2312" w:cs="楷体_GB2312"/>
          <w:kern w:val="0"/>
          <w:sz w:val="48"/>
          <w:szCs w:val="48"/>
        </w:rPr>
      </w:pPr>
      <w:r>
        <w:rPr>
          <w:rFonts w:hint="eastAsia" w:ascii="楷体_GB2312" w:hAnsi="楷体_GB2312" w:eastAsia="楷体_GB2312" w:cs="楷体_GB2312"/>
          <w:kern w:val="0"/>
          <w:sz w:val="48"/>
          <w:szCs w:val="48"/>
        </w:rPr>
        <w:t>适用政策汇编</w:t>
      </w:r>
    </w:p>
    <w:p>
      <w:pPr>
        <w:spacing w:line="560" w:lineRule="exact"/>
        <w:rPr>
          <w:rFonts w:ascii="楷体_GB2312" w:hAnsi="楷体_GB2312" w:eastAsia="楷体_GB2312" w:cs="楷体_GB2312"/>
          <w:kern w:val="0"/>
          <w:sz w:val="48"/>
          <w:szCs w:val="48"/>
        </w:rPr>
      </w:pPr>
    </w:p>
    <w:p>
      <w:pPr>
        <w:pStyle w:val="2"/>
        <w:spacing w:line="560" w:lineRule="exact"/>
        <w:ind w:left="560" w:firstLine="916"/>
        <w:rPr>
          <w:rFonts w:ascii="楷体_GB2312" w:hAnsi="楷体_GB2312" w:eastAsia="楷体_GB2312" w:cs="楷体_GB2312"/>
          <w:sz w:val="48"/>
          <w:szCs w:val="48"/>
        </w:rPr>
      </w:pPr>
    </w:p>
    <w:p>
      <w:pPr>
        <w:spacing w:line="560" w:lineRule="exact"/>
        <w:rPr>
          <w:rFonts w:ascii="楷体_GB2312" w:hAnsi="楷体_GB2312" w:eastAsia="楷体_GB2312" w:cs="楷体_GB2312"/>
          <w:kern w:val="0"/>
          <w:sz w:val="48"/>
          <w:szCs w:val="48"/>
        </w:rPr>
      </w:pPr>
    </w:p>
    <w:p>
      <w:pPr>
        <w:pStyle w:val="2"/>
        <w:spacing w:line="560" w:lineRule="exact"/>
        <w:ind w:left="560" w:firstLine="916"/>
        <w:rPr>
          <w:rFonts w:ascii="楷体_GB2312" w:hAnsi="楷体_GB2312" w:eastAsia="楷体_GB2312" w:cs="楷体_GB2312"/>
          <w:sz w:val="48"/>
          <w:szCs w:val="48"/>
        </w:rPr>
      </w:pPr>
    </w:p>
    <w:p>
      <w:pPr>
        <w:spacing w:line="560" w:lineRule="exact"/>
        <w:rPr>
          <w:rFonts w:ascii="楷体_GB2312" w:hAnsi="楷体_GB2312" w:eastAsia="楷体_GB2312" w:cs="楷体_GB2312"/>
          <w:kern w:val="0"/>
          <w:sz w:val="48"/>
          <w:szCs w:val="48"/>
        </w:rPr>
      </w:pPr>
    </w:p>
    <w:p>
      <w:pPr>
        <w:pStyle w:val="2"/>
        <w:spacing w:line="560" w:lineRule="exact"/>
        <w:ind w:left="560" w:firstLine="916"/>
        <w:rPr>
          <w:rFonts w:ascii="楷体_GB2312" w:hAnsi="楷体_GB2312" w:eastAsia="楷体_GB2312" w:cs="楷体_GB2312"/>
          <w:sz w:val="48"/>
          <w:szCs w:val="48"/>
        </w:rPr>
      </w:pPr>
    </w:p>
    <w:p>
      <w:pPr>
        <w:spacing w:line="560" w:lineRule="exact"/>
        <w:rPr>
          <w:rFonts w:ascii="楷体_GB2312" w:hAnsi="楷体_GB2312" w:eastAsia="楷体_GB2312" w:cs="楷体_GB2312"/>
          <w:kern w:val="0"/>
          <w:sz w:val="48"/>
          <w:szCs w:val="48"/>
        </w:rPr>
      </w:pPr>
    </w:p>
    <w:p>
      <w:pPr>
        <w:pStyle w:val="2"/>
        <w:spacing w:line="560" w:lineRule="exact"/>
        <w:ind w:left="560" w:firstLine="916"/>
        <w:rPr>
          <w:rFonts w:hint="eastAsia" w:ascii="楷体_GB2312" w:hAnsi="楷体_GB2312" w:eastAsia="楷体_GB2312" w:cs="楷体_GB2312"/>
          <w:sz w:val="48"/>
          <w:szCs w:val="48"/>
          <w:lang w:eastAsia="zh-CN"/>
        </w:rPr>
      </w:pPr>
    </w:p>
    <w:p>
      <w:pPr>
        <w:rPr>
          <w:rFonts w:hint="eastAsia" w:ascii="楷体_GB2312" w:hAnsi="楷体_GB2312" w:eastAsia="楷体_GB2312" w:cs="楷体_GB2312"/>
          <w:sz w:val="48"/>
          <w:szCs w:val="48"/>
          <w:lang w:eastAsia="zh-CN"/>
        </w:rPr>
      </w:pPr>
    </w:p>
    <w:p>
      <w:pPr>
        <w:pStyle w:val="2"/>
        <w:rPr>
          <w:rFonts w:hint="eastAsia"/>
          <w:lang w:eastAsia="zh-CN"/>
        </w:rPr>
      </w:pPr>
    </w:p>
    <w:p>
      <w:pPr>
        <w:spacing w:line="560" w:lineRule="exact"/>
        <w:jc w:val="center"/>
        <w:rPr>
          <w:rFonts w:ascii="楷体" w:hAnsi="楷体" w:eastAsia="楷体" w:cs="楷体"/>
          <w:kern w:val="0"/>
          <w:sz w:val="36"/>
          <w:szCs w:val="36"/>
        </w:rPr>
      </w:pPr>
      <w:r>
        <w:rPr>
          <w:rFonts w:hint="eastAsia" w:ascii="楷体" w:hAnsi="楷体" w:eastAsia="楷体" w:cs="楷体"/>
          <w:kern w:val="0"/>
          <w:sz w:val="36"/>
          <w:szCs w:val="36"/>
        </w:rPr>
        <w:t>莫旗人民政府</w:t>
      </w:r>
    </w:p>
    <w:p>
      <w:pPr>
        <w:pStyle w:val="2"/>
        <w:spacing w:line="560" w:lineRule="exact"/>
        <w:ind w:left="0" w:leftChars="0" w:firstLine="0" w:firstLineChars="0"/>
        <w:jc w:val="center"/>
        <w:rPr>
          <w:rFonts w:ascii="楷体" w:hAnsi="楷体" w:eastAsia="楷体" w:cs="楷体"/>
          <w:sz w:val="36"/>
          <w:szCs w:val="36"/>
        </w:rPr>
      </w:pPr>
      <w:r>
        <w:rPr>
          <w:rFonts w:hint="eastAsia" w:ascii="楷体" w:hAnsi="楷体" w:eastAsia="楷体" w:cs="楷体"/>
          <w:sz w:val="36"/>
          <w:szCs w:val="36"/>
        </w:rPr>
        <w:t>2023年3月</w:t>
      </w:r>
    </w:p>
    <w:p>
      <w:pPr>
        <w:spacing w:line="560" w:lineRule="exact"/>
        <w:rPr>
          <w:rFonts w:ascii="楷体_GB2312" w:hAnsi="楷体_GB2312" w:eastAsia="楷体_GB2312" w:cs="楷体_GB2312"/>
          <w:kern w:val="0"/>
          <w:sz w:val="48"/>
          <w:szCs w:val="48"/>
        </w:rPr>
      </w:pPr>
    </w:p>
    <w:p>
      <w:pPr>
        <w:pStyle w:val="2"/>
        <w:spacing w:line="560" w:lineRule="exact"/>
        <w:ind w:left="560" w:firstLine="916"/>
        <w:rPr>
          <w:rFonts w:ascii="楷体_GB2312" w:hAnsi="楷体_GB2312" w:eastAsia="楷体_GB2312" w:cs="楷体_GB2312"/>
          <w:sz w:val="48"/>
          <w:szCs w:val="48"/>
        </w:rPr>
      </w:pPr>
    </w:p>
    <w:p>
      <w:pPr>
        <w:spacing w:line="560" w:lineRule="exact"/>
        <w:rPr>
          <w:rFonts w:ascii="楷体_GB2312" w:hAnsi="楷体_GB2312" w:eastAsia="楷体_GB2312" w:cs="楷体_GB2312"/>
          <w:kern w:val="0"/>
          <w:sz w:val="48"/>
          <w:szCs w:val="48"/>
        </w:rPr>
      </w:pPr>
    </w:p>
    <w:p>
      <w:pPr>
        <w:spacing w:line="560" w:lineRule="exact"/>
        <w:sectPr>
          <w:pgSz w:w="11906" w:h="16838"/>
          <w:pgMar w:top="1440" w:right="1800" w:bottom="1440" w:left="1800" w:header="851" w:footer="992" w:gutter="0"/>
          <w:cols w:space="425" w:num="1"/>
          <w:docGrid w:type="lines" w:linePitch="312" w:charSpace="0"/>
        </w:sectPr>
      </w:pPr>
    </w:p>
    <w:p>
      <w:pPr>
        <w:pStyle w:val="11"/>
        <w:tabs>
          <w:tab w:val="right" w:leader="dot" w:pos="8200"/>
        </w:tabs>
        <w:spacing w:line="560" w:lineRule="exact"/>
        <w:ind w:left="0" w:leftChars="0" w:firstLine="0" w:firstLineChars="0"/>
        <w:jc w:val="center"/>
        <w:rPr>
          <w:rFonts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目  录</w:t>
      </w:r>
    </w:p>
    <w:p>
      <w:pPr>
        <w:spacing w:line="560" w:lineRule="exact"/>
      </w:pPr>
    </w:p>
    <w:p>
      <w:pPr>
        <w:pStyle w:val="11"/>
        <w:tabs>
          <w:tab w:val="right" w:leader="dot" w:pos="8200"/>
        </w:tabs>
        <w:spacing w:line="560" w:lineRule="exact"/>
        <w:ind w:left="560"/>
        <w:rPr>
          <w:rFonts w:cs="仿宋_GB2312"/>
        </w:rPr>
      </w:pPr>
      <w:r>
        <w:fldChar w:fldCharType="begin"/>
      </w:r>
      <w:r>
        <w:instrText xml:space="preserve"> HYPERLINK \l "_Toc13626" </w:instrText>
      </w:r>
      <w:r>
        <w:fldChar w:fldCharType="separate"/>
      </w:r>
      <w:r>
        <w:rPr>
          <w:rFonts w:hint="eastAsia" w:cs="仿宋_GB2312"/>
        </w:rPr>
        <w:t>一、西部大开发适用政策</w:t>
      </w:r>
      <w:r>
        <w:rPr>
          <w:rFonts w:hint="eastAsia" w:cs="仿宋_GB2312"/>
        </w:rPr>
        <w:tab/>
      </w:r>
      <w:r>
        <w:rPr>
          <w:rFonts w:hint="eastAsia" w:cs="仿宋_GB2312"/>
        </w:rPr>
        <w:fldChar w:fldCharType="begin"/>
      </w:r>
      <w:r>
        <w:rPr>
          <w:rFonts w:hint="eastAsia" w:cs="仿宋_GB2312"/>
        </w:rPr>
        <w:instrText xml:space="preserve"> PAGEREF _Toc13626 \h </w:instrText>
      </w:r>
      <w:r>
        <w:rPr>
          <w:rFonts w:hint="eastAsia" w:cs="仿宋_GB2312"/>
        </w:rPr>
        <w:fldChar w:fldCharType="separate"/>
      </w:r>
      <w:r>
        <w:rPr>
          <w:rFonts w:hint="eastAsia" w:cs="仿宋_GB2312"/>
        </w:rPr>
        <w:t>1</w:t>
      </w:r>
      <w:r>
        <w:rPr>
          <w:rFonts w:hint="eastAsia" w:cs="仿宋_GB2312"/>
        </w:rPr>
        <w:fldChar w:fldCharType="end"/>
      </w:r>
      <w:r>
        <w:rPr>
          <w:rFonts w:hint="eastAsia" w:cs="仿宋_GB2312"/>
        </w:rPr>
        <w:fldChar w:fldCharType="end"/>
      </w:r>
    </w:p>
    <w:p>
      <w:pPr>
        <w:pStyle w:val="7"/>
        <w:tabs>
          <w:tab w:val="right" w:leader="dot" w:pos="8200"/>
        </w:tabs>
        <w:spacing w:line="560" w:lineRule="exact"/>
        <w:ind w:left="1120"/>
        <w:rPr>
          <w:rFonts w:cs="仿宋_GB2312"/>
        </w:rPr>
      </w:pPr>
      <w:r>
        <w:fldChar w:fldCharType="begin"/>
      </w:r>
      <w:r>
        <w:instrText xml:space="preserve"> HYPERLINK \l "_Toc17740" </w:instrText>
      </w:r>
      <w:r>
        <w:fldChar w:fldCharType="separate"/>
      </w:r>
      <w:r>
        <w:rPr>
          <w:rFonts w:hint="eastAsia" w:cs="仿宋_GB2312"/>
          <w:szCs w:val="28"/>
        </w:rPr>
        <w:t>（一）国家级适用政策</w:t>
      </w:r>
      <w:r>
        <w:rPr>
          <w:rFonts w:hint="eastAsia" w:cs="仿宋_GB2312"/>
        </w:rPr>
        <w:tab/>
      </w:r>
      <w:r>
        <w:rPr>
          <w:rFonts w:hint="eastAsia" w:cs="仿宋_GB2312"/>
        </w:rPr>
        <w:t>1</w:t>
      </w:r>
      <w:r>
        <w:rPr>
          <w:rFonts w:hint="eastAsia" w:cs="仿宋_GB2312"/>
        </w:rPr>
        <w:fldChar w:fldCharType="end"/>
      </w:r>
    </w:p>
    <w:p>
      <w:pPr>
        <w:pStyle w:val="7"/>
        <w:tabs>
          <w:tab w:val="right" w:leader="dot" w:pos="8200"/>
        </w:tabs>
        <w:spacing w:line="560" w:lineRule="exact"/>
        <w:ind w:left="1120"/>
        <w:rPr>
          <w:rFonts w:cs="仿宋_GB2312"/>
        </w:rPr>
      </w:pPr>
      <w:r>
        <w:fldChar w:fldCharType="begin"/>
      </w:r>
      <w:r>
        <w:instrText xml:space="preserve"> HYPERLINK \l "_Toc20069" </w:instrText>
      </w:r>
      <w:r>
        <w:fldChar w:fldCharType="separate"/>
      </w:r>
      <w:r>
        <w:rPr>
          <w:rFonts w:hint="eastAsia" w:cs="仿宋_GB2312"/>
          <w:szCs w:val="28"/>
        </w:rPr>
        <w:t>（二）自治区级适用政策</w:t>
      </w:r>
      <w:r>
        <w:rPr>
          <w:rFonts w:hint="eastAsia" w:cs="仿宋_GB2312"/>
        </w:rPr>
        <w:tab/>
      </w:r>
      <w:r>
        <w:rPr>
          <w:rFonts w:hint="eastAsia" w:cs="仿宋_GB2312"/>
        </w:rPr>
        <w:t>1</w:t>
      </w:r>
      <w:r>
        <w:rPr>
          <w:rFonts w:hint="eastAsia" w:cs="仿宋_GB2312"/>
        </w:rPr>
        <w:fldChar w:fldCharType="end"/>
      </w:r>
    </w:p>
    <w:p>
      <w:pPr>
        <w:pStyle w:val="11"/>
        <w:tabs>
          <w:tab w:val="right" w:leader="dot" w:pos="8200"/>
        </w:tabs>
        <w:spacing w:line="560" w:lineRule="exact"/>
        <w:ind w:left="560"/>
        <w:rPr>
          <w:rFonts w:cs="仿宋_GB2312"/>
        </w:rPr>
      </w:pPr>
      <w:r>
        <w:fldChar w:fldCharType="begin"/>
      </w:r>
      <w:r>
        <w:instrText xml:space="preserve"> HYPERLINK \l "_Toc30880" </w:instrText>
      </w:r>
      <w:r>
        <w:fldChar w:fldCharType="separate"/>
      </w:r>
      <w:r>
        <w:rPr>
          <w:rFonts w:hint="eastAsia" w:cs="仿宋_GB2312"/>
        </w:rPr>
        <w:t>二、振兴东北老工业基地适用政策</w:t>
      </w:r>
      <w:r>
        <w:rPr>
          <w:rFonts w:hint="eastAsia" w:cs="仿宋_GB2312"/>
        </w:rPr>
        <w:tab/>
      </w:r>
      <w:r>
        <w:rPr>
          <w:rFonts w:hint="eastAsia" w:cs="仿宋_GB2312"/>
        </w:rPr>
        <w:t>5</w:t>
      </w:r>
      <w:r>
        <w:rPr>
          <w:rFonts w:hint="eastAsia" w:cs="仿宋_GB2312"/>
        </w:rPr>
        <w:fldChar w:fldCharType="end"/>
      </w:r>
    </w:p>
    <w:p>
      <w:pPr>
        <w:pStyle w:val="7"/>
        <w:tabs>
          <w:tab w:val="right" w:leader="dot" w:pos="8200"/>
        </w:tabs>
        <w:spacing w:line="560" w:lineRule="exact"/>
        <w:ind w:left="1120"/>
        <w:rPr>
          <w:rFonts w:cs="仿宋_GB2312"/>
        </w:rPr>
      </w:pPr>
      <w:r>
        <w:fldChar w:fldCharType="begin"/>
      </w:r>
      <w:r>
        <w:instrText xml:space="preserve"> HYPERLINK \l "_Toc5386" </w:instrText>
      </w:r>
      <w:r>
        <w:fldChar w:fldCharType="separate"/>
      </w:r>
      <w:r>
        <w:rPr>
          <w:rFonts w:hint="eastAsia" w:cs="仿宋_GB2312"/>
          <w:szCs w:val="28"/>
        </w:rPr>
        <w:t>（一）国家级适用政策</w:t>
      </w:r>
      <w:r>
        <w:rPr>
          <w:rFonts w:hint="eastAsia" w:cs="仿宋_GB2312"/>
        </w:rPr>
        <w:tab/>
      </w:r>
      <w:r>
        <w:rPr>
          <w:rFonts w:hint="eastAsia" w:cs="仿宋_GB2312"/>
        </w:rPr>
        <w:t>5</w:t>
      </w:r>
      <w:r>
        <w:rPr>
          <w:rFonts w:hint="eastAsia" w:cs="仿宋_GB2312"/>
        </w:rPr>
        <w:fldChar w:fldCharType="end"/>
      </w:r>
    </w:p>
    <w:p>
      <w:pPr>
        <w:pStyle w:val="7"/>
        <w:tabs>
          <w:tab w:val="right" w:leader="dot" w:pos="8200"/>
        </w:tabs>
        <w:spacing w:line="560" w:lineRule="exact"/>
        <w:ind w:left="1120"/>
        <w:rPr>
          <w:rFonts w:cs="仿宋_GB2312"/>
          <w:kern w:val="0"/>
          <w:szCs w:val="28"/>
        </w:rPr>
      </w:pPr>
      <w:r>
        <w:fldChar w:fldCharType="begin"/>
      </w:r>
      <w:r>
        <w:instrText xml:space="preserve"> HYPERLINK \l "_Toc27499" </w:instrText>
      </w:r>
      <w:r>
        <w:fldChar w:fldCharType="separate"/>
      </w:r>
      <w:r>
        <w:rPr>
          <w:rFonts w:hint="eastAsia" w:cs="仿宋_GB2312"/>
        </w:rPr>
        <w:t>（二）自治区级适用政策</w:t>
      </w:r>
      <w:r>
        <w:rPr>
          <w:rFonts w:hint="eastAsia" w:cs="仿宋_GB2312"/>
        </w:rPr>
        <w:tab/>
      </w:r>
      <w:r>
        <w:rPr>
          <w:rFonts w:hint="eastAsia" w:cs="仿宋_GB2312"/>
        </w:rPr>
        <w:t>6</w:t>
      </w:r>
      <w:r>
        <w:rPr>
          <w:rFonts w:hint="eastAsia" w:cs="仿宋_GB2312"/>
        </w:rPr>
        <w:fldChar w:fldCharType="end"/>
      </w:r>
    </w:p>
    <w:p>
      <w:pPr>
        <w:pStyle w:val="11"/>
        <w:tabs>
          <w:tab w:val="right" w:leader="dot" w:pos="8200"/>
        </w:tabs>
        <w:spacing w:line="560" w:lineRule="exact"/>
        <w:ind w:left="560"/>
        <w:rPr>
          <w:rFonts w:cs="仿宋_GB2312"/>
        </w:rPr>
      </w:pPr>
      <w:r>
        <w:fldChar w:fldCharType="begin"/>
      </w:r>
      <w:r>
        <w:instrText xml:space="preserve"> HYPERLINK \l "_Toc30880" </w:instrText>
      </w:r>
      <w:r>
        <w:fldChar w:fldCharType="separate"/>
      </w:r>
      <w:r>
        <w:rPr>
          <w:rFonts w:hint="eastAsia" w:cs="仿宋_GB2312"/>
        </w:rPr>
        <w:t>三、自治区2023年推动产业高质量发展政策</w:t>
      </w:r>
      <w:r>
        <w:rPr>
          <w:rFonts w:hint="eastAsia" w:cs="仿宋_GB2312"/>
        </w:rPr>
        <w:tab/>
      </w:r>
      <w:r>
        <w:rPr>
          <w:rFonts w:hint="eastAsia" w:cs="仿宋_GB2312"/>
        </w:rPr>
        <w:t>1</w:t>
      </w:r>
      <w:r>
        <w:rPr>
          <w:rFonts w:hint="eastAsia" w:cs="仿宋_GB2312"/>
        </w:rPr>
        <w:fldChar w:fldCharType="end"/>
      </w:r>
      <w:r>
        <w:rPr>
          <w:rFonts w:hint="eastAsia" w:cs="仿宋_GB2312"/>
          <w:kern w:val="0"/>
          <w:szCs w:val="28"/>
        </w:rPr>
        <w:t>2</w:t>
      </w:r>
    </w:p>
    <w:p>
      <w:pPr>
        <w:pStyle w:val="11"/>
        <w:tabs>
          <w:tab w:val="right" w:leader="dot" w:pos="8200"/>
        </w:tabs>
        <w:spacing w:line="560" w:lineRule="exact"/>
        <w:ind w:left="560"/>
        <w:rPr>
          <w:rFonts w:hint="eastAsia" w:eastAsia="仿宋_GB2312" w:cs="仿宋_GB2312"/>
          <w:lang w:eastAsia="zh-CN"/>
        </w:rPr>
      </w:pPr>
      <w:r>
        <w:fldChar w:fldCharType="begin"/>
      </w:r>
      <w:r>
        <w:instrText xml:space="preserve"> HYPERLINK \l "_Toc11926" </w:instrText>
      </w:r>
      <w:r>
        <w:fldChar w:fldCharType="separate"/>
      </w:r>
      <w:r>
        <w:rPr>
          <w:rFonts w:hint="eastAsia" w:cs="仿宋_GB2312"/>
        </w:rPr>
        <w:t>四、乳肉产品综合开发适用政策</w:t>
      </w:r>
      <w:r>
        <w:rPr>
          <w:rFonts w:hint="eastAsia" w:cs="仿宋_GB2312"/>
        </w:rPr>
        <w:tab/>
      </w:r>
      <w:r>
        <w:rPr>
          <w:rFonts w:hint="eastAsia" w:cs="仿宋_GB2312"/>
          <w:lang w:val="en-US" w:eastAsia="zh-CN"/>
        </w:rPr>
        <w:t>2</w:t>
      </w:r>
      <w:r>
        <w:rPr>
          <w:rFonts w:hint="eastAsia" w:cs="仿宋_GB2312"/>
        </w:rPr>
        <w:fldChar w:fldCharType="end"/>
      </w:r>
      <w:r>
        <w:rPr>
          <w:rFonts w:hint="eastAsia" w:cs="仿宋_GB2312"/>
          <w:lang w:val="en-US" w:eastAsia="zh-CN"/>
        </w:rPr>
        <w:t>4</w:t>
      </w:r>
    </w:p>
    <w:p>
      <w:pPr>
        <w:pStyle w:val="7"/>
        <w:tabs>
          <w:tab w:val="right" w:leader="dot" w:pos="8200"/>
        </w:tabs>
        <w:spacing w:line="560" w:lineRule="exact"/>
        <w:ind w:left="1120"/>
        <w:rPr>
          <w:rFonts w:hint="eastAsia" w:cs="仿宋_GB2312"/>
          <w:lang w:val="en-US" w:eastAsia="zh-CN"/>
        </w:rPr>
      </w:pPr>
      <w:r>
        <w:fldChar w:fldCharType="begin"/>
      </w:r>
      <w:r>
        <w:instrText xml:space="preserve"> HYPERLINK \l "_Toc30363" </w:instrText>
      </w:r>
      <w:r>
        <w:fldChar w:fldCharType="separate"/>
      </w:r>
      <w:r>
        <w:rPr>
          <w:rFonts w:hint="eastAsia" w:cs="仿宋_GB2312"/>
        </w:rPr>
        <w:t>（一）自治区级适用政策</w:t>
      </w:r>
      <w:r>
        <w:rPr>
          <w:rFonts w:hint="eastAsia" w:cs="仿宋_GB2312"/>
        </w:rPr>
        <w:tab/>
      </w:r>
      <w:r>
        <w:rPr>
          <w:rFonts w:hint="eastAsia" w:cs="仿宋_GB2312"/>
          <w:lang w:val="en-US" w:eastAsia="zh-CN"/>
        </w:rPr>
        <w:t>2</w:t>
      </w:r>
      <w:r>
        <w:rPr>
          <w:rFonts w:hint="eastAsia" w:cs="仿宋_GB2312"/>
        </w:rPr>
        <w:fldChar w:fldCharType="end"/>
      </w:r>
      <w:r>
        <w:rPr>
          <w:rFonts w:hint="eastAsia" w:cs="仿宋_GB2312"/>
          <w:lang w:val="en-US" w:eastAsia="zh-CN"/>
        </w:rPr>
        <w:t>4</w:t>
      </w:r>
    </w:p>
    <w:p>
      <w:pPr>
        <w:pStyle w:val="7"/>
        <w:tabs>
          <w:tab w:val="right" w:leader="dot" w:pos="8200"/>
        </w:tabs>
        <w:spacing w:line="560" w:lineRule="exact"/>
        <w:ind w:left="1120"/>
        <w:rPr>
          <w:rFonts w:cs="仿宋_GB2312"/>
        </w:rPr>
      </w:pPr>
      <w:r>
        <w:fldChar w:fldCharType="begin"/>
      </w:r>
      <w:r>
        <w:instrText xml:space="preserve"> HYPERLINK \l "_Toc31919" </w:instrText>
      </w:r>
      <w:r>
        <w:fldChar w:fldCharType="separate"/>
      </w:r>
      <w:r>
        <w:rPr>
          <w:rFonts w:hint="eastAsia" w:cs="仿宋_GB2312"/>
        </w:rPr>
        <w:t>（二）市级适用政策</w:t>
      </w:r>
      <w:r>
        <w:rPr>
          <w:rFonts w:hint="eastAsia" w:cs="仿宋_GB2312"/>
        </w:rPr>
        <w:tab/>
      </w:r>
      <w:r>
        <w:rPr>
          <w:rFonts w:hint="eastAsia" w:cs="仿宋_GB2312"/>
          <w:lang w:val="en-US" w:eastAsia="zh-CN"/>
        </w:rPr>
        <w:t>24</w:t>
      </w:r>
      <w:r>
        <w:rPr>
          <w:rFonts w:hint="eastAsia" w:cs="仿宋_GB2312"/>
        </w:rPr>
        <w:fldChar w:fldCharType="end"/>
      </w:r>
    </w:p>
    <w:p>
      <w:pPr>
        <w:pStyle w:val="11"/>
        <w:tabs>
          <w:tab w:val="right" w:leader="dot" w:pos="8200"/>
        </w:tabs>
        <w:spacing w:line="560" w:lineRule="exact"/>
        <w:ind w:left="560"/>
        <w:rPr>
          <w:rFonts w:hint="default" w:eastAsia="仿宋_GB2312" w:cs="仿宋_GB2312"/>
          <w:lang w:val="en-US" w:eastAsia="zh-CN"/>
        </w:rPr>
      </w:pPr>
      <w:r>
        <w:fldChar w:fldCharType="begin"/>
      </w:r>
      <w:r>
        <w:instrText xml:space="preserve"> HYPERLINK \l "_Toc9629" </w:instrText>
      </w:r>
      <w:r>
        <w:fldChar w:fldCharType="separate"/>
      </w:r>
      <w:r>
        <w:rPr>
          <w:rFonts w:hint="eastAsia" w:cs="仿宋_GB2312"/>
        </w:rPr>
        <w:t>五、玉米大豆产品综合开发适用政策</w:t>
      </w:r>
      <w:r>
        <w:rPr>
          <w:rFonts w:hint="eastAsia" w:cs="仿宋_GB2312"/>
        </w:rPr>
        <w:tab/>
      </w:r>
      <w:r>
        <w:rPr>
          <w:rFonts w:hint="eastAsia" w:cs="仿宋_GB2312"/>
        </w:rPr>
        <w:fldChar w:fldCharType="end"/>
      </w:r>
      <w:r>
        <w:rPr>
          <w:rFonts w:hint="eastAsia" w:cs="仿宋_GB2312"/>
          <w:lang w:val="en-US" w:eastAsia="zh-CN"/>
        </w:rPr>
        <w:t>27</w:t>
      </w:r>
    </w:p>
    <w:p>
      <w:pPr>
        <w:pStyle w:val="7"/>
        <w:tabs>
          <w:tab w:val="right" w:leader="dot" w:pos="8200"/>
        </w:tabs>
        <w:spacing w:line="560" w:lineRule="exact"/>
        <w:ind w:left="1120"/>
        <w:rPr>
          <w:rFonts w:hint="default" w:eastAsia="仿宋_GB2312" w:cs="仿宋_GB2312"/>
          <w:lang w:val="en-US" w:eastAsia="zh-CN"/>
        </w:rPr>
      </w:pPr>
      <w:r>
        <w:fldChar w:fldCharType="begin"/>
      </w:r>
      <w:r>
        <w:instrText xml:space="preserve"> HYPERLINK \l "_Toc25999" </w:instrText>
      </w:r>
      <w:r>
        <w:fldChar w:fldCharType="separate"/>
      </w:r>
      <w:r>
        <w:rPr>
          <w:rFonts w:hint="eastAsia" w:cs="仿宋_GB2312"/>
        </w:rPr>
        <w:t>（一）市级适用政策</w:t>
      </w:r>
      <w:r>
        <w:rPr>
          <w:rFonts w:hint="eastAsia" w:cs="仿宋_GB2312"/>
        </w:rPr>
        <w:tab/>
      </w:r>
      <w:r>
        <w:rPr>
          <w:rFonts w:hint="eastAsia" w:cs="仿宋_GB2312"/>
        </w:rPr>
        <w:fldChar w:fldCharType="end"/>
      </w:r>
      <w:r>
        <w:rPr>
          <w:rFonts w:hint="eastAsia" w:cs="仿宋_GB2312"/>
          <w:lang w:val="en-US" w:eastAsia="zh-CN"/>
        </w:rPr>
        <w:t>27</w:t>
      </w:r>
    </w:p>
    <w:p>
      <w:pPr>
        <w:pStyle w:val="11"/>
        <w:tabs>
          <w:tab w:val="right" w:leader="dot" w:pos="8200"/>
        </w:tabs>
        <w:spacing w:line="560" w:lineRule="exact"/>
        <w:ind w:left="560"/>
        <w:rPr>
          <w:rFonts w:hint="eastAsia" w:eastAsia="仿宋_GB2312" w:cs="仿宋_GB2312"/>
          <w:lang w:eastAsia="zh-CN"/>
        </w:rPr>
      </w:pPr>
      <w:r>
        <w:fldChar w:fldCharType="begin"/>
      </w:r>
      <w:r>
        <w:instrText xml:space="preserve"> HYPERLINK \l "_Toc5371" </w:instrText>
      </w:r>
      <w:r>
        <w:fldChar w:fldCharType="separate"/>
      </w:r>
      <w:r>
        <w:rPr>
          <w:rFonts w:hint="eastAsia" w:cs="仿宋_GB2312"/>
        </w:rPr>
        <w:t>六、航铁物流集散群适用政策国家级适用政策</w:t>
      </w:r>
      <w:r>
        <w:rPr>
          <w:rFonts w:hint="eastAsia" w:cs="仿宋_GB2312"/>
        </w:rPr>
        <w:tab/>
      </w:r>
      <w:r>
        <w:rPr>
          <w:rFonts w:hint="eastAsia" w:cs="仿宋_GB2312"/>
        </w:rPr>
        <w:fldChar w:fldCharType="end"/>
      </w:r>
      <w:r>
        <w:rPr>
          <w:rFonts w:hint="eastAsia" w:cs="仿宋_GB2312"/>
        </w:rPr>
        <w:t>3</w:t>
      </w:r>
      <w:r>
        <w:rPr>
          <w:rFonts w:hint="eastAsia" w:cs="仿宋_GB2312"/>
          <w:lang w:val="en-US" w:eastAsia="zh-CN"/>
        </w:rPr>
        <w:t>0</w:t>
      </w:r>
    </w:p>
    <w:p>
      <w:pPr>
        <w:pStyle w:val="7"/>
        <w:tabs>
          <w:tab w:val="right" w:leader="dot" w:pos="8200"/>
        </w:tabs>
        <w:spacing w:line="560" w:lineRule="exact"/>
        <w:ind w:left="1120"/>
        <w:rPr>
          <w:rFonts w:hint="eastAsia" w:eastAsia="仿宋_GB2312" w:cs="仿宋_GB2312"/>
          <w:lang w:eastAsia="zh-CN"/>
        </w:rPr>
      </w:pPr>
      <w:r>
        <w:fldChar w:fldCharType="begin"/>
      </w:r>
      <w:r>
        <w:instrText xml:space="preserve"> HYPERLINK \l "_Toc15323" </w:instrText>
      </w:r>
      <w:r>
        <w:fldChar w:fldCharType="separate"/>
      </w:r>
      <w:r>
        <w:rPr>
          <w:rFonts w:hint="eastAsia" w:cs="仿宋_GB2312"/>
          <w:szCs w:val="28"/>
        </w:rPr>
        <w:t>（一）国家级适用政策</w:t>
      </w:r>
      <w:r>
        <w:rPr>
          <w:rFonts w:hint="eastAsia" w:cs="仿宋_GB2312"/>
        </w:rPr>
        <w:tab/>
      </w:r>
      <w:r>
        <w:rPr>
          <w:rFonts w:hint="eastAsia" w:cs="仿宋_GB2312"/>
        </w:rPr>
        <w:fldChar w:fldCharType="end"/>
      </w:r>
      <w:r>
        <w:rPr>
          <w:rFonts w:hint="eastAsia" w:cs="仿宋_GB2312"/>
          <w:kern w:val="0"/>
          <w:szCs w:val="28"/>
        </w:rPr>
        <w:t>3</w:t>
      </w:r>
      <w:r>
        <w:rPr>
          <w:rFonts w:hint="eastAsia" w:cs="仿宋_GB2312"/>
          <w:kern w:val="0"/>
          <w:szCs w:val="28"/>
          <w:lang w:val="en-US" w:eastAsia="zh-CN"/>
        </w:rPr>
        <w:t>0</w:t>
      </w:r>
    </w:p>
    <w:p>
      <w:pPr>
        <w:pStyle w:val="11"/>
        <w:tabs>
          <w:tab w:val="right" w:leader="dot" w:pos="8200"/>
        </w:tabs>
        <w:spacing w:line="560" w:lineRule="exact"/>
        <w:ind w:left="560"/>
        <w:rPr>
          <w:rFonts w:hint="eastAsia" w:eastAsia="仿宋_GB2312" w:cs="仿宋_GB2312"/>
          <w:lang w:eastAsia="zh-CN"/>
        </w:rPr>
      </w:pPr>
      <w:r>
        <w:fldChar w:fldCharType="begin"/>
      </w:r>
      <w:r>
        <w:instrText xml:space="preserve"> HYPERLINK \l "_Toc24319" </w:instrText>
      </w:r>
      <w:r>
        <w:fldChar w:fldCharType="separate"/>
      </w:r>
      <w:r>
        <w:rPr>
          <w:rFonts w:hint="eastAsia" w:cs="仿宋_GB2312"/>
          <w:kern w:val="0"/>
          <w:szCs w:val="28"/>
        </w:rPr>
        <w:t>七</w:t>
      </w:r>
      <w:r>
        <w:rPr>
          <w:rFonts w:hint="eastAsia" w:cs="仿宋_GB2312"/>
        </w:rPr>
        <w:t>、绿色新能源及高新科技综合利用适用政策</w:t>
      </w:r>
      <w:r>
        <w:rPr>
          <w:rFonts w:hint="eastAsia" w:cs="仿宋_GB2312"/>
        </w:rPr>
        <w:tab/>
      </w:r>
      <w:r>
        <w:rPr>
          <w:rFonts w:hint="eastAsia" w:cs="仿宋_GB2312"/>
        </w:rPr>
        <w:fldChar w:fldCharType="end"/>
      </w:r>
      <w:r>
        <w:rPr>
          <w:rFonts w:hint="eastAsia" w:cs="仿宋_GB2312"/>
          <w:kern w:val="0"/>
          <w:szCs w:val="28"/>
        </w:rPr>
        <w:t>3</w:t>
      </w:r>
      <w:r>
        <w:rPr>
          <w:rFonts w:hint="eastAsia" w:cs="仿宋_GB2312"/>
          <w:kern w:val="0"/>
          <w:szCs w:val="28"/>
          <w:lang w:val="en-US" w:eastAsia="zh-CN"/>
        </w:rPr>
        <w:t>1</w:t>
      </w:r>
    </w:p>
    <w:p>
      <w:pPr>
        <w:pStyle w:val="7"/>
        <w:tabs>
          <w:tab w:val="right" w:leader="dot" w:pos="8200"/>
        </w:tabs>
        <w:spacing w:line="560" w:lineRule="exact"/>
        <w:ind w:left="1120"/>
        <w:rPr>
          <w:rFonts w:hint="default" w:eastAsia="仿宋_GB2312" w:cs="仿宋_GB2312"/>
          <w:lang w:val="en-US" w:eastAsia="zh-CN"/>
        </w:rPr>
      </w:pPr>
      <w:r>
        <w:fldChar w:fldCharType="begin"/>
      </w:r>
      <w:r>
        <w:instrText xml:space="preserve"> HYPERLINK \l "_Toc18616" </w:instrText>
      </w:r>
      <w:r>
        <w:fldChar w:fldCharType="separate"/>
      </w:r>
      <w:r>
        <w:rPr>
          <w:rFonts w:hint="eastAsia" w:cs="仿宋_GB2312"/>
        </w:rPr>
        <w:t>（一）自治区级适用政策</w:t>
      </w:r>
      <w:r>
        <w:rPr>
          <w:rFonts w:hint="eastAsia" w:cs="仿宋_GB2312"/>
        </w:rPr>
        <w:tab/>
      </w:r>
      <w:r>
        <w:rPr>
          <w:rFonts w:hint="eastAsia" w:cs="仿宋_GB2312"/>
        </w:rPr>
        <w:fldChar w:fldCharType="end"/>
      </w:r>
      <w:r>
        <w:rPr>
          <w:rFonts w:hint="eastAsia" w:cs="仿宋_GB2312"/>
          <w:kern w:val="0"/>
          <w:szCs w:val="28"/>
        </w:rPr>
        <w:t>3</w:t>
      </w:r>
      <w:r>
        <w:rPr>
          <w:rFonts w:hint="eastAsia" w:cs="仿宋_GB2312"/>
          <w:kern w:val="0"/>
          <w:szCs w:val="28"/>
          <w:lang w:val="en-US" w:eastAsia="zh-CN"/>
        </w:rPr>
        <w:t>1</w:t>
      </w:r>
    </w:p>
    <w:p>
      <w:pPr>
        <w:pStyle w:val="11"/>
        <w:tabs>
          <w:tab w:val="right" w:leader="dot" w:pos="8200"/>
        </w:tabs>
        <w:spacing w:line="560" w:lineRule="exact"/>
        <w:ind w:left="560"/>
        <w:rPr>
          <w:rFonts w:hint="default" w:eastAsia="仿宋_GB2312" w:cs="仿宋_GB2312"/>
          <w:lang w:val="en-US" w:eastAsia="zh-CN"/>
        </w:rPr>
      </w:pPr>
      <w:r>
        <w:fldChar w:fldCharType="begin"/>
      </w:r>
      <w:r>
        <w:instrText xml:space="preserve"> HYPERLINK \l "_Toc720" </w:instrText>
      </w:r>
      <w:r>
        <w:fldChar w:fldCharType="separate"/>
      </w:r>
      <w:r>
        <w:rPr>
          <w:rFonts w:hint="eastAsia" w:cs="仿宋_GB2312"/>
          <w:kern w:val="0"/>
          <w:szCs w:val="28"/>
        </w:rPr>
        <w:t>八</w:t>
      </w:r>
      <w:r>
        <w:rPr>
          <w:rFonts w:hint="eastAsia" w:cs="仿宋_GB2312"/>
        </w:rPr>
        <w:t>、中医药产业开发及康养医院适用政策</w:t>
      </w:r>
      <w:r>
        <w:rPr>
          <w:rFonts w:hint="eastAsia" w:cs="仿宋_GB2312"/>
        </w:rPr>
        <w:tab/>
      </w:r>
      <w:r>
        <w:rPr>
          <w:rFonts w:hint="eastAsia" w:cs="仿宋_GB2312"/>
        </w:rPr>
        <w:fldChar w:fldCharType="end"/>
      </w:r>
      <w:r>
        <w:rPr>
          <w:rFonts w:hint="eastAsia" w:cs="仿宋_GB2312"/>
          <w:kern w:val="0"/>
          <w:szCs w:val="28"/>
          <w:lang w:val="en-US" w:eastAsia="zh-CN"/>
        </w:rPr>
        <w:t>33</w:t>
      </w:r>
    </w:p>
    <w:p>
      <w:pPr>
        <w:pStyle w:val="7"/>
        <w:tabs>
          <w:tab w:val="right" w:leader="dot" w:pos="8200"/>
        </w:tabs>
        <w:spacing w:line="560" w:lineRule="exact"/>
        <w:ind w:left="1120"/>
        <w:rPr>
          <w:rFonts w:hint="default" w:eastAsia="仿宋_GB2312" w:cs="仿宋_GB2312"/>
          <w:lang w:val="en-US" w:eastAsia="zh-CN"/>
        </w:rPr>
      </w:pPr>
      <w:r>
        <w:fldChar w:fldCharType="begin"/>
      </w:r>
      <w:r>
        <w:instrText xml:space="preserve"> HYPERLINK \l "_Toc23729" </w:instrText>
      </w:r>
      <w:r>
        <w:fldChar w:fldCharType="separate"/>
      </w:r>
      <w:r>
        <w:rPr>
          <w:rFonts w:hint="eastAsia" w:cs="仿宋_GB2312"/>
          <w:szCs w:val="28"/>
        </w:rPr>
        <w:t>（一）国家级适用政策</w:t>
      </w:r>
      <w:r>
        <w:rPr>
          <w:rFonts w:hint="eastAsia" w:cs="仿宋_GB2312"/>
        </w:rPr>
        <w:tab/>
      </w:r>
      <w:r>
        <w:rPr>
          <w:rFonts w:hint="eastAsia" w:cs="仿宋_GB2312"/>
        </w:rPr>
        <w:fldChar w:fldCharType="end"/>
      </w:r>
      <w:r>
        <w:rPr>
          <w:rFonts w:hint="eastAsia" w:cs="仿宋_GB2312"/>
          <w:kern w:val="0"/>
          <w:szCs w:val="28"/>
          <w:lang w:val="en-US" w:eastAsia="zh-CN"/>
        </w:rPr>
        <w:t>33</w:t>
      </w:r>
    </w:p>
    <w:p>
      <w:pPr>
        <w:pStyle w:val="7"/>
        <w:tabs>
          <w:tab w:val="right" w:leader="dot" w:pos="8200"/>
        </w:tabs>
        <w:spacing w:line="560" w:lineRule="exact"/>
        <w:ind w:left="1120"/>
        <w:rPr>
          <w:rFonts w:hint="default" w:eastAsia="仿宋_GB2312" w:cs="仿宋_GB2312"/>
          <w:lang w:val="en-US" w:eastAsia="zh-CN"/>
        </w:rPr>
      </w:pPr>
      <w:r>
        <w:fldChar w:fldCharType="begin"/>
      </w:r>
      <w:r>
        <w:instrText xml:space="preserve"> HYPERLINK \l "_Toc11461" </w:instrText>
      </w:r>
      <w:r>
        <w:fldChar w:fldCharType="separate"/>
      </w:r>
      <w:r>
        <w:rPr>
          <w:rFonts w:hint="eastAsia" w:cs="仿宋_GB2312"/>
          <w:szCs w:val="28"/>
        </w:rPr>
        <w:t>（二）自治区级适用政策</w:t>
      </w:r>
      <w:r>
        <w:rPr>
          <w:rFonts w:hint="eastAsia" w:cs="仿宋_GB2312"/>
        </w:rPr>
        <w:tab/>
      </w:r>
      <w:r>
        <w:rPr>
          <w:rFonts w:hint="eastAsia" w:cs="仿宋_GB2312"/>
        </w:rPr>
        <w:fldChar w:fldCharType="end"/>
      </w:r>
      <w:r>
        <w:rPr>
          <w:rFonts w:hint="eastAsia" w:cs="仿宋_GB2312"/>
          <w:kern w:val="0"/>
          <w:szCs w:val="28"/>
          <w:lang w:val="en-US" w:eastAsia="zh-CN"/>
        </w:rPr>
        <w:t>35</w:t>
      </w:r>
    </w:p>
    <w:p>
      <w:pPr>
        <w:pStyle w:val="11"/>
        <w:tabs>
          <w:tab w:val="right" w:leader="dot" w:pos="8200"/>
        </w:tabs>
        <w:spacing w:line="560" w:lineRule="exact"/>
        <w:ind w:left="560"/>
        <w:rPr>
          <w:rFonts w:hint="default" w:eastAsia="仿宋_GB2312" w:cs="仿宋_GB2312"/>
          <w:lang w:val="en-US" w:eastAsia="zh-CN"/>
        </w:rPr>
      </w:pPr>
      <w:r>
        <w:fldChar w:fldCharType="begin"/>
      </w:r>
      <w:r>
        <w:instrText xml:space="preserve"> HYPERLINK \l "_Toc207" </w:instrText>
      </w:r>
      <w:r>
        <w:fldChar w:fldCharType="separate"/>
      </w:r>
      <w:r>
        <w:rPr>
          <w:rFonts w:hint="eastAsia" w:cs="仿宋_GB2312"/>
          <w:kern w:val="0"/>
          <w:szCs w:val="28"/>
        </w:rPr>
        <w:t>九</w:t>
      </w:r>
      <w:r>
        <w:rPr>
          <w:rFonts w:hint="eastAsia" w:cs="仿宋_GB2312"/>
          <w:szCs w:val="28"/>
        </w:rPr>
        <w:t>、服务业适用政策</w:t>
      </w:r>
      <w:r>
        <w:rPr>
          <w:rFonts w:hint="eastAsia" w:cs="仿宋_GB2312"/>
        </w:rPr>
        <w:tab/>
      </w:r>
      <w:r>
        <w:rPr>
          <w:rFonts w:hint="eastAsia" w:cs="仿宋_GB2312"/>
        </w:rPr>
        <w:fldChar w:fldCharType="end"/>
      </w:r>
      <w:r>
        <w:rPr>
          <w:rFonts w:hint="eastAsia" w:cs="仿宋_GB2312"/>
          <w:lang w:val="en-US" w:eastAsia="zh-CN"/>
        </w:rPr>
        <w:t>37</w:t>
      </w:r>
    </w:p>
    <w:p>
      <w:pPr>
        <w:pStyle w:val="7"/>
        <w:tabs>
          <w:tab w:val="right" w:leader="dot" w:pos="8200"/>
        </w:tabs>
        <w:spacing w:line="560" w:lineRule="exact"/>
        <w:ind w:left="1120"/>
        <w:rPr>
          <w:rFonts w:hint="default" w:eastAsia="仿宋_GB2312" w:cs="仿宋_GB2312"/>
          <w:lang w:val="en-US" w:eastAsia="zh-CN"/>
        </w:rPr>
      </w:pPr>
      <w:r>
        <w:fldChar w:fldCharType="begin"/>
      </w:r>
      <w:r>
        <w:instrText xml:space="preserve"> HYPERLINK \l "_Toc24463" </w:instrText>
      </w:r>
      <w:r>
        <w:fldChar w:fldCharType="separate"/>
      </w:r>
      <w:r>
        <w:rPr>
          <w:rFonts w:hint="eastAsia" w:cs="仿宋_GB2312"/>
          <w:szCs w:val="28"/>
        </w:rPr>
        <w:t>（一）国家级适用政策</w:t>
      </w:r>
      <w:r>
        <w:rPr>
          <w:rFonts w:hint="eastAsia" w:cs="仿宋_GB2312"/>
        </w:rPr>
        <w:tab/>
      </w:r>
      <w:r>
        <w:rPr>
          <w:rFonts w:hint="eastAsia" w:cs="仿宋_GB2312"/>
        </w:rPr>
        <w:fldChar w:fldCharType="end"/>
      </w:r>
      <w:r>
        <w:rPr>
          <w:rFonts w:hint="eastAsia" w:cs="仿宋_GB2312"/>
          <w:lang w:val="en-US" w:eastAsia="zh-CN"/>
        </w:rPr>
        <w:t>37</w:t>
      </w:r>
    </w:p>
    <w:p>
      <w:pPr>
        <w:pStyle w:val="7"/>
        <w:tabs>
          <w:tab w:val="right" w:leader="dot" w:pos="8200"/>
        </w:tabs>
        <w:spacing w:line="560" w:lineRule="exact"/>
        <w:ind w:left="1120"/>
        <w:rPr>
          <w:rFonts w:hint="default" w:eastAsia="仿宋_GB2312"/>
          <w:lang w:val="en-US" w:eastAsia="zh-CN"/>
        </w:rPr>
      </w:pPr>
      <w:r>
        <w:fldChar w:fldCharType="begin"/>
      </w:r>
      <w:r>
        <w:instrText xml:space="preserve"> HYPERLINK \l "_Toc31654" </w:instrText>
      </w:r>
      <w:r>
        <w:fldChar w:fldCharType="separate"/>
      </w:r>
      <w:r>
        <w:rPr>
          <w:rFonts w:hint="eastAsia" w:cs="仿宋_GB2312"/>
          <w:szCs w:val="28"/>
        </w:rPr>
        <w:t>（二）</w:t>
      </w:r>
      <w:r>
        <w:rPr>
          <w:rFonts w:hint="eastAsia" w:cs="仿宋_GB2312"/>
          <w:szCs w:val="28"/>
          <w:lang w:val="en-US" w:eastAsia="zh-CN"/>
        </w:rPr>
        <w:t>市</w:t>
      </w:r>
      <w:r>
        <w:rPr>
          <w:rFonts w:hint="eastAsia" w:cs="仿宋_GB2312"/>
          <w:szCs w:val="28"/>
        </w:rPr>
        <w:t>级适用政策</w:t>
      </w:r>
      <w:r>
        <w:rPr>
          <w:rFonts w:hint="eastAsia" w:cs="仿宋_GB2312"/>
        </w:rPr>
        <w:tab/>
      </w:r>
      <w:r>
        <w:rPr>
          <w:rFonts w:hint="eastAsia" w:cs="仿宋_GB2312"/>
        </w:rPr>
        <w:fldChar w:fldCharType="end"/>
      </w:r>
      <w:r>
        <w:rPr>
          <w:rFonts w:hint="eastAsia" w:cs="仿宋_GB2312"/>
          <w:lang w:val="en-US" w:eastAsia="zh-CN"/>
        </w:rPr>
        <w:t>38</w:t>
      </w:r>
    </w:p>
    <w:p>
      <w:pPr>
        <w:pStyle w:val="11"/>
        <w:tabs>
          <w:tab w:val="right" w:leader="dot" w:pos="8200"/>
        </w:tabs>
        <w:spacing w:line="560" w:lineRule="exact"/>
        <w:ind w:left="560"/>
        <w:rPr>
          <w:rFonts w:hint="eastAsia" w:eastAsia="仿宋_GB2312"/>
          <w:lang w:val="en-US" w:eastAsia="zh-CN"/>
        </w:rPr>
      </w:pPr>
      <w:r>
        <w:fldChar w:fldCharType="begin"/>
      </w:r>
      <w:r>
        <w:instrText xml:space="preserve"> HYPERLINK \l "_Toc30880" </w:instrText>
      </w:r>
      <w:r>
        <w:fldChar w:fldCharType="separate"/>
      </w:r>
      <w:r>
        <w:rPr>
          <w:rFonts w:hint="eastAsia"/>
        </w:rPr>
        <w:t>十、适用于劳动密集型企业政策</w:t>
      </w:r>
      <w:r>
        <w:tab/>
      </w:r>
      <w:r>
        <w:rPr>
          <w:rFonts w:hint="eastAsia"/>
          <w:lang w:val="en-US" w:eastAsia="zh-CN"/>
        </w:rPr>
        <w:t>3</w:t>
      </w:r>
      <w:r>
        <w:rPr>
          <w:rFonts w:hint="eastAsia"/>
        </w:rPr>
        <w:fldChar w:fldCharType="end"/>
      </w:r>
      <w:r>
        <w:rPr>
          <w:rFonts w:hint="eastAsia"/>
          <w:lang w:val="en-US" w:eastAsia="zh-CN"/>
        </w:rPr>
        <w:t>9</w:t>
      </w:r>
    </w:p>
    <w:p>
      <w:pPr>
        <w:pStyle w:val="11"/>
        <w:tabs>
          <w:tab w:val="right" w:leader="dot" w:pos="8200"/>
        </w:tabs>
        <w:spacing w:line="560" w:lineRule="exact"/>
        <w:ind w:left="560"/>
        <w:rPr>
          <w:rFonts w:hint="eastAsia" w:eastAsia="仿宋_GB2312"/>
          <w:lang w:val="en-US" w:eastAsia="zh-CN"/>
        </w:rPr>
      </w:pPr>
      <w:r>
        <w:fldChar w:fldCharType="begin"/>
      </w:r>
      <w:r>
        <w:instrText xml:space="preserve"> HYPERLINK \l "_Toc5386" </w:instrText>
      </w:r>
      <w:r>
        <w:fldChar w:fldCharType="separate"/>
      </w:r>
      <w:r>
        <w:rPr>
          <w:rFonts w:hint="eastAsia"/>
        </w:rPr>
        <w:t>（一）自治区级适用政策</w:t>
      </w:r>
      <w:r>
        <w:rPr>
          <w:rFonts w:hint="eastAsia"/>
        </w:rPr>
        <w:tab/>
      </w:r>
      <w:r>
        <w:rPr>
          <w:rFonts w:hint="eastAsia"/>
          <w:lang w:val="en-US" w:eastAsia="zh-CN"/>
        </w:rPr>
        <w:t>3</w:t>
      </w:r>
      <w:r>
        <w:rPr>
          <w:rFonts w:hint="eastAsia"/>
        </w:rPr>
        <w:fldChar w:fldCharType="end"/>
      </w:r>
      <w:r>
        <w:rPr>
          <w:rFonts w:hint="eastAsia"/>
          <w:lang w:val="en-US" w:eastAsia="zh-CN"/>
        </w:rPr>
        <w:t>9</w:t>
      </w:r>
    </w:p>
    <w:p>
      <w:pPr>
        <w:pStyle w:val="11"/>
        <w:tabs>
          <w:tab w:val="right" w:leader="dot" w:pos="8200"/>
        </w:tabs>
        <w:spacing w:line="560" w:lineRule="exact"/>
        <w:ind w:left="560"/>
        <w:rPr>
          <w:rFonts w:hint="eastAsia"/>
          <w:lang w:val="en-US" w:eastAsia="zh-CN"/>
        </w:rPr>
      </w:pPr>
      <w:r>
        <w:fldChar w:fldCharType="begin"/>
      </w:r>
      <w:r>
        <w:instrText xml:space="preserve"> HYPERLINK \l "_Toc27499" </w:instrText>
      </w:r>
      <w:r>
        <w:fldChar w:fldCharType="separate"/>
      </w:r>
      <w:r>
        <w:rPr>
          <w:rFonts w:hint="eastAsia"/>
        </w:rPr>
        <w:t>（二）市级适用政策</w:t>
      </w:r>
      <w:r>
        <w:rPr>
          <w:rFonts w:hint="eastAsia"/>
        </w:rPr>
        <w:tab/>
      </w:r>
      <w:r>
        <w:rPr>
          <w:rFonts w:hint="eastAsia"/>
          <w:lang w:val="en-US" w:eastAsia="zh-CN"/>
        </w:rPr>
        <w:t>3</w:t>
      </w:r>
      <w:r>
        <w:rPr>
          <w:rFonts w:hint="eastAsia"/>
        </w:rPr>
        <w:fldChar w:fldCharType="end"/>
      </w:r>
      <w:r>
        <w:rPr>
          <w:rFonts w:hint="eastAsia"/>
          <w:lang w:val="en-US" w:eastAsia="zh-CN"/>
        </w:rPr>
        <w:t>9</w:t>
      </w:r>
    </w:p>
    <w:p>
      <w:pPr>
        <w:pStyle w:val="11"/>
        <w:tabs>
          <w:tab w:val="right" w:leader="dot" w:pos="8200"/>
        </w:tabs>
        <w:spacing w:line="560" w:lineRule="exact"/>
        <w:ind w:left="560"/>
        <w:rPr>
          <w:rFonts w:hint="default" w:eastAsia="仿宋_GB2312"/>
          <w:lang w:val="en-US" w:eastAsia="zh-CN"/>
        </w:rPr>
      </w:pPr>
      <w:r>
        <w:fldChar w:fldCharType="begin"/>
      </w:r>
      <w:r>
        <w:instrText xml:space="preserve"> HYPERLINK \l "_Toc30880" </w:instrText>
      </w:r>
      <w:r>
        <w:fldChar w:fldCharType="separate"/>
      </w:r>
      <w:r>
        <w:rPr>
          <w:rFonts w:hint="eastAsia"/>
        </w:rPr>
        <w:t>十一、产业结构调整指导目录</w:t>
      </w:r>
      <w:r>
        <w:rPr>
          <w:rFonts w:hint="eastAsia"/>
        </w:rPr>
        <w:tab/>
      </w:r>
      <w:r>
        <w:rPr>
          <w:rFonts w:hint="eastAsia"/>
          <w:lang w:val="en-US" w:eastAsia="zh-CN"/>
        </w:rPr>
        <w:t>4</w:t>
      </w:r>
      <w:r>
        <w:rPr>
          <w:rFonts w:hint="eastAsia"/>
        </w:rPr>
        <w:fldChar w:fldCharType="end"/>
      </w:r>
      <w:r>
        <w:rPr>
          <w:rFonts w:hint="eastAsia"/>
          <w:lang w:val="en-US" w:eastAsia="zh-CN"/>
        </w:rPr>
        <w:t>1</w:t>
      </w:r>
    </w:p>
    <w:p>
      <w:pPr>
        <w:pStyle w:val="11"/>
        <w:tabs>
          <w:tab w:val="right" w:leader="dot" w:pos="8200"/>
        </w:tabs>
        <w:spacing w:line="560" w:lineRule="exact"/>
        <w:ind w:left="560"/>
        <w:rPr>
          <w:rFonts w:hint="eastAsia" w:eastAsia="仿宋_GB2312"/>
          <w:lang w:eastAsia="zh-CN"/>
        </w:rPr>
      </w:pPr>
      <w:r>
        <w:fldChar w:fldCharType="begin"/>
      </w:r>
      <w:r>
        <w:instrText xml:space="preserve"> HYPERLINK \l "_Toc30880" </w:instrText>
      </w:r>
      <w:r>
        <w:fldChar w:fldCharType="separate"/>
      </w:r>
      <w:r>
        <w:rPr>
          <w:rFonts w:hint="eastAsia"/>
        </w:rPr>
        <w:t>十二、西部地区鼓励产业目录</w:t>
      </w:r>
      <w:r>
        <w:rPr>
          <w:rFonts w:hint="eastAsia"/>
        </w:rPr>
        <w:tab/>
      </w:r>
      <w:r>
        <w:rPr>
          <w:rFonts w:hint="eastAsia"/>
        </w:rPr>
        <w:fldChar w:fldCharType="end"/>
      </w:r>
      <w:r>
        <w:rPr>
          <w:rFonts w:hint="eastAsia"/>
          <w:lang w:val="en-US" w:eastAsia="zh-CN"/>
        </w:rPr>
        <w:t>52</w:t>
      </w:r>
    </w:p>
    <w:p>
      <w:pPr>
        <w:pStyle w:val="11"/>
        <w:tabs>
          <w:tab w:val="right" w:leader="dot" w:pos="8200"/>
        </w:tabs>
        <w:spacing w:line="560" w:lineRule="exact"/>
        <w:ind w:left="560"/>
        <w:rPr>
          <w:rFonts w:hint="default" w:eastAsia="仿宋_GB2312"/>
          <w:lang w:val="en-US" w:eastAsia="zh-CN"/>
        </w:rPr>
        <w:sectPr>
          <w:footerReference r:id="rId5" w:type="default"/>
          <w:pgSz w:w="11906" w:h="16838"/>
          <w:pgMar w:top="1440" w:right="1800" w:bottom="1440" w:left="1800" w:header="851" w:footer="992" w:gutter="0"/>
          <w:pgNumType w:start="1"/>
          <w:cols w:space="425" w:num="1"/>
          <w:docGrid w:type="lines" w:linePitch="312" w:charSpace="0"/>
        </w:sectPr>
      </w:pPr>
      <w:r>
        <w:fldChar w:fldCharType="begin"/>
      </w:r>
      <w:r>
        <w:instrText xml:space="preserve"> HYPERLINK \l "_Toc30880" </w:instrText>
      </w:r>
      <w:r>
        <w:fldChar w:fldCharType="separate"/>
      </w:r>
      <w:r>
        <w:rPr>
          <w:rFonts w:hint="eastAsia"/>
        </w:rPr>
        <w:t>十三、呼伦贝尔市相关政策</w:t>
      </w:r>
      <w:r>
        <w:rPr>
          <w:rFonts w:hint="eastAsia"/>
        </w:rPr>
        <w:tab/>
      </w:r>
      <w:r>
        <w:rPr>
          <w:rFonts w:hint="eastAsia"/>
        </w:rPr>
        <w:fldChar w:fldCharType="end"/>
      </w:r>
      <w:r>
        <w:rPr>
          <w:rFonts w:hint="eastAsia"/>
          <w:lang w:val="en-US" w:eastAsia="zh-CN"/>
        </w:rPr>
        <w:t>56</w:t>
      </w:r>
    </w:p>
    <w:p>
      <w:pPr>
        <w:pStyle w:val="4"/>
        <w:numPr>
          <w:ilvl w:val="0"/>
          <w:numId w:val="1"/>
        </w:numPr>
        <w:spacing w:line="560" w:lineRule="exact"/>
        <w:jc w:val="center"/>
      </w:pPr>
      <w:bookmarkStart w:id="0" w:name="_Toc15768"/>
      <w:bookmarkStart w:id="1" w:name="_Toc13626"/>
      <w:bookmarkStart w:id="2" w:name="_Toc8369"/>
      <w:bookmarkStart w:id="3" w:name="_Toc2797"/>
      <w:r>
        <w:rPr>
          <w:rFonts w:hint="eastAsia"/>
        </w:rPr>
        <w:t>西部大开发适用政策</w:t>
      </w:r>
      <w:bookmarkEnd w:id="0"/>
      <w:bookmarkEnd w:id="1"/>
      <w:bookmarkEnd w:id="2"/>
      <w:bookmarkEnd w:id="3"/>
      <w:bookmarkStart w:id="4" w:name="_Toc5147"/>
      <w:bookmarkStart w:id="5" w:name="_Toc24073"/>
      <w:bookmarkStart w:id="6" w:name="_Toc26603"/>
    </w:p>
    <w:p>
      <w:pPr>
        <w:pStyle w:val="5"/>
        <w:spacing w:line="560" w:lineRule="exact"/>
        <w:ind w:firstLine="562"/>
        <w:rPr>
          <w:rFonts w:ascii="仿宋_GB2312" w:hAnsi="仿宋_GB2312" w:eastAsia="仿宋_GB2312" w:cs="仿宋_GB2312"/>
          <w:sz w:val="28"/>
          <w:szCs w:val="28"/>
        </w:rPr>
      </w:pPr>
      <w:bookmarkStart w:id="7" w:name="_Toc17740"/>
      <w:r>
        <w:rPr>
          <w:rFonts w:hint="eastAsia" w:ascii="仿宋_GB2312" w:hAnsi="仿宋_GB2312" w:eastAsia="仿宋_GB2312" w:cs="仿宋_GB2312"/>
          <w:sz w:val="28"/>
          <w:szCs w:val="28"/>
        </w:rPr>
        <w:t>（一）国家级适用政策</w:t>
      </w:r>
      <w:bookmarkEnd w:id="4"/>
      <w:bookmarkEnd w:id="5"/>
      <w:bookmarkEnd w:id="6"/>
      <w:bookmarkEnd w:id="7"/>
    </w:p>
    <w:p>
      <w:pPr>
        <w:spacing w:line="560" w:lineRule="exact"/>
        <w:jc w:val="center"/>
        <w:rPr>
          <w:rFonts w:ascii="仿宋_GB2312" w:hAnsi="仿宋_GB2312" w:cs="仿宋_GB2312"/>
          <w:b/>
          <w:bCs/>
          <w:szCs w:val="28"/>
        </w:rPr>
      </w:pPr>
      <w:r>
        <w:rPr>
          <w:rFonts w:hint="eastAsia" w:ascii="仿宋_GB2312" w:hAnsi="仿宋_GB2312" w:cs="仿宋_GB2312"/>
          <w:b/>
          <w:bCs/>
          <w:szCs w:val="28"/>
        </w:rPr>
        <w:t>《中共中央国务院关于深入实施西部大开发战略的若干意见》</w:t>
      </w:r>
    </w:p>
    <w:p>
      <w:pPr>
        <w:spacing w:line="560" w:lineRule="exact"/>
        <w:jc w:val="center"/>
        <w:rPr>
          <w:rFonts w:ascii="仿宋_GB2312" w:hAnsi="仿宋_GB2312" w:cs="仿宋_GB2312"/>
          <w:b w:val="0"/>
          <w:bCs w:val="0"/>
          <w:szCs w:val="28"/>
        </w:rPr>
      </w:pPr>
      <w:r>
        <w:rPr>
          <w:rFonts w:hint="eastAsia" w:ascii="仿宋_GB2312" w:hAnsi="仿宋_GB2312" w:cs="仿宋_GB2312"/>
          <w:b w:val="0"/>
          <w:bCs w:val="0"/>
          <w:szCs w:val="28"/>
        </w:rPr>
        <w:t>（中发</w:t>
      </w:r>
      <w:r>
        <w:rPr>
          <w:rFonts w:hint="eastAsia" w:ascii="仿宋" w:hAnsi="仿宋" w:eastAsia="仿宋" w:cs="仿宋"/>
          <w:b w:val="0"/>
          <w:bCs w:val="0"/>
          <w:szCs w:val="28"/>
        </w:rPr>
        <w:t>〔</w:t>
      </w:r>
      <w:r>
        <w:rPr>
          <w:rFonts w:hint="eastAsia" w:ascii="仿宋_GB2312" w:hAnsi="仿宋_GB2312" w:cs="仿宋_GB2312"/>
          <w:b w:val="0"/>
          <w:bCs w:val="0"/>
          <w:szCs w:val="28"/>
        </w:rPr>
        <w:t>2010</w:t>
      </w:r>
      <w:r>
        <w:rPr>
          <w:rFonts w:hint="eastAsia" w:ascii="仿宋" w:hAnsi="仿宋" w:eastAsia="仿宋" w:cs="仿宋"/>
          <w:b w:val="0"/>
          <w:bCs w:val="0"/>
          <w:szCs w:val="28"/>
        </w:rPr>
        <w:t>〕</w:t>
      </w:r>
      <w:r>
        <w:rPr>
          <w:rFonts w:hint="eastAsia" w:ascii="仿宋_GB2312" w:hAnsi="仿宋_GB2312" w:cs="仿宋_GB2312"/>
          <w:b w:val="0"/>
          <w:bCs w:val="0"/>
          <w:szCs w:val="28"/>
        </w:rPr>
        <w:t>11号）（摘要）</w:t>
      </w:r>
    </w:p>
    <w:p>
      <w:pPr>
        <w:pStyle w:val="12"/>
        <w:spacing w:before="0" w:beforeAutospacing="0" w:after="0" w:afterAutospacing="0" w:line="560" w:lineRule="exact"/>
        <w:ind w:firstLine="560" w:firstLineChars="200"/>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对设在西部地区的鼓励类产业企业减按15％的税率征收企业所得税。企业从事国家重点扶持的公共基础设施项目投资经营所得，以及符合条件的环境保护、节能节水项目所得，可依法享受企业所得税“三免三减半”优惠。推进资源税改革，对煤炭、原油、天然气等的资源税由从量计征改为从价计征，对其他资源适当提高税额，增加资源产地地方财政收入。各级地方政府在资源税分配上，要向资源产地基层政府倾斜。对西部地区内资鼓励类产业、外商投资鼓励类产业及优势产业的项目在投资总额内进口的自用设备，在政策规定范围内免征关税。</w:t>
      </w:r>
    </w:p>
    <w:p>
      <w:pPr>
        <w:pStyle w:val="12"/>
        <w:spacing w:before="0" w:beforeAutospacing="0" w:after="0" w:afterAutospacing="0" w:line="560" w:lineRule="exact"/>
        <w:ind w:firstLine="560" w:firstLineChars="200"/>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进一步完善建设用地审批制度，简化程序，保障西部大开发重点工程建设用地。实施差别化土地政策，在安排土地利用年度计划指标时，适度向西部地区倾斜，增加西部地区荒山、沙地、戈壁等未利用地建设用地指标。稳步开展农村土地整治和城乡建设用地增减挂钩试点。工业用地出让金最低标准，可区别情况按《全国工业用地出让最低价标准》的10％一50％执行，适当降低西部地区开发园(区)建设用地的基准地价。</w:t>
      </w:r>
      <w:bookmarkStart w:id="8" w:name="_Toc21658"/>
      <w:bookmarkStart w:id="9" w:name="_Toc1069"/>
      <w:bookmarkStart w:id="10" w:name="_Toc25023"/>
    </w:p>
    <w:p>
      <w:pPr>
        <w:pStyle w:val="5"/>
        <w:numPr>
          <w:ilvl w:val="0"/>
          <w:numId w:val="2"/>
        </w:numPr>
        <w:spacing w:line="560" w:lineRule="exact"/>
        <w:ind w:firstLine="562"/>
        <w:rPr>
          <w:rFonts w:ascii="仿宋_GB2312" w:hAnsi="仿宋_GB2312" w:eastAsia="仿宋_GB2312" w:cs="仿宋_GB2312"/>
          <w:sz w:val="28"/>
          <w:szCs w:val="28"/>
        </w:rPr>
      </w:pPr>
      <w:bookmarkStart w:id="11" w:name="_Toc20069"/>
      <w:r>
        <w:rPr>
          <w:rFonts w:hint="eastAsia" w:ascii="仿宋_GB2312" w:hAnsi="仿宋_GB2312" w:eastAsia="仿宋_GB2312" w:cs="仿宋_GB2312"/>
          <w:sz w:val="28"/>
          <w:szCs w:val="28"/>
        </w:rPr>
        <w:t>自治区级适用政策</w:t>
      </w:r>
      <w:bookmarkEnd w:id="8"/>
      <w:bookmarkEnd w:id="9"/>
      <w:bookmarkEnd w:id="10"/>
      <w:bookmarkEnd w:id="11"/>
    </w:p>
    <w:p>
      <w:pPr>
        <w:pStyle w:val="2"/>
        <w:spacing w:line="560" w:lineRule="exact"/>
        <w:ind w:left="0" w:leftChars="0" w:firstLine="0" w:firstLineChars="0"/>
        <w:jc w:val="center"/>
        <w:rPr>
          <w:rFonts w:ascii="仿宋_GB2312" w:hAnsi="仿宋_GB2312" w:cs="仿宋_GB2312"/>
          <w:b/>
          <w:bCs/>
          <w:sz w:val="28"/>
          <w:szCs w:val="28"/>
        </w:rPr>
      </w:pPr>
      <w:r>
        <w:rPr>
          <w:rFonts w:hint="eastAsia" w:ascii="仿宋_GB2312" w:hAnsi="仿宋_GB2312" w:cs="仿宋_GB2312"/>
          <w:b/>
          <w:bCs/>
          <w:sz w:val="28"/>
          <w:szCs w:val="28"/>
        </w:rPr>
        <w:t>内蒙古自治区人民政府关于印发《内蒙古自治区鼓励和</w:t>
      </w:r>
    </w:p>
    <w:p>
      <w:pPr>
        <w:pStyle w:val="2"/>
        <w:spacing w:line="560" w:lineRule="exact"/>
        <w:ind w:left="0" w:leftChars="0" w:firstLine="0" w:firstLineChars="0"/>
        <w:jc w:val="center"/>
        <w:rPr>
          <w:rFonts w:ascii="仿宋_GB2312" w:hAnsi="仿宋_GB2312" w:cs="仿宋_GB2312"/>
          <w:b/>
          <w:bCs/>
          <w:sz w:val="28"/>
          <w:szCs w:val="28"/>
        </w:rPr>
      </w:pPr>
      <w:r>
        <w:rPr>
          <w:rFonts w:hint="eastAsia" w:ascii="仿宋_GB2312" w:hAnsi="仿宋_GB2312" w:cs="仿宋_GB2312"/>
          <w:b/>
          <w:bCs/>
          <w:sz w:val="28"/>
          <w:szCs w:val="28"/>
        </w:rPr>
        <w:t>支持非公有制经济加快发展若干规定》（摘要）</w:t>
      </w:r>
    </w:p>
    <w:p>
      <w:pPr>
        <w:pStyle w:val="2"/>
        <w:spacing w:line="560" w:lineRule="exact"/>
        <w:ind w:left="0" w:leftChars="0" w:firstLine="516"/>
        <w:jc w:val="left"/>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对设在我区的鼓励类企业（是指以《西部地区鼓励类产业目录》中规定的产业项目为主营业务，且其主营业务收入占企业收入总额70%以上的企业），减按15%的税率征收企业所得税。</w:t>
      </w:r>
    </w:p>
    <w:p>
      <w:pPr>
        <w:pStyle w:val="12"/>
        <w:spacing w:before="0" w:beforeAutospacing="0" w:after="0" w:afterAutospacing="0" w:line="560" w:lineRule="exact"/>
        <w:ind w:firstLine="560" w:firstLineChars="200"/>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2</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新办符合国家产业政策的大中型企业，自取得第一笔生产经营收入所属纳税年度起，第一年至第五年免征企业所得税地方分享部分。</w:t>
      </w:r>
    </w:p>
    <w:p>
      <w:pPr>
        <w:pStyle w:val="12"/>
        <w:spacing w:before="0" w:beforeAutospacing="0" w:after="0" w:afterAutospacing="0" w:line="560" w:lineRule="exact"/>
        <w:ind w:firstLine="560" w:firstLineChars="200"/>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3</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小型微利企业，其所得减按20%的税率征收企业所得税；2017年12月31日前，对年应纳税所得额低于30万元（含30万元）的小型微利企业，其所得减按50%计入应纳税所得额，按20%的税率缴纳企业所得税。企业所得税地方分享部分减免政策，按照《内蒙古自治区人民政府关于修改内政发〔2012〕88号文件有关小型微利企业所得税优惠政策的通知》（内政发〔2014〕87号）规定执行。</w:t>
      </w:r>
    </w:p>
    <w:p>
      <w:pPr>
        <w:pStyle w:val="12"/>
        <w:spacing w:before="0" w:beforeAutospacing="0" w:after="0" w:afterAutospacing="0" w:line="560" w:lineRule="exact"/>
        <w:ind w:firstLine="646"/>
        <w:jc w:val="both"/>
      </w:pPr>
      <w:r>
        <w:rPr>
          <w:rStyle w:val="15"/>
          <w:rFonts w:hint="eastAsia" w:ascii="仿宋_GB2312" w:hAnsi="仿宋_GB2312" w:cs="仿宋_GB2312"/>
          <w:b w:val="0"/>
          <w:bCs/>
          <w:sz w:val="28"/>
          <w:szCs w:val="28"/>
        </w:rPr>
        <w:t>4</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对符合条件的担保机构从事中小企业信用担保或再担保业务取得的收入（不包括信用评级、咨询、培训等收入），3年内免征增值税，免税时间自完成备案手续之日起计算。</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5</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被认定为高新技术企业的，减按15%的税率征收企业所得税。</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6</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一个纳税年度内，居民企业从事技术转让取得的收入，不超过500万元的部分，免征所得税；超过500万元的部分，减半征收所得税。对单位或个人从事技术转让、技术开发业务以及与之相关的技术咨询、技术服务业务取得的收入，免征增值税。</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7</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小微企业从事农、牧、林、水产业生产的企业所得，按规定免征、减征企业所得税。</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8</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免征“农家乐”、“牧家乐”企业所得税地方分享部分。对经营采摘、观光农业的单位和个人，免征城镇土地使用税。</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9</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2014年1月1日至2018年12月31日，金融企业根据《贷款风险分类指引》（银监发〔2007〕54号）规定，对其涉农贷款和中小企业贷款进行风险分类后，按规定比例计提的贷款损失准备金，准予在计算应纳税所得额时扣除。</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10</w:t>
      </w:r>
      <w:r>
        <w:rPr>
          <w:rStyle w:val="15"/>
          <w:rFonts w:hint="eastAsia" w:ascii="仿宋_GB2312" w:hAnsi="仿宋_GB2312" w:cs="仿宋_GB2312"/>
          <w:b w:val="0"/>
          <w:bCs/>
          <w:sz w:val="28"/>
          <w:szCs w:val="28"/>
          <w:lang w:eastAsia="zh-CN"/>
        </w:rPr>
        <w:t>.</w:t>
      </w:r>
      <w:r>
        <w:rPr>
          <w:rStyle w:val="15"/>
          <w:rFonts w:hint="eastAsia" w:ascii="仿宋_GB2312" w:hAnsi="仿宋_GB2312" w:cs="仿宋_GB2312"/>
          <w:b w:val="0"/>
          <w:bCs/>
          <w:sz w:val="28"/>
          <w:szCs w:val="28"/>
        </w:rPr>
        <w:t>企业从事国家重点扶持的公共基础设施项目的投资经营所得，自项目取得第一笔生产经营收入所属纳税年度起，第一年至第三年免征企业所得税，第四年至第六年减半征收企业所得税。</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11</w:t>
      </w:r>
      <w:r>
        <w:rPr>
          <w:rStyle w:val="15"/>
          <w:rFonts w:hint="eastAsia" w:ascii="仿宋_GB2312" w:hAnsi="仿宋_GB2312" w:cs="仿宋_GB2312"/>
          <w:b w:val="0"/>
          <w:bCs/>
          <w:sz w:val="28"/>
          <w:szCs w:val="28"/>
          <w:lang w:val="en-US" w:eastAsia="zh-CN"/>
        </w:rPr>
        <w:t>.</w:t>
      </w:r>
      <w:r>
        <w:rPr>
          <w:rStyle w:val="15"/>
          <w:rFonts w:hint="eastAsia" w:ascii="仿宋_GB2312" w:hAnsi="仿宋_GB2312" w:cs="仿宋_GB2312"/>
          <w:b w:val="0"/>
          <w:bCs/>
          <w:sz w:val="28"/>
          <w:szCs w:val="28"/>
        </w:rPr>
        <w:t>按照《国家税务总局关于进一步贯彻落实税收政策促进民间投资健康发展的意见》（国税发﹝2012﹞53号）精神，认真落实现行鼓励和引导民间投资进入基础产业和基础设施、市政公用事业和政策性住房建设、社会事业、金融服务、商贸流通等领域，以及推进企业自主创新和转型升级等方面的税收政策。</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12</w:t>
      </w:r>
      <w:r>
        <w:rPr>
          <w:rStyle w:val="15"/>
          <w:rFonts w:hint="eastAsia" w:ascii="仿宋_GB2312" w:hAnsi="仿宋_GB2312" w:cs="仿宋_GB2312"/>
          <w:b w:val="0"/>
          <w:bCs/>
          <w:sz w:val="28"/>
          <w:szCs w:val="28"/>
          <w:lang w:val="en-US" w:eastAsia="zh-CN"/>
        </w:rPr>
        <w:t>.</w:t>
      </w:r>
      <w:r>
        <w:rPr>
          <w:rStyle w:val="15"/>
          <w:rFonts w:hint="eastAsia" w:ascii="仿宋_GB2312" w:hAnsi="仿宋_GB2312" w:cs="仿宋_GB2312"/>
          <w:b w:val="0"/>
          <w:bCs/>
          <w:sz w:val="28"/>
          <w:szCs w:val="28"/>
        </w:rPr>
        <w:t>企业用地符合国家《划拨用地目录》规定的，可以采取划拨方式供地。</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13</w:t>
      </w:r>
      <w:r>
        <w:rPr>
          <w:rStyle w:val="15"/>
          <w:rFonts w:hint="eastAsia" w:ascii="仿宋_GB2312" w:hAnsi="仿宋_GB2312" w:cs="仿宋_GB2312"/>
          <w:b w:val="0"/>
          <w:bCs/>
          <w:sz w:val="28"/>
          <w:szCs w:val="28"/>
          <w:lang w:val="en-US" w:eastAsia="zh-CN"/>
        </w:rPr>
        <w:t>.</w:t>
      </w:r>
      <w:r>
        <w:rPr>
          <w:rStyle w:val="15"/>
          <w:rFonts w:hint="eastAsia" w:ascii="仿宋_GB2312" w:hAnsi="仿宋_GB2312" w:cs="仿宋_GB2312"/>
          <w:b w:val="0"/>
          <w:bCs/>
          <w:sz w:val="28"/>
          <w:szCs w:val="28"/>
        </w:rPr>
        <w:t>企业开发利用国有未利用土地从事农、牧、林、水产业生产的，可按照出让方式获得土地使用权，经旗县级以上人民政府批准后可免收土地出让金，使用年限不超过50年。确需改变用途从事非农业建设的，缴纳土地出让金后，可依法办理相关手续。</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14</w:t>
      </w:r>
      <w:r>
        <w:rPr>
          <w:rStyle w:val="15"/>
          <w:rFonts w:hint="eastAsia" w:ascii="仿宋_GB2312" w:hAnsi="仿宋_GB2312" w:cs="仿宋_GB2312"/>
          <w:b w:val="0"/>
          <w:bCs/>
          <w:sz w:val="28"/>
          <w:szCs w:val="28"/>
          <w:lang w:val="en-US" w:eastAsia="zh-CN"/>
        </w:rPr>
        <w:t>.</w:t>
      </w:r>
      <w:r>
        <w:rPr>
          <w:rStyle w:val="15"/>
          <w:rFonts w:hint="eastAsia" w:ascii="仿宋_GB2312" w:hAnsi="仿宋_GB2312" w:cs="仿宋_GB2312"/>
          <w:b w:val="0"/>
          <w:bCs/>
          <w:sz w:val="28"/>
          <w:szCs w:val="28"/>
        </w:rPr>
        <w:t>对投资高新技术产业、基础设施建设和重点项目建设的企业，使用存量建设用地需要受让的，可在不低于国家允许实施的最低价标准政策（对于国家无最低价标准的用地，应不低于土地成本价）的前提下，享受土地出让价格优惠政策。凡经批准进入工业园区的企业，可以租赁方式使用建设用地。</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15</w:t>
      </w:r>
      <w:r>
        <w:rPr>
          <w:rStyle w:val="15"/>
          <w:rFonts w:hint="eastAsia" w:ascii="仿宋_GB2312" w:hAnsi="仿宋_GB2312" w:cs="仿宋_GB2312"/>
          <w:b w:val="0"/>
          <w:bCs/>
          <w:sz w:val="28"/>
          <w:szCs w:val="28"/>
          <w:lang w:val="en-US" w:eastAsia="zh-CN"/>
        </w:rPr>
        <w:t>.</w:t>
      </w:r>
      <w:r>
        <w:rPr>
          <w:rStyle w:val="15"/>
          <w:rFonts w:hint="eastAsia" w:ascii="仿宋_GB2312" w:hAnsi="仿宋_GB2312" w:cs="仿宋_GB2312"/>
          <w:b w:val="0"/>
          <w:bCs/>
          <w:sz w:val="28"/>
          <w:szCs w:val="28"/>
        </w:rPr>
        <w:t>企业投资的工业项目，使用土地利用总体规划确定的城镇建设用地范围内的国有未利用地的，土地出让价格可按照不低于所在土地等别相对应《内蒙古自治区工业用地出让最低价标准》的50%执行；使用土地利用总体规划确定的城镇建设用地范围外、自行完成土地前期开发的工业项目用地的，土地出让价格可按照不低于所在土地等别相对应《内蒙古自治区工业用地出让最低价标准》的60%执行，其中，使用国有未利用地的，土地出让价格可按照不低于所在土地等别相对应《内蒙古自治区工业用地出让最低价标准》的15%执行。</w:t>
      </w:r>
    </w:p>
    <w:p>
      <w:pPr>
        <w:pStyle w:val="12"/>
        <w:spacing w:before="0" w:beforeAutospacing="0" w:after="0" w:afterAutospacing="0" w:line="560" w:lineRule="exact"/>
        <w:ind w:firstLine="646"/>
        <w:jc w:val="both"/>
        <w:rPr>
          <w:rStyle w:val="15"/>
          <w:rFonts w:ascii="仿宋_GB2312" w:hAnsi="仿宋_GB2312" w:cs="仿宋_GB2312"/>
          <w:b w:val="0"/>
          <w:bCs/>
          <w:sz w:val="28"/>
          <w:szCs w:val="28"/>
        </w:rPr>
      </w:pPr>
      <w:r>
        <w:rPr>
          <w:rStyle w:val="15"/>
          <w:rFonts w:hint="eastAsia" w:ascii="仿宋_GB2312" w:hAnsi="仿宋_GB2312" w:cs="仿宋_GB2312"/>
          <w:b w:val="0"/>
          <w:bCs/>
          <w:sz w:val="28"/>
          <w:szCs w:val="28"/>
        </w:rPr>
        <w:t>16</w:t>
      </w:r>
      <w:r>
        <w:rPr>
          <w:rStyle w:val="15"/>
          <w:rFonts w:hint="eastAsia" w:ascii="仿宋_GB2312" w:hAnsi="仿宋_GB2312" w:cs="仿宋_GB2312"/>
          <w:b w:val="0"/>
          <w:bCs/>
          <w:sz w:val="28"/>
          <w:szCs w:val="28"/>
          <w:lang w:val="en-US" w:eastAsia="zh-CN"/>
        </w:rPr>
        <w:t>.</w:t>
      </w:r>
      <w:r>
        <w:rPr>
          <w:rStyle w:val="15"/>
          <w:rFonts w:hint="eastAsia" w:ascii="仿宋_GB2312" w:hAnsi="仿宋_GB2312" w:cs="仿宋_GB2312"/>
          <w:b w:val="0"/>
          <w:bCs/>
          <w:sz w:val="28"/>
          <w:szCs w:val="28"/>
        </w:rPr>
        <w:t>企业投资符合国家产业政策的建设项目和整体收购国有企业的，用地可采取出让方式，也可采取租赁方式，土地出让金或租金按照现行标准适当降低，最低不低于依法确认的土地出让金或租金的70%。</w:t>
      </w:r>
      <w:bookmarkStart w:id="12" w:name="_Toc7002"/>
      <w:bookmarkStart w:id="13" w:name="_Toc16843"/>
      <w:bookmarkStart w:id="14" w:name="_Toc9617"/>
    </w:p>
    <w:p>
      <w:pPr>
        <w:pStyle w:val="4"/>
        <w:spacing w:line="560" w:lineRule="exact"/>
        <w:jc w:val="center"/>
      </w:pPr>
      <w:bookmarkStart w:id="15" w:name="_Toc30880"/>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spacing w:line="560" w:lineRule="exact"/>
      </w:pPr>
    </w:p>
    <w:p>
      <w:pPr>
        <w:pStyle w:val="2"/>
        <w:spacing w:line="560" w:lineRule="exact"/>
        <w:ind w:left="560"/>
      </w:pPr>
    </w:p>
    <w:p/>
    <w:p>
      <w:pPr>
        <w:pStyle w:val="4"/>
        <w:numPr>
          <w:ilvl w:val="0"/>
          <w:numId w:val="1"/>
        </w:numPr>
        <w:spacing w:line="560" w:lineRule="exact"/>
        <w:jc w:val="center"/>
      </w:pPr>
      <w:r>
        <w:rPr>
          <w:rFonts w:hint="eastAsia"/>
        </w:rPr>
        <w:t>振兴东北老工业基地适用政策</w:t>
      </w:r>
      <w:bookmarkEnd w:id="12"/>
      <w:bookmarkEnd w:id="13"/>
      <w:bookmarkEnd w:id="14"/>
      <w:bookmarkEnd w:id="15"/>
      <w:bookmarkStart w:id="16" w:name="_Toc13402"/>
      <w:bookmarkStart w:id="17" w:name="_Toc25872"/>
      <w:bookmarkStart w:id="18" w:name="_Toc20799"/>
    </w:p>
    <w:p>
      <w:pPr>
        <w:pStyle w:val="5"/>
        <w:spacing w:line="560" w:lineRule="exact"/>
        <w:ind w:firstLine="562"/>
        <w:rPr>
          <w:rFonts w:ascii="仿宋_GB2312" w:hAnsi="仿宋_GB2312" w:eastAsia="仿宋_GB2312" w:cs="仿宋_GB2312"/>
          <w:sz w:val="28"/>
          <w:szCs w:val="28"/>
        </w:rPr>
      </w:pPr>
      <w:bookmarkStart w:id="19" w:name="_Toc5386"/>
      <w:r>
        <w:rPr>
          <w:rFonts w:hint="eastAsia" w:ascii="仿宋_GB2312" w:hAnsi="仿宋_GB2312" w:eastAsia="仿宋_GB2312" w:cs="仿宋_GB2312"/>
          <w:sz w:val="28"/>
          <w:szCs w:val="28"/>
        </w:rPr>
        <w:t>（一）国家级适用政策</w:t>
      </w:r>
      <w:bookmarkEnd w:id="16"/>
      <w:bookmarkEnd w:id="17"/>
      <w:bookmarkEnd w:id="18"/>
      <w:bookmarkEnd w:id="19"/>
    </w:p>
    <w:p>
      <w:pPr>
        <w:pStyle w:val="12"/>
        <w:spacing w:before="0" w:beforeAutospacing="0" w:after="0" w:afterAutospacing="0" w:line="560" w:lineRule="exact"/>
        <w:jc w:val="center"/>
        <w:rPr>
          <w:rFonts w:ascii="仿宋_GB2312" w:hAnsi="仿宋_GB2312" w:cs="仿宋_GB2312"/>
          <w:b/>
          <w:bCs/>
          <w:sz w:val="28"/>
          <w:szCs w:val="28"/>
        </w:rPr>
      </w:pPr>
      <w:r>
        <w:rPr>
          <w:rFonts w:hint="eastAsia" w:ascii="仿宋_GB2312" w:hAnsi="仿宋_GB2312" w:cs="仿宋_GB2312"/>
          <w:b/>
          <w:bCs/>
          <w:sz w:val="28"/>
          <w:szCs w:val="28"/>
        </w:rPr>
        <w:t>国家发展和改革委关于印发《服务业创新发展大纲</w:t>
      </w:r>
    </w:p>
    <w:p>
      <w:pPr>
        <w:pStyle w:val="12"/>
        <w:spacing w:before="0" w:beforeAutospacing="0" w:after="0" w:afterAutospacing="0" w:line="560" w:lineRule="exact"/>
        <w:ind w:firstLine="646"/>
        <w:jc w:val="center"/>
        <w:rPr>
          <w:rFonts w:ascii="仿宋_GB2312" w:hAnsi="仿宋_GB2312" w:cs="仿宋_GB2312"/>
          <w:b/>
          <w:bCs/>
          <w:sz w:val="28"/>
          <w:szCs w:val="28"/>
        </w:rPr>
      </w:pPr>
      <w:r>
        <w:rPr>
          <w:rFonts w:hint="eastAsia" w:ascii="仿宋_GB2312" w:hAnsi="仿宋_GB2312" w:cs="仿宋_GB2312"/>
          <w:b/>
          <w:bCs/>
          <w:sz w:val="28"/>
          <w:szCs w:val="28"/>
        </w:rPr>
        <w:t>（2017-2025年）》的通知(摘要)</w:t>
      </w:r>
    </w:p>
    <w:p>
      <w:pPr>
        <w:pStyle w:val="12"/>
        <w:spacing w:before="0" w:beforeAutospacing="0" w:after="0" w:afterAutospacing="0" w:line="560" w:lineRule="exact"/>
        <w:jc w:val="center"/>
        <w:rPr>
          <w:rFonts w:ascii="仿宋_GB2312" w:hAnsi="仿宋_GB2312" w:cs="仿宋_GB2312"/>
          <w:sz w:val="28"/>
          <w:szCs w:val="28"/>
        </w:rPr>
      </w:pPr>
      <w:r>
        <w:rPr>
          <w:rFonts w:hint="eastAsia" w:ascii="仿宋_GB2312" w:hAnsi="仿宋_GB2312" w:cs="仿宋_GB2312"/>
          <w:sz w:val="28"/>
          <w:szCs w:val="28"/>
        </w:rPr>
        <w:t>（发改规划</w:t>
      </w:r>
      <w:r>
        <w:rPr>
          <w:rFonts w:hint="eastAsia" w:ascii="仿宋" w:hAnsi="仿宋" w:eastAsia="仿宋" w:cs="仿宋"/>
          <w:sz w:val="28"/>
          <w:szCs w:val="28"/>
        </w:rPr>
        <w:t>〔</w:t>
      </w:r>
      <w:r>
        <w:rPr>
          <w:rFonts w:hint="eastAsia" w:ascii="仿宋_GB2312" w:hAnsi="仿宋_GB2312" w:cs="仿宋_GB2312"/>
          <w:sz w:val="28"/>
          <w:szCs w:val="28"/>
        </w:rPr>
        <w:t>2017</w:t>
      </w:r>
      <w:r>
        <w:rPr>
          <w:rFonts w:hint="eastAsia" w:ascii="仿宋" w:hAnsi="仿宋" w:eastAsia="仿宋" w:cs="仿宋"/>
          <w:sz w:val="28"/>
          <w:szCs w:val="28"/>
        </w:rPr>
        <w:t>〕</w:t>
      </w:r>
      <w:r>
        <w:rPr>
          <w:rFonts w:hint="eastAsia" w:ascii="仿宋_GB2312" w:hAnsi="仿宋_GB2312" w:cs="仿宋_GB2312"/>
          <w:sz w:val="28"/>
          <w:szCs w:val="28"/>
        </w:rPr>
        <w:t>1116号）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营造公平普惠的政策环境。破除制约服务业发展的政策障碍、消除政策歧视，创新要素供给机制，加快形成公平透明、普惠友好的政策支持体系。</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创新财税政策。积极构建有利于服务业创新发展的财税政策环境。落实支持服务业及小微企业发展的税收优惠政策。加大政府购买服务力度、研究制定政府购买服务指导性目录。有效发挥相关产业基金和服务业引导资金作用。推广政府与社会资本合作模式、引导社会资本投入服务业。</w:t>
      </w:r>
    </w:p>
    <w:p>
      <w:pPr>
        <w:spacing w:line="560" w:lineRule="exact"/>
        <w:ind w:firstLine="560" w:firstLineChars="200"/>
        <w:rPr>
          <w:rFonts w:ascii="仿宋_GB2312" w:hAnsi="仿宋_GB2312" w:cs="仿宋_GB2312"/>
          <w:szCs w:val="36"/>
        </w:rPr>
      </w:pPr>
      <w:r>
        <w:rPr>
          <w:rFonts w:hint="eastAsia" w:ascii="仿宋_GB2312" w:hAnsi="仿宋_GB2312" w:cs="仿宋_GB2312"/>
          <w:szCs w:val="40"/>
        </w:rPr>
        <w:t>完善土地政策。优化土地供应调控机制，合理确定用地供给，保障服务业用地需求。依据不同服务门类特性及产业政策导向，有针对性地制定土地政策。探索对知识密集型服务业实行年租制、“先租赁后出让”等弹性供地制度。依法支持利用工业、仓储等用房用地兴办符合规划的服务业。创新适应新产业、新业态特点的建设用地用途归类方式。</w:t>
      </w:r>
    </w:p>
    <w:p>
      <w:pPr>
        <w:spacing w:line="560" w:lineRule="exact"/>
        <w:ind w:firstLine="560" w:firstLineChars="200"/>
        <w:rPr>
          <w:rFonts w:ascii="仿宋_GB2312" w:hAnsi="仿宋_GB2312" w:cs="仿宋_GB2312"/>
          <w:szCs w:val="36"/>
        </w:rPr>
      </w:pPr>
      <w:r>
        <w:rPr>
          <w:rFonts w:hint="eastAsia" w:ascii="仿宋_GB2312" w:hAnsi="仿宋_GB2312" w:cs="仿宋_GB2312"/>
          <w:szCs w:val="36"/>
        </w:rPr>
        <w:t>优化金融支持。拓宽融资渠道，调整修订不适应服务企业特点的政策规定，支持通过发行股票、债券等直接融资方式筹集资金。探索允许营利性医疗、养老、教育等社会领域机构使用有偿取得的土地、设施等财产进行抵押融资。鼓励金融机构开发适应服务业特点的融资产品和服务。完善动产融资服务体系。鼓励有条件的地方建立小微企业信贷风险补偿机制。支持融资担保机构扩大小微企业担保业务规模。</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深化价格改革。加快完善主要由市场决定价格机制，合理区分基本与非基本需求，放开竞争性领域和环节服务价格。健全交通运输价格机制，放开具备竞争条件的客货运输价格。创新公用事业和公益性服务价格管理方式。深化教育、医疗、养老等领域价格改革。营利性机构提供的服务实行经营者依法自主定价。全面清理规范涉企收费，推进实施涉企收费目录清单管理并常布化公示。</w:t>
      </w:r>
    </w:p>
    <w:p>
      <w:pPr>
        <w:spacing w:line="560" w:lineRule="exact"/>
        <w:ind w:firstLine="560" w:firstLineChars="200"/>
        <w:rPr>
          <w:rFonts w:ascii="仿宋_GB2312" w:hAnsi="仿宋_GB2312" w:cs="仿宋_GB2312"/>
        </w:rPr>
      </w:pPr>
      <w:r>
        <w:rPr>
          <w:rFonts w:hint="eastAsia" w:ascii="仿宋_GB2312" w:hAnsi="仿宋_GB2312" w:cs="仿宋_GB2312"/>
          <w:szCs w:val="28"/>
        </w:rPr>
        <w:t>健全消费政策。鼓励消费金融创新，支持发展消费信贷。鼓励保险机构开发更多适应医疗、文化、养老、旅游等行业和小微企业特点的保险险种。</w:t>
      </w:r>
      <w:bookmarkStart w:id="20" w:name="_Toc18940"/>
      <w:bookmarkStart w:id="21" w:name="_Toc27073"/>
      <w:bookmarkStart w:id="22" w:name="_Toc2955"/>
    </w:p>
    <w:p>
      <w:pPr>
        <w:pStyle w:val="5"/>
        <w:spacing w:line="560" w:lineRule="exact"/>
        <w:ind w:left="560" w:leftChars="200" w:firstLine="0" w:firstLineChars="0"/>
        <w:rPr>
          <w:rFonts w:ascii="仿宋_GB2312" w:hAnsi="仿宋_GB2312" w:eastAsia="仿宋_GB2312" w:cs="仿宋_GB2312"/>
          <w:sz w:val="28"/>
          <w:szCs w:val="28"/>
        </w:rPr>
      </w:pPr>
      <w:bookmarkStart w:id="23" w:name="_Toc27499"/>
      <w:r>
        <w:rPr>
          <w:rFonts w:hint="eastAsia" w:ascii="仿宋_GB2312" w:hAnsi="仿宋_GB2312" w:eastAsia="仿宋_GB2312" w:cs="仿宋_GB2312"/>
          <w:sz w:val="28"/>
          <w:szCs w:val="28"/>
        </w:rPr>
        <w:t>（二）自治区级适用政策</w:t>
      </w:r>
      <w:bookmarkEnd w:id="20"/>
      <w:bookmarkEnd w:id="21"/>
      <w:bookmarkEnd w:id="22"/>
      <w:bookmarkEnd w:id="23"/>
    </w:p>
    <w:p>
      <w:pPr>
        <w:spacing w:line="560" w:lineRule="exact"/>
        <w:jc w:val="center"/>
        <w:rPr>
          <w:rFonts w:hint="eastAsia" w:ascii="仿宋_GB2312" w:hAnsi="仿宋_GB2312" w:cs="仿宋_GB2312"/>
          <w:b/>
          <w:bCs/>
          <w:szCs w:val="28"/>
        </w:rPr>
      </w:pPr>
      <w:r>
        <w:rPr>
          <w:rFonts w:hint="eastAsia" w:ascii="仿宋_GB2312" w:hAnsi="仿宋_GB2312" w:cs="仿宋_GB2312"/>
          <w:b/>
          <w:bCs/>
          <w:szCs w:val="28"/>
          <w:lang w:eastAsia="zh-CN"/>
        </w:rPr>
        <w:t>《</w:t>
      </w:r>
      <w:r>
        <w:rPr>
          <w:rFonts w:hint="eastAsia" w:ascii="仿宋_GB2312" w:hAnsi="仿宋_GB2312" w:cs="仿宋_GB2312"/>
          <w:b/>
          <w:bCs/>
          <w:szCs w:val="28"/>
        </w:rPr>
        <w:t>内蒙古自治区人民政府关于支持沿边重点</w:t>
      </w:r>
    </w:p>
    <w:p>
      <w:pPr>
        <w:spacing w:line="560" w:lineRule="exact"/>
        <w:jc w:val="center"/>
        <w:rPr>
          <w:rFonts w:hint="eastAsia" w:ascii="仿宋_GB2312" w:hAnsi="仿宋_GB2312" w:eastAsia="仿宋_GB2312" w:cs="仿宋_GB2312"/>
          <w:b/>
          <w:bCs/>
          <w:szCs w:val="28"/>
          <w:lang w:eastAsia="zh-CN"/>
        </w:rPr>
      </w:pPr>
      <w:r>
        <w:rPr>
          <w:rFonts w:hint="eastAsia" w:ascii="仿宋_GB2312" w:hAnsi="仿宋_GB2312" w:cs="仿宋_GB2312"/>
          <w:b/>
          <w:bCs/>
          <w:szCs w:val="28"/>
        </w:rPr>
        <w:t>地区开发开放的实施意见</w:t>
      </w:r>
      <w:r>
        <w:rPr>
          <w:rFonts w:hint="eastAsia" w:ascii="仿宋_GB2312" w:hAnsi="仿宋_GB2312" w:cs="仿宋_GB2312"/>
          <w:b/>
          <w:bCs/>
          <w:szCs w:val="28"/>
          <w:lang w:eastAsia="zh-CN"/>
        </w:rPr>
        <w:t>》</w:t>
      </w:r>
    </w:p>
    <w:p>
      <w:pPr>
        <w:spacing w:line="560" w:lineRule="exact"/>
        <w:ind w:firstLine="560" w:firstLineChars="200"/>
        <w:jc w:val="center"/>
        <w:rPr>
          <w:rFonts w:ascii="仿宋_GB2312" w:hAnsi="仿宋_GB2312" w:cs="仿宋_GB2312"/>
          <w:szCs w:val="28"/>
        </w:rPr>
      </w:pPr>
      <w:r>
        <w:rPr>
          <w:rFonts w:hint="eastAsia" w:ascii="仿宋_GB2312" w:hAnsi="仿宋_GB2312" w:cs="仿宋_GB2312"/>
          <w:szCs w:val="28"/>
        </w:rPr>
        <w:t>（内政发〔2017〕35号）（摘要）</w:t>
      </w:r>
    </w:p>
    <w:p>
      <w:pPr>
        <w:numPr>
          <w:ilvl w:val="0"/>
          <w:numId w:val="3"/>
        </w:numPr>
        <w:spacing w:line="560" w:lineRule="exact"/>
        <w:ind w:firstLine="560" w:firstLineChars="200"/>
        <w:rPr>
          <w:rFonts w:ascii="仿宋_GB2312" w:hAnsi="仿宋_GB2312" w:cs="仿宋_GB2312"/>
          <w:szCs w:val="28"/>
        </w:rPr>
      </w:pPr>
      <w:r>
        <w:rPr>
          <w:rFonts w:hint="eastAsia" w:ascii="仿宋_GB2312" w:hAnsi="仿宋_GB2312" w:cs="仿宋_GB2312"/>
          <w:szCs w:val="28"/>
        </w:rPr>
        <w:t>推进贸易方式转变</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一）支持对外贸易转型升级。优化边境地区转移支付资金安排的内部结构，重点用于建立边民补助机制、保障口岸正常运转、支持边境贸易和边境小额贸易企业能力建设以及与边境事务有关的其他民生支出。有序发展边境贸易，落实国家支持边境贸易发展要求，推动发展边民互市贸易、旅游购物贸易、市场采购贸易等综合性多元化贸易方式。开展进出口商品质量提升活动，创建出口产品质量安全示范区，实现优进优出。落实《内蒙古自治区人民政府关于促进加工贸易创新发展的实施意见》（内政发〔2016〕86号），对开展加工贸易涉及配额管理的资源类商品，在配额分配方面给予适当倾斜。支持粮食、油料作物、畜产品、木材、重油、玉石等加工贸易发展，对以边贸方式进口、符合国家《鼓励进口技术和产品目录》的资源类商品给予进口贴息支持。落实《内蒙古自治区人民政府办公厅关于发展跨境电子商务的实施意见》（内政办发〔2016〕28号），推广电子商务应用，发展跨境电子商务。</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引导服务贸易加快发展。积极落实《内蒙古自治区人民政府关于加快发展服务贸易的实施意见》（内政发〔2016〕57号），支持沿边重点地区提高服务贸易比重，继续发展旅游、运输、建筑、会展等重点服务贸易，做大做强文化、教育、传媒、中蒙医药等传统服务贸易，积极培育通信、金融、信息等高附加值服务贸易。扩大服务贸易开放领域，有序放开育幼养老、建筑设计、会计审计、商贸物流、电子商务等服务业领域外资准入限制。外经贸发展专项资金安排向沿边重点地区服务业企业倾斜，支持各类服务业企业通过新设、并购、合作等方式，在境外开展投资合作，加快建设境外营销网络，增加在境外的商业存在。支持沿边重点地区服务业企业参与扎门乌德自由区等境外经贸合作区的投资、建设和管理。</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三）完善边民互市贸易。落实国家修订的《边民互市贸易管理办法》、《边民互市进口商品不予免税清单》以及国家规定范围内的免征进口关税和进口环节增值税政策。推动满洲里、二连浩特互市贸易区做大做强，完善自治区边民互市贸易管理办法，扩大边民互市交易商品品种，允许第三国商品入区交易。积极推动满都拉、策克等边民互市贸易区建设。清理地方各级政府自行颁布或实施的与中央政策相冲突的有关边民互市贸易的政策和政府规章。</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二、促进优势特色产业发展</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一）实行差别化产业政策。大力发展特色优势产业，对符合产业政策、对当地经济发展带动作用强的项目，在项目审批、核准、备案等方面加大支持力度。优先布局进口能源资源加工转化利用项目和进口资源落地加工项目，发展外向型产业集群，形成进口煤炭、木材、农畜产品、铁矿石、重油、有色金属、粮油和出口果蔬、电子产品、大型机械对外开放基地，鼓励自治区具有优势的钢铁、建材、矿山机械、农畜产品加工等产能、装备、技术走出去。支持沿边重点地区发展风电、光电等新能源产业，在风光电建设规模指标分配上给予倾斜。推动移动互联网、云计算、大数据、物联网等与制造业紧密结合。积极落实《西部地区鼓励类产业目录》，支持沿边重点地区优势产业发展。</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积极参与国家产业发展基金。积极参与国家设立的沿边重点地区产业发展（创业投资）基金。支持沿边重点地区发展壮大特色优势产业和承接国内外产业转移；支持东南沿海地区的加工制造业、高技术产业、服务业和旅游业向自治区沿边重点地区转移，积极开拓俄蒙和欧洲市场。</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三）加强用地和人力资源保障。对符合国家产业政策的重大基础设施和产业项目，在建设用地计划指标安排上予以倾斜。对入驻沿边重点地区加工物流、文化旅游等项目的建设用地加快审批。落实好沿边重点地区外籍人员就业政策，加强服务管理。</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三、加大财税等支持力度</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落实西部大开发有关税收政策，对我区内资鼓励类产业、外商投资鼓励类产业及优势产业的项目在投资总额内进口的自用设备，在政策规定范围内免征关税。积极争取国家研究出台中蒙跨境经济合作区的税收政策。积极落实中俄、中蒙税收协定。</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四、鼓励金融创新与开放</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拓宽融资方式和渠道。引导沿边重点地区地方法人金融机构优化宏观审慎管理指标，鼓励扩大信贷投放。引导沿边重点地区金融机构将吸收的存款主要用于服务当地经济社会发展，对沿边重点地区金融机构新增存款一定比例用于当地贷款并达到有关要求的县域法人金融机构，落实存款准备金激励约束政策。鼓励沿边重点地区符合条件的企业通过发行短期融资券、中期票据等债务融资工具筹集资金。培育发展多层次资本市场，支持符合条件的企业在全国中小企业股份转让系统挂牌。规范发展服务中小微企业的区域性股权市场，引导产业发展（创业投资）基金投资于区域性股权市场挂牌企业。支持期货交易所研究在沿边重点地区设立商品期货交割仓库。支持沿边重点地区利用本地区和俄蒙丰富的矿产、农牧业、生物和生态资源，规范发展矿产权、林权、碳汇权和文化产品等交易市场。</w:t>
      </w:r>
      <w:bookmarkStart w:id="24" w:name="_Toc30951"/>
      <w:bookmarkStart w:id="25" w:name="_Toc16703"/>
      <w:bookmarkStart w:id="26" w:name="_Toc31832"/>
      <w:bookmarkStart w:id="27" w:name="_Toc29368"/>
    </w:p>
    <w:p>
      <w:pPr>
        <w:spacing w:line="560" w:lineRule="exact"/>
        <w:jc w:val="center"/>
        <w:rPr>
          <w:rFonts w:hint="eastAsia" w:ascii="仿宋_GB2312" w:hAnsi="仿宋_GB2312" w:eastAsia="仿宋_GB2312" w:cs="仿宋_GB2312"/>
          <w:b/>
          <w:bCs/>
          <w:lang w:eastAsia="zh-CN"/>
        </w:rPr>
      </w:pPr>
      <w:bookmarkStart w:id="28" w:name="_Toc11926"/>
      <w:r>
        <w:rPr>
          <w:rFonts w:hint="eastAsia" w:ascii="仿宋_GB2312" w:hAnsi="仿宋_GB2312" w:cs="仿宋_GB2312"/>
          <w:b/>
          <w:bCs/>
          <w:lang w:eastAsia="zh-CN"/>
        </w:rPr>
        <w:t>《</w:t>
      </w:r>
      <w:r>
        <w:rPr>
          <w:rFonts w:hint="eastAsia" w:ascii="仿宋_GB2312" w:hAnsi="仿宋_GB2312" w:cs="仿宋_GB2312"/>
          <w:b/>
          <w:bCs/>
        </w:rPr>
        <w:t>内蒙古自治区促进工业经济平增长行动方案</w:t>
      </w:r>
      <w:r>
        <w:rPr>
          <w:rFonts w:hint="eastAsia" w:ascii="仿宋_GB2312" w:hAnsi="仿宋_GB2312" w:cs="仿宋_GB2312"/>
          <w:b/>
          <w:bCs/>
          <w:lang w:eastAsia="zh-CN"/>
        </w:rPr>
        <w:t>》</w:t>
      </w:r>
    </w:p>
    <w:p>
      <w:pPr>
        <w:spacing w:line="560" w:lineRule="exact"/>
        <w:jc w:val="center"/>
        <w:rPr>
          <w:rFonts w:ascii="仿宋_GB2312" w:hAnsi="仿宋_GB2312" w:cs="仿宋_GB2312"/>
        </w:rPr>
      </w:pPr>
      <w:r>
        <w:rPr>
          <w:rFonts w:hint="eastAsia" w:ascii="仿宋_GB2312" w:hAnsi="仿宋_GB2312" w:cs="仿宋_GB2312"/>
        </w:rPr>
        <w:t>（内发改产业字〔2022〕678号）（摘要）</w:t>
      </w:r>
    </w:p>
    <w:p>
      <w:pPr>
        <w:spacing w:line="560" w:lineRule="exact"/>
        <w:ind w:firstLine="562" w:firstLineChars="200"/>
        <w:rPr>
          <w:rFonts w:ascii="仿宋_GB2312" w:hAnsi="仿宋_GB2312" w:cs="仿宋_GB2312"/>
          <w:b/>
          <w:bCs/>
        </w:rPr>
      </w:pPr>
      <w:r>
        <w:rPr>
          <w:rFonts w:hint="eastAsia" w:ascii="仿宋_GB2312" w:hAnsi="仿宋_GB2312" w:cs="仿宋_GB2312"/>
          <w:b/>
          <w:bCs/>
        </w:rPr>
        <w:t>投资政策</w:t>
      </w:r>
    </w:p>
    <w:p>
      <w:pPr>
        <w:spacing w:line="560" w:lineRule="exact"/>
        <w:ind w:firstLine="560" w:firstLineChars="200"/>
        <w:rPr>
          <w:rFonts w:ascii="仿宋_GB2312" w:hAnsi="仿宋_GB2312" w:cs="仿宋_GB2312"/>
        </w:rPr>
      </w:pPr>
      <w:r>
        <w:rPr>
          <w:rFonts w:hint="eastAsia" w:ascii="仿宋_GB2312" w:hAnsi="仿宋_GB2312" w:cs="仿宋_GB2312"/>
        </w:rPr>
        <w:t xml:space="preserve"> 实施光伏产业创新发展专项行动，加快建设我区纳入国家第一批大型风电光伏基地新能源项目，力争2023年底建成并网。落实国家大型风电光伏基地规划布局方案，开展蒙西沙漠、戈壁、荒漠地区大型风电光伏基地规划工作。</w:t>
      </w:r>
    </w:p>
    <w:p>
      <w:pPr>
        <w:spacing w:line="560" w:lineRule="exact"/>
        <w:ind w:firstLine="560" w:firstLineChars="200"/>
        <w:rPr>
          <w:rFonts w:ascii="仿宋_GB2312" w:hAnsi="仿宋_GB2312" w:cs="仿宋_GB2312"/>
        </w:rPr>
      </w:pPr>
      <w:r>
        <w:rPr>
          <w:rFonts w:hint="eastAsia" w:ascii="仿宋_GB2312" w:hAnsi="仿宋_GB2312" w:cs="仿宋_GB2312"/>
        </w:rPr>
        <w:t xml:space="preserve"> 推进“光伏+生态治理”模式，鼓励利用露天矿排土场、采煤沉陷区土地发展风光发电项目。落实国家支持东北振兴政策，对东部五盟市风光电项目，采取先行用地方式满足开工条件。组织新能源开发企业与装备制造企业开展产销对接活动，加快新能源装备制造发展。</w:t>
      </w:r>
    </w:p>
    <w:p>
      <w:pPr>
        <w:spacing w:line="560" w:lineRule="exact"/>
        <w:ind w:firstLine="560" w:firstLineChars="200"/>
        <w:rPr>
          <w:rFonts w:ascii="仿宋_GB2312" w:hAnsi="仿宋_GB2312" w:cs="仿宋_GB2312"/>
        </w:rPr>
      </w:pPr>
      <w:r>
        <w:rPr>
          <w:rFonts w:hint="eastAsia" w:ascii="仿宋_GB2312" w:hAnsi="仿宋_GB2312" w:cs="仿宋_GB2312"/>
        </w:rPr>
        <w:t>统筹煤电高质量发展和保供调峰，在保障电力安全稳定供应的基础上，因厂制宜、有序推进煤电机组综合改造升级，改造后供电煤耗力争达到同类型机组先进水平。</w:t>
      </w:r>
    </w:p>
    <w:p>
      <w:pPr>
        <w:spacing w:line="560" w:lineRule="exact"/>
        <w:ind w:firstLine="560" w:firstLineChars="200"/>
        <w:rPr>
          <w:rFonts w:ascii="仿宋_GB2312" w:hAnsi="仿宋_GB2312" w:cs="仿宋_GB2312"/>
        </w:rPr>
      </w:pPr>
      <w:r>
        <w:rPr>
          <w:rFonts w:hint="eastAsia" w:ascii="仿宋_GB2312" w:hAnsi="仿宋_GB2312" w:cs="仿宋_GB2312"/>
        </w:rPr>
        <w:t>开展重点领域节能降碳行动，对石油煤炭及其它燃料加工业、化学原料和化学制品制造业、非金属矿物制品业、黑色金属冶炼和压延加工业、有色金属冶炼和压延加工业等重点领域26个产品能效水平低于国家能效基准水平的，争取国家专项支持，加快节能降碳技术改造。</w:t>
      </w:r>
    </w:p>
    <w:p>
      <w:pPr>
        <w:spacing w:line="560" w:lineRule="exact"/>
        <w:ind w:firstLine="560" w:firstLineChars="200"/>
        <w:rPr>
          <w:rFonts w:ascii="仿宋_GB2312" w:hAnsi="仿宋_GB2312" w:cs="仿宋_GB2312"/>
        </w:rPr>
      </w:pPr>
      <w:r>
        <w:rPr>
          <w:rFonts w:hint="eastAsia" w:ascii="仿宋_GB2312" w:hAnsi="仿宋_GB2312" w:cs="仿宋_GB2312"/>
        </w:rPr>
        <w:t>加快推进绿色农畜产品加工、新能源、新材料、新型化工、现代装备制造、生物医药、数字经济、现代服务业等产业集群建设，按年度实施重点项目滚动计划，推动重大项目建设。组织工业企业参加国家工信部先进制造业集群竞赛。</w:t>
      </w:r>
    </w:p>
    <w:p>
      <w:pPr>
        <w:spacing w:line="560" w:lineRule="exact"/>
        <w:ind w:firstLine="560" w:firstLineChars="200"/>
        <w:rPr>
          <w:rFonts w:ascii="仿宋_GB2312" w:hAnsi="仿宋_GB2312" w:cs="仿宋_GB2312"/>
        </w:rPr>
      </w:pPr>
      <w:r>
        <w:rPr>
          <w:rFonts w:hint="eastAsia" w:ascii="仿宋_GB2312" w:hAnsi="仿宋_GB2312" w:cs="仿宋_GB2312"/>
        </w:rPr>
        <w:t>健全信息基础设施，加快包头市、鄂尔多斯市“千兆城市”建设，推进煤炭、稀土、化工等工业互联网标识解析二级节点建设，打造全国一体化算力网络国家枢纽节点。持续推动5G基站和千兆光网网络建设，力争2022年新建5G基站1万个，实现盟市、旗县、乡镇、工业园区、大型工矿企业5G信号覆盖。</w:t>
      </w:r>
    </w:p>
    <w:p>
      <w:pPr>
        <w:spacing w:line="560" w:lineRule="exact"/>
        <w:ind w:firstLine="560" w:firstLineChars="200"/>
        <w:rPr>
          <w:rFonts w:ascii="仿宋_GB2312" w:hAnsi="仿宋_GB2312" w:cs="仿宋_GB2312"/>
        </w:rPr>
      </w:pPr>
      <w:r>
        <w:rPr>
          <w:rFonts w:hint="eastAsia" w:ascii="仿宋_GB2312" w:hAnsi="仿宋_GB2312" w:cs="仿宋_GB2312"/>
        </w:rPr>
        <w:t>加快华为、阿里巴巴、快手、中国银行等在建数据中心建设，推动中国建设银行、中国农业银行、中国银行保险信息技术、披云、PCG集团、中国人寿保险等签约项目开工建设，力争2022底数据中心服务器装机能力突破200万台。</w:t>
      </w:r>
    </w:p>
    <w:p>
      <w:pPr>
        <w:spacing w:line="560" w:lineRule="exact"/>
        <w:ind w:firstLine="560" w:firstLineChars="200"/>
        <w:rPr>
          <w:rFonts w:ascii="仿宋_GB2312" w:hAnsi="仿宋_GB2312" w:cs="仿宋_GB2312"/>
        </w:rPr>
      </w:pPr>
      <w:r>
        <w:rPr>
          <w:rFonts w:hint="eastAsia" w:ascii="仿宋_GB2312" w:hAnsi="仿宋_GB2312" w:cs="仿宋_GB2312"/>
        </w:rPr>
        <w:t xml:space="preserve"> 加大5G+产业推广应用，提高重点领域关键工序数控化率和数字化研发设计工具普及率，在工业领域重点推动矿区无人驾驶、封闭厂区道路运输、园区智慧物流、远程操控等场景推广5G应用。推动电力行业5G应用。</w:t>
      </w:r>
    </w:p>
    <w:p>
      <w:pPr>
        <w:spacing w:line="560" w:lineRule="exact"/>
        <w:ind w:firstLine="560" w:firstLineChars="200"/>
        <w:rPr>
          <w:rFonts w:ascii="仿宋_GB2312" w:hAnsi="仿宋_GB2312" w:cs="仿宋_GB2312"/>
        </w:rPr>
      </w:pPr>
      <w:r>
        <w:rPr>
          <w:rFonts w:hint="eastAsia" w:ascii="仿宋_GB2312" w:hAnsi="仿宋_GB2312" w:cs="仿宋_GB2312"/>
        </w:rPr>
        <w:t>推动智能制造业发展，加快重点行业“机器换人”，在冶金、装备、化工等关键岗位推广工业机器人，2022年底，民爆行业生产线和装车环节“机器换人”达到75%，电石行业3万吨以上矿热炉出炉环节“机器换人”达到50%。</w:t>
      </w:r>
    </w:p>
    <w:p>
      <w:pPr>
        <w:spacing w:line="560" w:lineRule="exact"/>
        <w:ind w:firstLine="560" w:firstLineChars="200"/>
        <w:rPr>
          <w:rFonts w:ascii="仿宋_GB2312" w:hAnsi="仿宋_GB2312" w:cs="仿宋_GB2312"/>
        </w:rPr>
      </w:pPr>
      <w:r>
        <w:rPr>
          <w:rFonts w:hint="eastAsia" w:ascii="仿宋_GB2312" w:hAnsi="仿宋_GB2312" w:cs="仿宋_GB2312"/>
        </w:rPr>
        <w:t>推动基础设施领域不动产投资信托基金（REITs）健康发展，有效盘活存量资产，形成存量资产和新增投资的良性循环，引导有关企业积极参与申报基础设施REITs项目。加强交通、能源、生态环保、仓储物流等基础设施领域效益好、市场接受度高的项目策划储备。</w:t>
      </w:r>
    </w:p>
    <w:p>
      <w:pPr>
        <w:spacing w:line="560" w:lineRule="exact"/>
        <w:ind w:firstLine="560" w:firstLineChars="200"/>
        <w:rPr>
          <w:rFonts w:ascii="仿宋_GB2312" w:hAnsi="仿宋_GB2312" w:cs="仿宋_GB2312"/>
        </w:rPr>
      </w:pPr>
      <w:r>
        <w:rPr>
          <w:rFonts w:hint="eastAsia" w:ascii="仿宋_GB2312" w:hAnsi="仿宋_GB2312" w:cs="仿宋_GB2312"/>
        </w:rPr>
        <w:t>推动先进制造业和现代服务业融合发展，鼓励引导原材料工业和服务业融合、装备制造业和服务业融合、制造服务业和互联网融合、现代物流和制造业融合等领域企业申报国家试点，积极争取专项资金支持。</w:t>
      </w:r>
    </w:p>
    <w:p>
      <w:pPr>
        <w:spacing w:line="560" w:lineRule="exact"/>
        <w:ind w:firstLine="560" w:firstLineChars="200"/>
        <w:rPr>
          <w:rFonts w:ascii="仿宋_GB2312" w:hAnsi="仿宋_GB2312" w:cs="仿宋_GB2312"/>
        </w:rPr>
      </w:pPr>
      <w:r>
        <w:rPr>
          <w:rFonts w:hint="eastAsia" w:ascii="仿宋_GB2312" w:hAnsi="仿宋_GB2312" w:cs="仿宋_GB2312"/>
        </w:rPr>
        <w:t>实施产业基础再造工程，争取国家专项支持，提高核心基础零部件及元器件、先进基础工艺、关键基础材料等工业基础能力，补齐产业链“卡脖子”短板。</w:t>
      </w:r>
    </w:p>
    <w:p>
      <w:pPr>
        <w:spacing w:line="560" w:lineRule="exact"/>
        <w:ind w:firstLine="560" w:firstLineChars="200"/>
        <w:rPr>
          <w:rFonts w:ascii="仿宋_GB2312" w:hAnsi="仿宋_GB2312" w:cs="仿宋_GB2312"/>
        </w:rPr>
      </w:pPr>
      <w:r>
        <w:rPr>
          <w:rFonts w:hint="eastAsia" w:ascii="仿宋_GB2312" w:hAnsi="仿宋_GB2312" w:cs="仿宋_GB2312"/>
        </w:rPr>
        <w:t>加快建设自治区首批12条产业链，健全完善“链长制”和“两图两库两表”工作机制，加大延链、补链、强链项目招商引资。组织头部企业开展以商招商、以企引企，吸引上下游企业组团式投资、集群式发展。</w:t>
      </w:r>
    </w:p>
    <w:p>
      <w:pPr>
        <w:pStyle w:val="4"/>
        <w:spacing w:line="560" w:lineRule="exact"/>
        <w:rPr>
          <w:rFonts w:ascii="黑体" w:hAnsi="黑体" w:cs="黑体"/>
          <w:szCs w:val="32"/>
        </w:rPr>
      </w:pPr>
    </w:p>
    <w:p>
      <w:pPr>
        <w:spacing w:line="560" w:lineRule="exact"/>
        <w:jc w:val="center"/>
        <w:rPr>
          <w:rFonts w:ascii="黑体" w:hAnsi="黑体" w:eastAsia="黑体" w:cs="黑体"/>
          <w:szCs w:val="28"/>
        </w:rPr>
      </w:pPr>
    </w:p>
    <w:p>
      <w:pPr>
        <w:spacing w:line="560" w:lineRule="exact"/>
        <w:jc w:val="center"/>
        <w:rPr>
          <w:rFonts w:ascii="黑体" w:hAnsi="黑体" w:eastAsia="黑体" w:cs="黑体"/>
          <w:szCs w:val="28"/>
        </w:rPr>
      </w:pPr>
    </w:p>
    <w:p>
      <w:pPr>
        <w:spacing w:line="560" w:lineRule="exact"/>
        <w:jc w:val="center"/>
        <w:rPr>
          <w:rFonts w:hint="eastAsia" w:ascii="黑体" w:hAnsi="黑体" w:eastAsia="黑体" w:cs="黑体"/>
          <w:sz w:val="32"/>
          <w:szCs w:val="32"/>
          <w:lang w:eastAsia="zh-CN"/>
        </w:rPr>
      </w:pPr>
      <w:r>
        <w:rPr>
          <w:rFonts w:hint="eastAsia" w:ascii="黑体" w:hAnsi="黑体" w:eastAsia="黑体" w:cs="黑体"/>
          <w:sz w:val="32"/>
          <w:szCs w:val="32"/>
        </w:rPr>
        <w:t>三、</w:t>
      </w:r>
      <w:r>
        <w:rPr>
          <w:rFonts w:hint="eastAsia" w:ascii="黑体" w:hAnsi="黑体" w:eastAsia="黑体" w:cs="黑体"/>
          <w:sz w:val="32"/>
          <w:szCs w:val="32"/>
          <w:lang w:eastAsia="zh-CN"/>
        </w:rPr>
        <w:t>《</w:t>
      </w:r>
      <w:r>
        <w:rPr>
          <w:rFonts w:hint="eastAsia" w:ascii="黑体" w:hAnsi="黑体" w:eastAsia="黑体" w:cs="黑体"/>
          <w:sz w:val="32"/>
          <w:szCs w:val="32"/>
        </w:rPr>
        <w:t>内蒙古自治区人民政府关于印发自治区2023年坚持稳中快进稳中优进推动产业高质量发展政策</w:t>
      </w:r>
      <w:r>
        <w:rPr>
          <w:rFonts w:hint="eastAsia" w:ascii="黑体" w:hAnsi="黑体" w:eastAsia="黑体" w:cs="黑体"/>
          <w:sz w:val="32"/>
          <w:szCs w:val="32"/>
          <w:lang w:eastAsia="zh-CN"/>
        </w:rPr>
        <w:t>》</w:t>
      </w:r>
    </w:p>
    <w:p>
      <w:pPr>
        <w:spacing w:line="560" w:lineRule="exact"/>
        <w:jc w:val="center"/>
        <w:rPr>
          <w:rFonts w:ascii="仿宋_GB2312" w:hAnsi="仿宋_GB2312" w:cs="仿宋_GB2312"/>
        </w:rPr>
      </w:pPr>
      <w:r>
        <w:rPr>
          <w:rFonts w:hint="eastAsia" w:ascii="仿宋_GB2312" w:hAnsi="仿宋_GB2312" w:cs="仿宋_GB2312"/>
        </w:rPr>
        <w:t>（内政发〔2023〕3号）（摘要）</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一、推进农牧业优质高效转型</w:t>
      </w:r>
    </w:p>
    <w:p>
      <w:pPr>
        <w:spacing w:line="560" w:lineRule="exact"/>
        <w:ind w:firstLine="562" w:firstLineChars="200"/>
        <w:rPr>
          <w:rFonts w:ascii="仿宋_GB2312" w:hAnsi="仿宋_GB2312" w:cs="仿宋_GB2312"/>
        </w:rPr>
      </w:pPr>
      <w:r>
        <w:rPr>
          <w:rFonts w:hint="eastAsia" w:ascii="仿宋_GB2312" w:hAnsi="仿宋_GB2312" w:cs="仿宋_GB2312"/>
          <w:b/>
          <w:bCs/>
        </w:rPr>
        <w:t>（一）增强粮食综合生产能力。</w:t>
      </w:r>
    </w:p>
    <w:p>
      <w:pPr>
        <w:spacing w:line="560" w:lineRule="exact"/>
        <w:ind w:firstLine="560" w:firstLineChars="200"/>
        <w:rPr>
          <w:rFonts w:ascii="仿宋_GB2312" w:hAnsi="仿宋_GB2312" w:cs="仿宋_GB2312"/>
        </w:rPr>
      </w:pPr>
      <w:r>
        <w:rPr>
          <w:rFonts w:hint="eastAsia" w:ascii="仿宋_GB2312" w:hAnsi="仿宋_GB2312" w:cs="仿宋_GB2312"/>
        </w:rPr>
        <w:t>1.实施优质高效增粮示范行动，安排110亿元农业生产发展等资金，稳定粮食播种面积和产量。</w:t>
      </w:r>
    </w:p>
    <w:p>
      <w:pPr>
        <w:spacing w:line="560" w:lineRule="exact"/>
        <w:ind w:firstLine="560" w:firstLineChars="200"/>
        <w:rPr>
          <w:rFonts w:ascii="仿宋_GB2312" w:hAnsi="仿宋_GB2312" w:cs="仿宋_GB2312"/>
        </w:rPr>
      </w:pPr>
      <w:r>
        <w:rPr>
          <w:rFonts w:hint="eastAsia" w:ascii="仿宋_GB2312" w:hAnsi="仿宋_GB2312" w:cs="仿宋_GB2312"/>
        </w:rPr>
        <w:t>2.实施耕地保护与建设行动，对395万亩高标准农田建设项目给予支持。对呼伦贝尔市、兴安盟、通辽市、赤峰市实施1920万亩黑土地保护性耕作给予支持。</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（二）实施种业振兴行动。</w:t>
      </w:r>
    </w:p>
    <w:p>
      <w:pPr>
        <w:spacing w:line="560" w:lineRule="exact"/>
        <w:ind w:firstLine="560" w:firstLineChars="200"/>
        <w:rPr>
          <w:rFonts w:ascii="仿宋_GB2312" w:hAnsi="仿宋_GB2312" w:cs="仿宋_GB2312"/>
        </w:rPr>
      </w:pPr>
      <w:r>
        <w:rPr>
          <w:rFonts w:hint="eastAsia" w:ascii="仿宋_GB2312" w:hAnsi="仿宋_GB2312" w:cs="仿宋_GB2312"/>
        </w:rPr>
        <w:t>3.安排9000万元资金，支持实施种质资源保护利用、良种化水平提升、优势特色品种培育三大工程。</w:t>
      </w:r>
    </w:p>
    <w:p>
      <w:pPr>
        <w:spacing w:line="560" w:lineRule="exact"/>
        <w:ind w:firstLine="560" w:firstLineChars="200"/>
        <w:rPr>
          <w:rFonts w:ascii="仿宋_GB2312" w:hAnsi="仿宋_GB2312" w:cs="仿宋_GB2312"/>
        </w:rPr>
      </w:pPr>
      <w:r>
        <w:rPr>
          <w:rFonts w:hint="eastAsia" w:ascii="仿宋_GB2312" w:hAnsi="仿宋_GB2312" w:cs="仿宋_GB2312"/>
        </w:rPr>
        <w:t>4.开展种业科技创新重大示范工程，安排1亿元资金，继续对草种业、奶牛、肉牛、肉羊、马铃薯5个优势产业和杂粮、蔬菜、向日葵、甜菜等产业实施的14个项目进行滚动支持。增加特色畜禽、作物等种业领域和优质饲草生产与收获加工、天然草原改良与提质增效等草产业领域“揭榜挂帅”工作。</w:t>
      </w:r>
    </w:p>
    <w:p>
      <w:pPr>
        <w:spacing w:line="560" w:lineRule="exact"/>
        <w:ind w:firstLine="560" w:firstLineChars="200"/>
        <w:rPr>
          <w:rFonts w:ascii="仿宋_GB2312" w:hAnsi="仿宋_GB2312" w:cs="仿宋_GB2312"/>
        </w:rPr>
      </w:pPr>
      <w:r>
        <w:rPr>
          <w:rFonts w:hint="eastAsia" w:ascii="仿宋_GB2312" w:hAnsi="仿宋_GB2312" w:cs="仿宋_GB2312"/>
        </w:rPr>
        <w:t>5.建立优良品种奖励机制，对具有自主知识产权的马铃薯优质新品种，年推广面积在10万亩以上的一次性奖补500万元；年推广面积在30万亩以上的一次性奖补1000万元。对通过国家审定的玉米、大豆等品种每个一次性奖励10万元。</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（三）实施奶业振兴行动。</w:t>
      </w:r>
    </w:p>
    <w:p>
      <w:pPr>
        <w:spacing w:line="560" w:lineRule="exact"/>
        <w:ind w:firstLine="560" w:firstLineChars="200"/>
        <w:rPr>
          <w:rFonts w:ascii="仿宋_GB2312" w:hAnsi="仿宋_GB2312" w:cs="仿宋_GB2312"/>
        </w:rPr>
      </w:pPr>
      <w:r>
        <w:rPr>
          <w:rFonts w:hint="eastAsia" w:ascii="仿宋_GB2312" w:hAnsi="仿宋_GB2312" w:cs="仿宋_GB2312"/>
        </w:rPr>
        <w:t>6.增加优质奶源供应，鼓励新建规模化奶牛养殖场，推动优质奶牛扩群增量，对2021年以后建成的3000头规模化养殖场，依据新增奶牛存栏数量给予补贴。</w:t>
      </w:r>
    </w:p>
    <w:p>
      <w:pPr>
        <w:spacing w:line="560" w:lineRule="exact"/>
        <w:ind w:firstLine="560" w:firstLineChars="200"/>
        <w:rPr>
          <w:rFonts w:ascii="仿宋_GB2312" w:hAnsi="仿宋_GB2312" w:cs="仿宋_GB2312"/>
        </w:rPr>
      </w:pPr>
      <w:r>
        <w:rPr>
          <w:rFonts w:hint="eastAsia" w:ascii="仿宋_GB2312" w:hAnsi="仿宋_GB2312" w:cs="仿宋_GB2312"/>
        </w:rPr>
        <w:t>7.支持奶牛育种扩群增量。对具有奶牛和乳肉兼用牛种畜禽生产经营许可证，能够培育出国际国内排名种公牛，并经考核达标的育种企业给予奖励。对养殖场能繁母牛利用性控胚胎培育高产奶牛给予适当补贴。</w:t>
      </w:r>
    </w:p>
    <w:p>
      <w:pPr>
        <w:spacing w:line="560" w:lineRule="exact"/>
        <w:ind w:firstLine="560" w:firstLineChars="200"/>
        <w:rPr>
          <w:rFonts w:ascii="仿宋_GB2312" w:hAnsi="仿宋_GB2312" w:cs="仿宋_GB2312"/>
        </w:rPr>
      </w:pPr>
      <w:r>
        <w:rPr>
          <w:rFonts w:hint="eastAsia" w:ascii="仿宋_GB2312" w:hAnsi="仿宋_GB2312" w:cs="仿宋_GB2312"/>
        </w:rPr>
        <w:t>8.加大饲草收储补贴力度，对奶畜养殖场和奶农合作社收储饲料给予适当补贴。</w:t>
      </w:r>
    </w:p>
    <w:p>
      <w:pPr>
        <w:spacing w:line="560" w:lineRule="exact"/>
        <w:ind w:firstLine="560" w:firstLineChars="200"/>
        <w:rPr>
          <w:rFonts w:ascii="仿宋_GB2312" w:hAnsi="仿宋_GB2312" w:cs="仿宋_GB2312"/>
        </w:rPr>
      </w:pPr>
      <w:r>
        <w:rPr>
          <w:rFonts w:hint="eastAsia" w:ascii="仿宋_GB2312" w:hAnsi="仿宋_GB2312" w:cs="仿宋_GB2312"/>
        </w:rPr>
        <w:t>9.鼓励扩大苜蓿草种植面积，对集中连片标准化种植500亩以上的种植企业（合作社、种植户）给予补贴。</w:t>
      </w:r>
    </w:p>
    <w:p>
      <w:pPr>
        <w:spacing w:line="560" w:lineRule="exact"/>
        <w:ind w:firstLine="560" w:firstLineChars="200"/>
        <w:rPr>
          <w:rFonts w:ascii="仿宋_GB2312" w:hAnsi="仿宋_GB2312" w:cs="仿宋_GB2312"/>
        </w:rPr>
      </w:pPr>
      <w:r>
        <w:rPr>
          <w:rFonts w:hint="eastAsia" w:ascii="仿宋_GB2312" w:hAnsi="仿宋_GB2312" w:cs="仿宋_GB2312"/>
        </w:rPr>
        <w:t>10.支持乳制品加工企业提高生鲜乳加工能力，对国家和自治区级乳制品加工龙头企业生鲜乳加工增量给予补贴、对3-5月份使用生鲜乳进行喷粉给予补贴。</w:t>
      </w:r>
    </w:p>
    <w:p>
      <w:pPr>
        <w:spacing w:line="560" w:lineRule="exact"/>
        <w:ind w:firstLine="562" w:firstLineChars="200"/>
        <w:rPr>
          <w:rFonts w:ascii="仿宋_GB2312" w:hAnsi="仿宋_GB2312" w:cs="仿宋_GB2312"/>
          <w:b/>
          <w:bCs/>
        </w:rPr>
      </w:pPr>
      <w:r>
        <w:rPr>
          <w:rFonts w:hint="eastAsia" w:ascii="仿宋_GB2312" w:hAnsi="仿宋_GB2312" w:cs="仿宋_GB2312"/>
          <w:b/>
          <w:bCs/>
        </w:rPr>
        <w:t>（四）推进农牧业全产业链发展。</w:t>
      </w:r>
    </w:p>
    <w:p>
      <w:pPr>
        <w:spacing w:line="560" w:lineRule="exact"/>
        <w:ind w:firstLine="560" w:firstLineChars="200"/>
        <w:rPr>
          <w:rFonts w:ascii="仿宋_GB2312" w:hAnsi="仿宋_GB2312" w:cs="仿宋_GB2312"/>
        </w:rPr>
      </w:pPr>
      <w:r>
        <w:rPr>
          <w:rFonts w:hint="eastAsia" w:ascii="仿宋_GB2312" w:hAnsi="仿宋_GB2312" w:cs="仿宋_GB2312"/>
        </w:rPr>
        <w:t>11.安排40亿元以上资金，支持建设农牧业优势特色产业集群项目，巩固提升奶业、玉米2个千亿级产业集群，以及肉牛、肉羊、向日葵、羊绒、马铃薯、杂粮杂豆、小麦、蔬菜、饲草料和大豆10个百亿级产业。</w:t>
      </w:r>
    </w:p>
    <w:p>
      <w:pPr>
        <w:spacing w:line="560" w:lineRule="exact"/>
        <w:ind w:firstLine="560" w:firstLineChars="200"/>
        <w:rPr>
          <w:rFonts w:ascii="仿宋_GB2312" w:hAnsi="仿宋_GB2312" w:cs="仿宋_GB2312"/>
        </w:rPr>
      </w:pPr>
      <w:r>
        <w:rPr>
          <w:rFonts w:hint="eastAsia" w:ascii="仿宋_GB2312" w:hAnsi="仿宋_GB2312" w:cs="仿宋_GB2312"/>
        </w:rPr>
        <w:t>12.扎实推进肉类生产，实施肉牛、肉羊、生猪调出大县奖励政策，支持调出大县围绕建设国家重要农畜产品生产基地实施方案有关任务，提高养殖效率和生产效益，鼓励就地新建改建大型屠宰项目，配套建设畜禽产品精细分割、冷链加工及配送体系。</w:t>
      </w:r>
    </w:p>
    <w:p>
      <w:pPr>
        <w:spacing w:line="560" w:lineRule="exact"/>
        <w:ind w:firstLine="560" w:firstLineChars="200"/>
        <w:rPr>
          <w:rFonts w:ascii="仿宋_GB2312" w:hAnsi="仿宋_GB2312" w:cs="仿宋_GB2312"/>
        </w:rPr>
      </w:pPr>
      <w:r>
        <w:rPr>
          <w:rFonts w:hint="eastAsia" w:ascii="仿宋_GB2312" w:hAnsi="仿宋_GB2312" w:cs="仿宋_GB2312"/>
        </w:rPr>
        <w:t>13.继续实施县域商业建设行动，支持试点旗县（市、区）加快农畜产品流通体系建设，对商贸流通企业建设、改造农畜产品预冷和贮藏保鲜设施，农产品批发市场转型发展给予一定补贴；通过自治区内贸流通服务业发展专项资金，支持盟市创建星级农贸市场。</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二、推动工业调整优化升级</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（一）培育壮大工业产业链。</w:t>
      </w:r>
    </w:p>
    <w:p>
      <w:pPr>
        <w:spacing w:line="560" w:lineRule="exact"/>
        <w:ind w:firstLine="560" w:firstLineChars="200"/>
        <w:rPr>
          <w:rFonts w:ascii="仿宋_GB2312" w:hAnsi="仿宋_GB2312" w:cs="仿宋_GB2312"/>
        </w:rPr>
      </w:pPr>
      <w:r>
        <w:rPr>
          <w:rFonts w:hint="eastAsia" w:ascii="仿宋_GB2312" w:hAnsi="仿宋_GB2312" w:cs="仿宋_GB2312"/>
        </w:rPr>
        <w:t>14.对投资5亿元及以上且当年投产的先进制造业集群、优势特色产业链“延链补链强链”建设重点项目，按照贷款实际利息的30%、单个项目最高不超过500万元给予一年贴息补助。</w:t>
      </w:r>
    </w:p>
    <w:p>
      <w:pPr>
        <w:spacing w:line="560" w:lineRule="exact"/>
        <w:ind w:firstLine="560" w:firstLineChars="200"/>
        <w:rPr>
          <w:rFonts w:ascii="仿宋_GB2312" w:hAnsi="仿宋_GB2312" w:cs="仿宋_GB2312"/>
        </w:rPr>
      </w:pPr>
      <w:r>
        <w:rPr>
          <w:rFonts w:hint="eastAsia" w:ascii="仿宋_GB2312" w:hAnsi="仿宋_GB2312" w:cs="仿宋_GB2312"/>
        </w:rPr>
        <w:t>15.对智能工厂、数字化车间项目，按照实际完成关键设备软硬件投资额的20%、单个项目最高不超过500万元给予补助。</w:t>
      </w:r>
    </w:p>
    <w:p>
      <w:pPr>
        <w:spacing w:line="560" w:lineRule="exact"/>
        <w:ind w:firstLine="560" w:firstLineChars="200"/>
        <w:rPr>
          <w:rFonts w:ascii="仿宋_GB2312" w:hAnsi="仿宋_GB2312" w:cs="仿宋_GB2312"/>
        </w:rPr>
      </w:pPr>
      <w:r>
        <w:rPr>
          <w:rFonts w:hint="eastAsia" w:ascii="仿宋_GB2312" w:hAnsi="仿宋_GB2312" w:cs="仿宋_GB2312"/>
        </w:rPr>
        <w:t>16.支持节能技术改造，对年节能量2000吨标准煤以上（含2000吨标准煤）的节能技术改造项目（包括打捆项目），每节约1吨标准煤给予200元补助，单个项目补助不超过500万元；对大数据中心电源使用效率（PUE值）首次降低到1.3的，按照技改投资额的10%补助，单个项目补助不超过500万元；对淘汰高耗能落后机电设备以盟市为单位，按照更换设备投资额的10%补助。</w:t>
      </w:r>
    </w:p>
    <w:p>
      <w:pPr>
        <w:spacing w:line="560" w:lineRule="exact"/>
        <w:ind w:firstLine="560" w:firstLineChars="200"/>
        <w:rPr>
          <w:rFonts w:ascii="仿宋_GB2312" w:hAnsi="仿宋_GB2312" w:cs="仿宋_GB2312"/>
        </w:rPr>
      </w:pPr>
      <w:r>
        <w:rPr>
          <w:rFonts w:hint="eastAsia" w:ascii="仿宋_GB2312" w:hAnsi="仿宋_GB2312" w:cs="仿宋_GB2312"/>
        </w:rPr>
        <w:t>17.支持节水技术改造，对年节水量5万吨以上的节水技术改造项目（包括打捆项目），每节约1吨水给予10元补助，单个项目补助不超过500万元。</w:t>
      </w:r>
    </w:p>
    <w:p>
      <w:pPr>
        <w:spacing w:line="560" w:lineRule="exact"/>
        <w:ind w:firstLine="560" w:firstLineChars="200"/>
        <w:rPr>
          <w:rFonts w:ascii="仿宋_GB2312" w:hAnsi="仿宋_GB2312" w:cs="仿宋_GB2312"/>
        </w:rPr>
      </w:pPr>
      <w:r>
        <w:rPr>
          <w:rFonts w:hint="eastAsia" w:ascii="仿宋_GB2312" w:hAnsi="仿宋_GB2312" w:cs="仿宋_GB2312"/>
        </w:rPr>
        <w:t>18.支持工业固废资源综合利用，对新建工业固废资源综合利用量1万吨/年以上的采用先进适用技术进行工业固废和再生资源高端化、绿色化、循环化利用项目，每综合利用1吨给予10元补助；再生资源中废塑料、废纸回收加工利用量在1千吨/年以上的项目，按照设备投资额的10%补助。单个项目补助不超过500万元。</w:t>
      </w:r>
    </w:p>
    <w:p>
      <w:pPr>
        <w:spacing w:line="560" w:lineRule="exact"/>
        <w:ind w:firstLine="560" w:firstLineChars="200"/>
        <w:rPr>
          <w:rFonts w:ascii="仿宋_GB2312" w:hAnsi="仿宋_GB2312" w:cs="仿宋_GB2312"/>
        </w:rPr>
      </w:pPr>
      <w:r>
        <w:rPr>
          <w:rFonts w:hint="eastAsia" w:ascii="仿宋_GB2312" w:hAnsi="仿宋_GB2312" w:cs="仿宋_GB2312"/>
        </w:rPr>
        <w:t>19.对新认定为国家级绿色园区、绿色工厂、绿色产品、绿色供应链、能效领跑者、水效领跑者的给予100万元一次性奖励，对新认定为自治区级绿色园区、绿色工厂、绿色产品、绿色供应链、节水标杆的给予50万元一次性奖励。</w:t>
      </w:r>
    </w:p>
    <w:p>
      <w:pPr>
        <w:spacing w:line="560" w:lineRule="exact"/>
        <w:ind w:firstLine="560" w:firstLineChars="200"/>
        <w:rPr>
          <w:rFonts w:ascii="仿宋_GB2312" w:hAnsi="仿宋_GB2312" w:cs="仿宋_GB2312"/>
        </w:rPr>
      </w:pPr>
      <w:r>
        <w:rPr>
          <w:rFonts w:hint="eastAsia" w:ascii="仿宋_GB2312" w:hAnsi="仿宋_GB2312" w:cs="仿宋_GB2312"/>
        </w:rPr>
        <w:t>20.对5G等新一代信息技术在工业领域的典型应用场景项目，按照实际完成投资额的20%、单个项目最高不超过500万元给予奖补。</w:t>
      </w:r>
    </w:p>
    <w:p>
      <w:pPr>
        <w:spacing w:line="560" w:lineRule="exact"/>
        <w:ind w:firstLine="560" w:firstLineChars="200"/>
        <w:rPr>
          <w:rFonts w:ascii="仿宋_GB2312" w:hAnsi="仿宋_GB2312" w:cs="仿宋_GB2312"/>
        </w:rPr>
      </w:pPr>
      <w:r>
        <w:rPr>
          <w:rFonts w:hint="eastAsia" w:ascii="仿宋_GB2312" w:hAnsi="仿宋_GB2312" w:cs="仿宋_GB2312"/>
        </w:rPr>
        <w:t>21.对主导制定国际、国家（行业）标准的企业，分别给予每个标准30万元、20万元一次性奖励；对参与制定国际、国家（行业）标准的企业，分别给予每个20万元、10万元一次性奖励；单个企业主导或参与标准制定每年奖励资金不超过50万元。</w:t>
      </w:r>
    </w:p>
    <w:p>
      <w:pPr>
        <w:spacing w:line="560" w:lineRule="exact"/>
        <w:ind w:firstLine="560" w:firstLineChars="200"/>
        <w:rPr>
          <w:rFonts w:ascii="仿宋_GB2312" w:hAnsi="仿宋_GB2312" w:cs="仿宋_GB2312"/>
        </w:rPr>
      </w:pPr>
      <w:r>
        <w:rPr>
          <w:rFonts w:hint="eastAsia" w:ascii="仿宋_GB2312" w:hAnsi="仿宋_GB2312" w:cs="仿宋_GB2312"/>
        </w:rPr>
        <w:t>22.对通过国家“两化融合”管理体系标准贯标评定的企业，达到5A级、4A级、3A级、2A级、A级的分别给予300万元、200万元、100万元、50万元、30万元一次性奖励。</w:t>
      </w:r>
    </w:p>
    <w:p>
      <w:pPr>
        <w:spacing w:line="560" w:lineRule="exact"/>
        <w:ind w:firstLine="560" w:firstLineChars="200"/>
        <w:rPr>
          <w:rFonts w:ascii="仿宋_GB2312" w:hAnsi="仿宋_GB2312" w:cs="仿宋_GB2312"/>
        </w:rPr>
      </w:pPr>
      <w:r>
        <w:rPr>
          <w:rFonts w:hint="eastAsia" w:ascii="仿宋_GB2312" w:hAnsi="仿宋_GB2312" w:cs="仿宋_GB2312"/>
        </w:rPr>
        <w:t>23.培育中小企业特色产业集群，对新认定的自治区级中小企业特色产业集群和国家级中小企业特色产业集群分别给予300万元、500万元一次性资金奖补。</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（二）做好现代能源经济这篇文章。</w:t>
      </w:r>
    </w:p>
    <w:p>
      <w:pPr>
        <w:spacing w:line="560" w:lineRule="exact"/>
        <w:ind w:firstLine="560" w:firstLineChars="200"/>
        <w:rPr>
          <w:rFonts w:ascii="仿宋_GB2312" w:hAnsi="仿宋_GB2312" w:cs="仿宋_GB2312"/>
        </w:rPr>
      </w:pPr>
      <w:r>
        <w:rPr>
          <w:rFonts w:hint="eastAsia" w:ascii="仿宋_GB2312" w:hAnsi="仿宋_GB2312" w:cs="仿宋_GB2312"/>
        </w:rPr>
        <w:t>24.支持煤炭优质产能释放，提高发电供热用煤中长期合同履约水平。优化电价政策，支持煤电企业提高发电出力。</w:t>
      </w:r>
    </w:p>
    <w:p>
      <w:pPr>
        <w:spacing w:line="560" w:lineRule="exact"/>
        <w:ind w:firstLine="560" w:firstLineChars="200"/>
        <w:rPr>
          <w:rFonts w:ascii="仿宋_GB2312" w:hAnsi="仿宋_GB2312" w:cs="仿宋_GB2312"/>
        </w:rPr>
      </w:pPr>
      <w:r>
        <w:rPr>
          <w:rFonts w:hint="eastAsia" w:ascii="仿宋_GB2312" w:hAnsi="仿宋_GB2312" w:cs="仿宋_GB2312"/>
        </w:rPr>
        <w:t>25.支持符合条件的新能源电源及配套送出工程建成即并网，对纳入相关规划的新能源配套送出工程项目开辟绿色审批通道。</w:t>
      </w:r>
    </w:p>
    <w:p>
      <w:pPr>
        <w:spacing w:line="560" w:lineRule="exact"/>
        <w:ind w:firstLine="560" w:firstLineChars="200"/>
        <w:rPr>
          <w:rFonts w:ascii="仿宋_GB2312" w:hAnsi="仿宋_GB2312" w:cs="仿宋_GB2312"/>
        </w:rPr>
      </w:pPr>
      <w:r>
        <w:rPr>
          <w:rFonts w:hint="eastAsia" w:ascii="仿宋_GB2312" w:hAnsi="仿宋_GB2312" w:cs="仿宋_GB2312"/>
        </w:rPr>
        <w:t>26.支持新增源网荷储一体化项目增配新能源规模，支持工业园区燃煤自备电厂可再生能源替代，鼓励燃煤机组灵活性改造，鼓励自建、购买储能或调峰能力配建新能源项目。</w:t>
      </w:r>
    </w:p>
    <w:p>
      <w:pPr>
        <w:spacing w:line="560" w:lineRule="exact"/>
        <w:ind w:firstLine="560" w:firstLineChars="200"/>
        <w:rPr>
          <w:rFonts w:ascii="仿宋_GB2312" w:hAnsi="仿宋_GB2312" w:cs="仿宋_GB2312"/>
        </w:rPr>
      </w:pPr>
      <w:r>
        <w:rPr>
          <w:rFonts w:hint="eastAsia" w:ascii="仿宋_GB2312" w:hAnsi="仿宋_GB2312" w:cs="仿宋_GB2312"/>
        </w:rPr>
        <w:t>27.对符合战略性新兴产业发展定位、产业链配套的重大示范项目，光伏治沙、采煤沉陷区治理、矿区治理等生态保护修复项目，国家试点示范及乡村振兴等项目，支持建设一定规模的保障性新能源项目。</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（三）支持工业园区提质增效。</w:t>
      </w:r>
    </w:p>
    <w:p>
      <w:pPr>
        <w:spacing w:line="560" w:lineRule="exact"/>
        <w:ind w:firstLine="560" w:firstLineChars="200"/>
        <w:rPr>
          <w:rFonts w:ascii="仿宋_GB2312" w:hAnsi="仿宋_GB2312" w:cs="仿宋_GB2312"/>
        </w:rPr>
      </w:pPr>
      <w:r>
        <w:rPr>
          <w:rFonts w:hint="eastAsia" w:ascii="仿宋_GB2312" w:hAnsi="仿宋_GB2312" w:cs="仿宋_GB2312"/>
        </w:rPr>
        <w:t>2</w:t>
      </w:r>
      <w:r>
        <w:rPr>
          <w:rFonts w:hint="eastAsia" w:ascii="仿宋_GB2312" w:hAnsi="仿宋_GB2312" w:cs="仿宋_GB2312"/>
          <w:lang w:val="en-US" w:eastAsia="zh-CN"/>
        </w:rPr>
        <w:t>8</w:t>
      </w:r>
      <w:r>
        <w:rPr>
          <w:rFonts w:hint="eastAsia" w:ascii="仿宋_GB2312" w:hAnsi="仿宋_GB2312" w:cs="仿宋_GB2312"/>
        </w:rPr>
        <w:t>.支持低碳零碳示范园区建设，对自治区低碳示范园区、零碳示范园区，根据新增可再生能源消纳对应的能耗量给予奖补。</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29</w:t>
      </w:r>
      <w:r>
        <w:rPr>
          <w:rFonts w:hint="eastAsia" w:ascii="仿宋_GB2312" w:hAnsi="仿宋_GB2312" w:cs="仿宋_GB2312"/>
        </w:rPr>
        <w:t>.突出高质量发展导向，按年度对工业园区考核评价，对综合实力考核评价靠前的工业园区给予一次性3000万元支持；对争先进位、亩均效益、绿色低碳、科技创新、招商引资等单项指标考核评价靠前的工业园区给予一次性500万元支持。对新获批的国家级高新技术产业开发区给予一次性最高2000万元研发经费支持，对进入全国排名前60名、年度排名提升5位以上及新获批的自治区级高新技术产业开发区给予一次性1000万元研发经费支持。</w:t>
      </w:r>
    </w:p>
    <w:p>
      <w:pPr>
        <w:spacing w:line="560" w:lineRule="exact"/>
        <w:ind w:firstLine="562" w:firstLineChars="200"/>
        <w:rPr>
          <w:rFonts w:ascii="仿宋_GB2312" w:hAnsi="仿宋_GB2312" w:cs="仿宋_GB2312"/>
          <w:b/>
          <w:bCs/>
        </w:rPr>
      </w:pPr>
      <w:r>
        <w:rPr>
          <w:rFonts w:hint="eastAsia" w:ascii="仿宋_GB2312" w:hAnsi="仿宋_GB2312" w:cs="仿宋_GB2312"/>
          <w:b/>
          <w:bCs/>
        </w:rPr>
        <w:t>（四）加强工业创新平台建设。</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0</w:t>
      </w:r>
      <w:r>
        <w:rPr>
          <w:rFonts w:hint="eastAsia" w:ascii="仿宋_GB2312" w:hAnsi="仿宋_GB2312" w:cs="仿宋_GB2312"/>
        </w:rPr>
        <w:t>.对国家级制造业创新中心给予1000万元研发经费补助。对新创建成为自治区制造业创新中心的给予500万元一次性研发经费补助。对新认定为国家级、自治区级工业设计中心的，分别给予100万元、50万元一次性研发经费补助。对新认定的自治区级企业技术中心，给予50万元一次性研发经费补助。对新认定的国家技术创新示范企业、全国“质量标杆”企业，给予100万元一次性研发经费补助。</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1</w:t>
      </w:r>
      <w:r>
        <w:rPr>
          <w:rFonts w:hint="eastAsia" w:ascii="仿宋_GB2312" w:hAnsi="仿宋_GB2312" w:cs="仿宋_GB2312"/>
        </w:rPr>
        <w:t>.对新创建的区域级、行业级、企业级工业互联网平台，按照实际完成投资额的20%，单个项目最高不超过500万元、400万元、300万元给予奖补。对新建工业互联网标识解析二级节点且与国家顶级节点实现互联互通的企业，给予500万元一次性补助。对开展工业互联网标识解析创新应用的企业，依据应用效果给予补助，单个企业最高不超过300万元。</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32</w:t>
      </w:r>
      <w:r>
        <w:rPr>
          <w:rFonts w:hint="eastAsia" w:ascii="仿宋_GB2312" w:hAnsi="仿宋_GB2312" w:cs="仿宋_GB2312"/>
        </w:rPr>
        <w:t>.支持企业进行数字化改造，对认定为自治区级以上的数字化转型示范标杆企业，一次性给予100万元奖励。</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（五）加大科研攻关力度。</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3</w:t>
      </w:r>
      <w:r>
        <w:rPr>
          <w:rFonts w:hint="eastAsia" w:ascii="仿宋_GB2312" w:hAnsi="仿宋_GB2312" w:cs="仿宋_GB2312"/>
        </w:rPr>
        <w:t>.继续开展技术装备首台套、关键零部件及新材料首批次保险补偿试点，对认定为自治区技术装备首台（套）、关键零部件首批（次）、新材料首批（次）产品，按照保费的80%给予补贴。</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4</w:t>
      </w:r>
      <w:r>
        <w:rPr>
          <w:rFonts w:hint="eastAsia" w:ascii="仿宋_GB2312" w:hAnsi="仿宋_GB2312" w:cs="仿宋_GB2312"/>
        </w:rPr>
        <w:t>.安排2亿元资金，支持科技创新示范重大工程建设。聚焦黄河流域生态保护和高质量发展、东北振兴、乡村振兴、数字经济等重大战略任务，组织实施重点研发和成果转化计划，实施“双碳”、稀土等领域科技创新重大示范工程，支持企业牵头组建创新联合体，承担“揭榜挂帅”项目。</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5</w:t>
      </w:r>
      <w:r>
        <w:rPr>
          <w:rFonts w:hint="eastAsia" w:ascii="仿宋_GB2312" w:hAnsi="仿宋_GB2312" w:cs="仿宋_GB2312"/>
        </w:rPr>
        <w:t>.持续推进实施研发投入攻坚行动，按照企业上年度研发投入强度及增量增幅给予奖补，单个企业每年最高奖补500万元。自治区自然基金加大投入，继续支持智能制造领域开展基础理论研究和应用基础研究。</w:t>
      </w:r>
    </w:p>
    <w:p>
      <w:pPr>
        <w:spacing w:line="560" w:lineRule="exact"/>
        <w:ind w:firstLine="562" w:firstLineChars="200"/>
        <w:rPr>
          <w:rFonts w:ascii="仿宋_GB2312" w:hAnsi="仿宋_GB2312" w:cs="仿宋_GB2312"/>
          <w:b/>
          <w:bCs/>
        </w:rPr>
      </w:pPr>
      <w:r>
        <w:rPr>
          <w:rFonts w:hint="eastAsia" w:ascii="仿宋_GB2312" w:hAnsi="仿宋_GB2312" w:cs="仿宋_GB2312"/>
          <w:b/>
          <w:bCs/>
        </w:rPr>
        <w:t>（六）促进中小企业转型升级。</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6</w:t>
      </w:r>
      <w:r>
        <w:rPr>
          <w:rFonts w:hint="eastAsia" w:ascii="仿宋_GB2312" w:hAnsi="仿宋_GB2312" w:cs="仿宋_GB2312"/>
        </w:rPr>
        <w:t>.开展先进工业企业评价活动，对自治区评定的工业技改投资先进企业、科技创新先进企业、节能降耗先进企业、数字化应用先进企业、“专精特新”先进企业，每户给予一次性奖励100万元。</w:t>
      </w:r>
    </w:p>
    <w:p>
      <w:pPr>
        <w:spacing w:line="560" w:lineRule="exact"/>
        <w:ind w:firstLine="560" w:firstLineChars="200"/>
        <w:rPr>
          <w:rFonts w:ascii="仿宋_GB2312" w:hAnsi="仿宋_GB2312" w:cs="仿宋_GB2312"/>
        </w:rPr>
      </w:pPr>
      <w:r>
        <w:rPr>
          <w:rFonts w:hint="eastAsia" w:ascii="仿宋_GB2312" w:hAnsi="仿宋_GB2312" w:cs="仿宋_GB2312"/>
        </w:rPr>
        <w:t>3</w:t>
      </w:r>
      <w:r>
        <w:rPr>
          <w:rFonts w:hint="eastAsia" w:ascii="仿宋_GB2312" w:hAnsi="仿宋_GB2312" w:cs="仿宋_GB2312"/>
          <w:lang w:val="en-US" w:eastAsia="zh-CN"/>
        </w:rPr>
        <w:t>7</w:t>
      </w:r>
      <w:r>
        <w:rPr>
          <w:rFonts w:hint="eastAsia" w:ascii="仿宋_GB2312" w:hAnsi="仿宋_GB2312" w:cs="仿宋_GB2312"/>
        </w:rPr>
        <w:t>.对自治区认定的创新型中小企业、“专精特新”中小企业和“小巨人”企业，分别给予20万元、50万元、100万元一次性奖励。</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38</w:t>
      </w:r>
      <w:r>
        <w:rPr>
          <w:rFonts w:hint="eastAsia" w:ascii="仿宋_GB2312" w:hAnsi="仿宋_GB2312" w:cs="仿宋_GB2312"/>
        </w:rPr>
        <w:t>.建立科技型中小企业、高新技术企业、科技领军企业梯次培育机制，对首次认定的高新技术企业给予一次性30万元研发经费奖励。实施企业科技特派员工作制度，引导科研人员精准服务企业科技创新。</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39</w:t>
      </w:r>
      <w:r>
        <w:rPr>
          <w:rFonts w:hint="eastAsia" w:ascii="仿宋_GB2312" w:hAnsi="仿宋_GB2312" w:cs="仿宋_GB2312"/>
        </w:rPr>
        <w:t>.开展中小企业数字化转型试点工作。对参与试点的数字化公共服务平台（含数字化转型服务商、工业互联网平台等）给予一次性奖补支持。按照不超过每家服务试点企业实际改造成本的20%且奖补资金最高不超过20万元进行测算，每个服务平台最高奖补不超过200万元。</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40</w:t>
      </w:r>
      <w:r>
        <w:rPr>
          <w:rFonts w:hint="eastAsia" w:ascii="仿宋_GB2312" w:hAnsi="仿宋_GB2312" w:cs="仿宋_GB2312"/>
        </w:rPr>
        <w:t>.安排3000万元外经贸专项资金，支持自治区跨境电商发展。发挥跨境电商助力传统产业转型升级、促进产业数字化发展的积极作用，推动外贸优化升级。</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41</w:t>
      </w:r>
      <w:r>
        <w:rPr>
          <w:rFonts w:hint="eastAsia" w:ascii="仿宋_GB2312" w:hAnsi="仿宋_GB2312" w:cs="仿宋_GB2312"/>
        </w:rPr>
        <w:t>.安排2000万元外经贸专项资金，开展县域外经贸破零增量示范工作，对经认定的县域外经贸破零增量示范地区给予支持，通过持续优选扶持一批外经贸破零增量示范旗县（市、区），立足现有优势培育发展外向型产业。</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三、促进服务业提质提效</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（一）加快培育新兴服务业。</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42</w:t>
      </w:r>
      <w:r>
        <w:rPr>
          <w:rFonts w:hint="eastAsia" w:ascii="仿宋_GB2312" w:hAnsi="仿宋_GB2312" w:cs="仿宋_GB2312"/>
        </w:rPr>
        <w:t>.支持技术经纪服务行业加快发展，对新获批的国家级技术转移人才培养基地给予一次性100万元后补助支持；对技术经纪人/经理人年度内累计促成技术转移转化交易金额超过100万元的，按照技术交易合同实际成交额的2%，给予最高20万元奖励。</w:t>
      </w:r>
    </w:p>
    <w:p>
      <w:pPr>
        <w:spacing w:line="560" w:lineRule="exact"/>
        <w:ind w:firstLine="560" w:firstLineChars="200"/>
        <w:rPr>
          <w:rFonts w:ascii="仿宋_GB2312" w:hAnsi="仿宋_GB2312" w:cs="仿宋_GB2312"/>
        </w:rPr>
      </w:pPr>
      <w:r>
        <w:rPr>
          <w:rFonts w:hint="eastAsia" w:ascii="仿宋_GB2312" w:hAnsi="仿宋_GB2312" w:cs="仿宋_GB2312"/>
        </w:rPr>
        <w:t>4</w:t>
      </w:r>
      <w:r>
        <w:rPr>
          <w:rFonts w:hint="eastAsia" w:ascii="仿宋_GB2312" w:hAnsi="仿宋_GB2312" w:cs="仿宋_GB2312"/>
          <w:lang w:val="en-US" w:eastAsia="zh-CN"/>
        </w:rPr>
        <w:t>3</w:t>
      </w:r>
      <w:r>
        <w:rPr>
          <w:rFonts w:hint="eastAsia" w:ascii="仿宋_GB2312" w:hAnsi="仿宋_GB2312" w:cs="仿宋_GB2312"/>
        </w:rPr>
        <w:t>.按照首版次软件取得知识产权或证书规定期限内截至申请时的实际销售总额的20%给予补助，单个企业补助金额最高不超过300万元。对企业新开发的工业软件（工业APP），按照研发该产品实际投入金额的20%给予补助，单个企业最高不超过300万元。</w:t>
      </w:r>
    </w:p>
    <w:p>
      <w:pPr>
        <w:spacing w:line="560" w:lineRule="exact"/>
        <w:ind w:firstLine="560" w:firstLineChars="200"/>
        <w:rPr>
          <w:rFonts w:ascii="仿宋_GB2312" w:hAnsi="仿宋_GB2312" w:cs="仿宋_GB2312"/>
        </w:rPr>
      </w:pPr>
      <w:r>
        <w:rPr>
          <w:rFonts w:hint="eastAsia" w:ascii="仿宋_GB2312" w:hAnsi="仿宋_GB2312" w:cs="仿宋_GB2312"/>
        </w:rPr>
        <w:t>4</w:t>
      </w:r>
      <w:r>
        <w:rPr>
          <w:rFonts w:hint="eastAsia" w:ascii="仿宋_GB2312" w:hAnsi="仿宋_GB2312" w:cs="仿宋_GB2312"/>
          <w:lang w:val="en-US" w:eastAsia="zh-CN"/>
        </w:rPr>
        <w:t>4</w:t>
      </w:r>
      <w:r>
        <w:rPr>
          <w:rFonts w:hint="eastAsia" w:ascii="仿宋_GB2312" w:hAnsi="仿宋_GB2312" w:cs="仿宋_GB2312"/>
        </w:rPr>
        <w:t>.安排专项资金鼓励各盟市针对当地优势产业、特色商品进行电商化改造，培育“小而美”网络品牌，拓展线上营销渠道。安排专项资金支持具备条件的盟市、旗县（市、区）开展电子商务共享云仓试点示范，降低电子商务企业综合运营成本，带动中小型电商企业发展。</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（二）加快发展物流服务业。</w:t>
      </w:r>
    </w:p>
    <w:p>
      <w:pPr>
        <w:spacing w:line="560" w:lineRule="exact"/>
        <w:ind w:firstLine="560" w:firstLineChars="200"/>
        <w:rPr>
          <w:rFonts w:ascii="仿宋_GB2312" w:hAnsi="仿宋_GB2312" w:cs="仿宋_GB2312"/>
        </w:rPr>
      </w:pPr>
      <w:r>
        <w:rPr>
          <w:rFonts w:hint="eastAsia" w:ascii="仿宋_GB2312" w:hAnsi="仿宋_GB2312" w:cs="仿宋_GB2312"/>
        </w:rPr>
        <w:t>4</w:t>
      </w:r>
      <w:r>
        <w:rPr>
          <w:rFonts w:hint="eastAsia" w:ascii="仿宋_GB2312" w:hAnsi="仿宋_GB2312" w:cs="仿宋_GB2312"/>
          <w:lang w:val="en-US" w:eastAsia="zh-CN"/>
        </w:rPr>
        <w:t>5</w:t>
      </w:r>
      <w:r>
        <w:rPr>
          <w:rFonts w:hint="eastAsia" w:ascii="仿宋_GB2312" w:hAnsi="仿宋_GB2312" w:cs="仿宋_GB2312"/>
        </w:rPr>
        <w:t>.鼓励农村牧区客运货运邮政快递融合发展，给予国家城乡交通运输一体化示范县投资补助200万元，对承担农村牧区客运功能的旗县（市、区）客运站给予年度运营补贴20万元，对投入运营的苏木乡镇客运站给予年度运营补贴3万元，打通农牧民出行消费“最后一公里”。</w:t>
      </w:r>
    </w:p>
    <w:p>
      <w:pPr>
        <w:spacing w:line="560" w:lineRule="exact"/>
        <w:ind w:firstLine="560" w:firstLineChars="200"/>
        <w:rPr>
          <w:rFonts w:ascii="仿宋_GB2312" w:hAnsi="仿宋_GB2312" w:cs="仿宋_GB2312"/>
        </w:rPr>
      </w:pPr>
      <w:r>
        <w:rPr>
          <w:rFonts w:hint="eastAsia" w:ascii="仿宋_GB2312" w:hAnsi="仿宋_GB2312" w:cs="仿宋_GB2312"/>
        </w:rPr>
        <w:t>4</w:t>
      </w:r>
      <w:r>
        <w:rPr>
          <w:rFonts w:hint="eastAsia" w:ascii="仿宋_GB2312" w:hAnsi="仿宋_GB2312" w:cs="仿宋_GB2312"/>
          <w:lang w:val="en-US" w:eastAsia="zh-CN"/>
        </w:rPr>
        <w:t>6</w:t>
      </w:r>
      <w:r>
        <w:rPr>
          <w:rFonts w:hint="eastAsia" w:ascii="仿宋_GB2312" w:hAnsi="仿宋_GB2312" w:cs="仿宋_GB2312"/>
        </w:rPr>
        <w:t>.对新命名的全国“四好农村路”示范县，给予1000万元一次性激励资金；对新命名的自治区级“四好农村路”示范旗县，给予500万元一次性激励资金。激励资金主要用于农村公路建设和养护。</w:t>
      </w:r>
    </w:p>
    <w:p>
      <w:pPr>
        <w:spacing w:line="560" w:lineRule="exact"/>
        <w:ind w:firstLine="560" w:firstLineChars="200"/>
        <w:rPr>
          <w:rFonts w:ascii="仿宋_GB2312" w:hAnsi="仿宋_GB2312" w:cs="仿宋_GB2312"/>
        </w:rPr>
      </w:pPr>
      <w:r>
        <w:rPr>
          <w:rFonts w:hint="eastAsia" w:ascii="仿宋_GB2312" w:hAnsi="仿宋_GB2312" w:cs="仿宋_GB2312"/>
        </w:rPr>
        <w:t>4</w:t>
      </w:r>
      <w:r>
        <w:rPr>
          <w:rFonts w:hint="eastAsia" w:ascii="仿宋_GB2312" w:hAnsi="仿宋_GB2312" w:cs="仿宋_GB2312"/>
          <w:lang w:val="en-US" w:eastAsia="zh-CN"/>
        </w:rPr>
        <w:t>7</w:t>
      </w:r>
      <w:r>
        <w:rPr>
          <w:rFonts w:hint="eastAsia" w:ascii="仿宋_GB2312" w:hAnsi="仿宋_GB2312" w:cs="仿宋_GB2312"/>
        </w:rPr>
        <w:t>.列为国家多式联运示范工程且经验收合格的项目，每个给予1000万元资金奖补。延续对开展多式联运“一单制”试点工程的企业奖励，每年对评审合格且排名前五名的企业，给予300万元一次性奖补。</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48</w:t>
      </w:r>
      <w:r>
        <w:rPr>
          <w:rFonts w:hint="eastAsia" w:ascii="仿宋_GB2312" w:hAnsi="仿宋_GB2312" w:cs="仿宋_GB2312"/>
        </w:rPr>
        <w:t>.继续对通行自治区内高速公路ETC客货车给予5%通行费折扣优惠，长期执行。</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（三）加快恢复接触性服务业。</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49</w:t>
      </w:r>
      <w:r>
        <w:rPr>
          <w:rFonts w:hint="eastAsia" w:ascii="仿宋_GB2312" w:hAnsi="仿宋_GB2312" w:cs="仿宋_GB2312"/>
        </w:rPr>
        <w:t>.安排专项资金，支持重点旅游休闲城市、品牌旅游景区、度假区、乡村旅游重点项目建设，支持旅游景区固定资产贷款贴息，支持重大文旅活动。</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50</w:t>
      </w:r>
      <w:r>
        <w:rPr>
          <w:rFonts w:hint="eastAsia" w:ascii="仿宋_GB2312" w:hAnsi="仿宋_GB2312" w:cs="仿宋_GB2312"/>
        </w:rPr>
        <w:t>.安排2亿元旅游发展资金，对创建5A旅游景区、国家级旅游度假区、国家级滑雪旅游度假地、国家级旅游休闲街区、国家级工业旅游示范基地、国家红色旅游融合发展试点及国家5C、4C级自驾车旅居车营地等项目给予奖励；对自治区重点旅游项目予以支持；对打造国际国内影响力的重点文旅品牌活动予以支持。</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51</w:t>
      </w:r>
      <w:r>
        <w:rPr>
          <w:rFonts w:hint="eastAsia" w:ascii="仿宋_GB2312" w:hAnsi="仿宋_GB2312" w:cs="仿宋_GB2312"/>
        </w:rPr>
        <w:t>.安排4000万元文旅商品传承创新专项资金，支持“内蒙古礼物”文化旅游商品实体店、文化旅游商品开发、沉浸式演艺等项目，推动文化旅游商品传承创新。</w:t>
      </w:r>
    </w:p>
    <w:p>
      <w:pPr>
        <w:spacing w:line="560" w:lineRule="exact"/>
        <w:ind w:firstLine="562" w:firstLineChars="200"/>
        <w:rPr>
          <w:rFonts w:ascii="仿宋_GB2312" w:hAnsi="仿宋_GB2312" w:cs="仿宋_GB2312"/>
          <w:b/>
          <w:bCs/>
        </w:rPr>
      </w:pPr>
      <w:r>
        <w:rPr>
          <w:rFonts w:hint="eastAsia" w:ascii="仿宋_GB2312" w:hAnsi="仿宋_GB2312" w:cs="仿宋_GB2312"/>
          <w:b/>
          <w:bCs/>
        </w:rPr>
        <w:t>（四）加快提升传统服务业。</w:t>
      </w:r>
    </w:p>
    <w:p>
      <w:pPr>
        <w:spacing w:line="560" w:lineRule="exact"/>
        <w:ind w:firstLine="560" w:firstLineChars="200"/>
        <w:rPr>
          <w:rFonts w:ascii="仿宋_GB2312" w:hAnsi="仿宋_GB2312" w:cs="仿宋_GB2312"/>
        </w:rPr>
      </w:pPr>
      <w:r>
        <w:rPr>
          <w:rFonts w:hint="eastAsia" w:ascii="仿宋_GB2312" w:hAnsi="仿宋_GB2312" w:cs="仿宋_GB2312"/>
        </w:rPr>
        <w:t>5</w:t>
      </w:r>
      <w:r>
        <w:rPr>
          <w:rFonts w:hint="eastAsia" w:ascii="仿宋_GB2312" w:hAnsi="仿宋_GB2312" w:cs="仿宋_GB2312"/>
          <w:lang w:val="en-US" w:eastAsia="zh-CN"/>
        </w:rPr>
        <w:t>2</w:t>
      </w:r>
      <w:r>
        <w:rPr>
          <w:rFonts w:hint="eastAsia" w:ascii="仿宋_GB2312" w:hAnsi="仿宋_GB2312" w:cs="仿宋_GB2312"/>
        </w:rPr>
        <w:t>.安排不低于50亿元资金，加大公共服务基础设施补短板力度，支持卫生健康、教育强国、全民健身、应对人口老龄化和托育、文化保护传承利用及社会服务兜底等重大公共服务工程建设。</w:t>
      </w:r>
    </w:p>
    <w:p>
      <w:pPr>
        <w:spacing w:line="560" w:lineRule="exact"/>
        <w:ind w:firstLine="560" w:firstLineChars="200"/>
        <w:rPr>
          <w:rFonts w:ascii="仿宋_GB2312" w:hAnsi="仿宋_GB2312" w:cs="仿宋_GB2312"/>
        </w:rPr>
      </w:pPr>
      <w:r>
        <w:rPr>
          <w:rFonts w:hint="eastAsia" w:ascii="仿宋_GB2312" w:hAnsi="仿宋_GB2312" w:cs="仿宋_GB2312"/>
        </w:rPr>
        <w:t>5</w:t>
      </w:r>
      <w:r>
        <w:rPr>
          <w:rFonts w:hint="eastAsia" w:ascii="仿宋_GB2312" w:hAnsi="仿宋_GB2312" w:cs="仿宋_GB2312"/>
          <w:lang w:val="en-US" w:eastAsia="zh-CN"/>
        </w:rPr>
        <w:t>3</w:t>
      </w:r>
      <w:r>
        <w:rPr>
          <w:rFonts w:hint="eastAsia" w:ascii="仿宋_GB2312" w:hAnsi="仿宋_GB2312" w:cs="仿宋_GB2312"/>
        </w:rPr>
        <w:t>.开展普惠养老城企联动专项行动，支持党政机关和国有企事业单位及其他社会力量增加普惠养老供给，对列入国家普惠养老城企联动专项行动的项目，居家社区型和医养结合型按照每张床位2万元给予支持，旅居型按每张床位1万元给予支持。</w:t>
      </w:r>
    </w:p>
    <w:p>
      <w:pPr>
        <w:spacing w:line="560" w:lineRule="exact"/>
        <w:ind w:firstLine="560" w:firstLineChars="200"/>
        <w:rPr>
          <w:rFonts w:ascii="仿宋_GB2312" w:hAnsi="仿宋_GB2312" w:cs="仿宋_GB2312"/>
        </w:rPr>
      </w:pPr>
      <w:r>
        <w:rPr>
          <w:rFonts w:hint="eastAsia" w:ascii="仿宋_GB2312" w:hAnsi="仿宋_GB2312" w:cs="仿宋_GB2312"/>
        </w:rPr>
        <w:t>5</w:t>
      </w:r>
      <w:r>
        <w:rPr>
          <w:rFonts w:hint="eastAsia" w:ascii="仿宋_GB2312" w:hAnsi="仿宋_GB2312" w:cs="仿宋_GB2312"/>
          <w:lang w:val="en-US" w:eastAsia="zh-CN"/>
        </w:rPr>
        <w:t>4</w:t>
      </w:r>
      <w:r>
        <w:rPr>
          <w:rFonts w:hint="eastAsia" w:ascii="仿宋_GB2312" w:hAnsi="仿宋_GB2312" w:cs="仿宋_GB2312"/>
        </w:rPr>
        <w:t>.开展普惠托育服务专项工程，支持公办机构和社会力量依托社区、幼儿园、妇幼保健机构等建设嵌入式、分布式、连锁化、专业化的托育服务设施，提供日托、计时托等普惠托育服务，对列入国家普惠托育专项的项目，按每个托位1万元的标准给予资金补助。</w:t>
      </w:r>
    </w:p>
    <w:p>
      <w:pPr>
        <w:spacing w:line="560" w:lineRule="exact"/>
        <w:ind w:firstLine="560" w:firstLineChars="200"/>
        <w:rPr>
          <w:rFonts w:ascii="仿宋_GB2312" w:hAnsi="仿宋_GB2312" w:cs="仿宋_GB2312"/>
        </w:rPr>
      </w:pPr>
      <w:r>
        <w:rPr>
          <w:rFonts w:hint="eastAsia" w:ascii="仿宋_GB2312" w:hAnsi="仿宋_GB2312" w:cs="仿宋_GB2312"/>
        </w:rPr>
        <w:t>5</w:t>
      </w:r>
      <w:r>
        <w:rPr>
          <w:rFonts w:hint="eastAsia" w:ascii="仿宋_GB2312" w:hAnsi="仿宋_GB2312" w:cs="仿宋_GB2312"/>
          <w:lang w:val="en-US" w:eastAsia="zh-CN"/>
        </w:rPr>
        <w:t>5</w:t>
      </w:r>
      <w:r>
        <w:rPr>
          <w:rFonts w:hint="eastAsia" w:ascii="仿宋_GB2312" w:hAnsi="仿宋_GB2312" w:cs="仿宋_GB2312"/>
        </w:rPr>
        <w:t>.对当年新获得中国质量奖、中国质量奖提名奖的单位分别奖励500万元、200万元，对新获得自治区主席质量奖的服务业企业给予100万元资助资金；支持中华老字号、内蒙古老字号企业创新发展。</w:t>
      </w:r>
    </w:p>
    <w:p>
      <w:pPr>
        <w:spacing w:line="560" w:lineRule="exact"/>
        <w:ind w:firstLine="562" w:firstLineChars="200"/>
        <w:rPr>
          <w:rFonts w:ascii="仿宋_GB2312" w:hAnsi="仿宋_GB2312" w:cs="仿宋_GB2312"/>
          <w:b/>
          <w:bCs/>
        </w:rPr>
      </w:pPr>
      <w:r>
        <w:rPr>
          <w:rFonts w:hint="eastAsia" w:ascii="仿宋_GB2312" w:hAnsi="仿宋_GB2312" w:cs="仿宋_GB2312"/>
          <w:b/>
          <w:bCs/>
        </w:rPr>
        <w:t>四、强化要素支撑</w:t>
      </w:r>
    </w:p>
    <w:p>
      <w:pPr>
        <w:spacing w:line="560" w:lineRule="exact"/>
        <w:ind w:firstLine="562" w:firstLineChars="200"/>
        <w:rPr>
          <w:rFonts w:ascii="仿宋_GB2312" w:hAnsi="仿宋_GB2312" w:cs="仿宋_GB2312"/>
        </w:rPr>
      </w:pPr>
      <w:r>
        <w:rPr>
          <w:rFonts w:hint="eastAsia" w:ascii="仿宋_GB2312" w:hAnsi="仿宋_GB2312" w:cs="仿宋_GB2312"/>
          <w:b/>
          <w:bCs/>
        </w:rPr>
        <w:t>（一）加强土地要素保障。</w:t>
      </w:r>
    </w:p>
    <w:p>
      <w:pPr>
        <w:spacing w:line="560" w:lineRule="exact"/>
        <w:ind w:firstLine="560" w:firstLineChars="200"/>
        <w:rPr>
          <w:rFonts w:ascii="仿宋_GB2312" w:hAnsi="仿宋_GB2312" w:cs="仿宋_GB2312"/>
        </w:rPr>
      </w:pPr>
      <w:r>
        <w:rPr>
          <w:rFonts w:hint="eastAsia" w:ascii="仿宋_GB2312" w:hAnsi="仿宋_GB2312" w:cs="仿宋_GB2312"/>
        </w:rPr>
        <w:t>5</w:t>
      </w:r>
      <w:r>
        <w:rPr>
          <w:rFonts w:hint="eastAsia" w:ascii="仿宋_GB2312" w:hAnsi="仿宋_GB2312" w:cs="仿宋_GB2312"/>
          <w:lang w:val="en-US" w:eastAsia="zh-CN"/>
        </w:rPr>
        <w:t>6</w:t>
      </w:r>
      <w:r>
        <w:rPr>
          <w:rFonts w:hint="eastAsia" w:ascii="仿宋_GB2312" w:hAnsi="仿宋_GB2312" w:cs="仿宋_GB2312"/>
        </w:rPr>
        <w:t>.在全区各类开发区内推行“区域评估+标准地”模式，确保2023年底前“标准地”在新增工业用地出让中占比达到30%。</w:t>
      </w:r>
    </w:p>
    <w:p>
      <w:pPr>
        <w:spacing w:line="560" w:lineRule="exact"/>
        <w:ind w:firstLine="560" w:firstLineChars="200"/>
        <w:rPr>
          <w:rFonts w:ascii="仿宋_GB2312" w:hAnsi="仿宋_GB2312" w:cs="仿宋_GB2312"/>
        </w:rPr>
      </w:pPr>
      <w:r>
        <w:rPr>
          <w:rFonts w:hint="eastAsia" w:ascii="仿宋_GB2312" w:hAnsi="仿宋_GB2312" w:cs="仿宋_GB2312"/>
        </w:rPr>
        <w:t>5</w:t>
      </w:r>
      <w:r>
        <w:rPr>
          <w:rFonts w:hint="eastAsia" w:ascii="仿宋_GB2312" w:hAnsi="仿宋_GB2312" w:cs="仿宋_GB2312"/>
          <w:lang w:val="en-US" w:eastAsia="zh-CN"/>
        </w:rPr>
        <w:t>7</w:t>
      </w:r>
      <w:r>
        <w:rPr>
          <w:rFonts w:hint="eastAsia" w:ascii="仿宋_GB2312" w:hAnsi="仿宋_GB2312" w:cs="仿宋_GB2312"/>
        </w:rPr>
        <w:t>.已取得国有建设用地使用权的工业用地，在符合规划、不改变用途的前提下，提高土地利用率和增加容积率的，不再增收土地价款。</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58</w:t>
      </w:r>
      <w:r>
        <w:rPr>
          <w:rFonts w:hint="eastAsia" w:ascii="仿宋_GB2312" w:hAnsi="仿宋_GB2312" w:cs="仿宋_GB2312"/>
        </w:rPr>
        <w:t>.在符合发展规划、产业政策、标准规范、投资强度，厂房结构安全，不改变工业用途的前提下，重点技术改造项目容积率可提升至2.0以上。允许除特殊建设工程外需按照国家消防技术标准进行消防设计的“零增地”技改项目先建后验，依法依规报审。</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59</w:t>
      </w:r>
      <w:r>
        <w:rPr>
          <w:rFonts w:hint="eastAsia" w:ascii="仿宋_GB2312" w:hAnsi="仿宋_GB2312" w:cs="仿宋_GB2312"/>
        </w:rPr>
        <w:t>.在符合国土空间规划等前提下，支持风电光伏项目使用未利用土地，对使用戈壁、荒漠等未利用地的、不占压土地、不改变地表形态的，按原地类认定。项目永久性建筑用地部分需办理建设用地审批手续。</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60</w:t>
      </w:r>
      <w:r>
        <w:rPr>
          <w:rFonts w:hint="eastAsia" w:ascii="仿宋_GB2312" w:hAnsi="仿宋_GB2312" w:cs="仿宋_GB2312"/>
        </w:rPr>
        <w:t>.鼓励风电光伏项目利用露天矿排土场、采煤沉陷区土地。对于因采煤沉陷无法恢复的农用地，根据变更调查技术规程标准符合变更条件的按现状调查，上报国家予以变更。</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1</w:t>
      </w:r>
      <w:r>
        <w:rPr>
          <w:rFonts w:hint="eastAsia" w:ascii="仿宋_GB2312" w:hAnsi="仿宋_GB2312" w:cs="仿宋_GB2312"/>
        </w:rPr>
        <w:t>.在符合重大规划前提下，经批准利用现有房屋和土地兴办“互联网+”、文化创意、科技研发、工业旅游、众创空间等新业态的，实行按原用途和土地权利类型使用土地为期5年的过渡期政策。</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（二）加强能耗指标统筹。</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2</w:t>
      </w:r>
      <w:r>
        <w:rPr>
          <w:rFonts w:hint="eastAsia" w:ascii="仿宋_GB2312" w:hAnsi="仿宋_GB2312" w:cs="仿宋_GB2312"/>
        </w:rPr>
        <w:t>.全面落实新增原料用能和可再生能源消费量不纳入能耗总量和强度控制政策，对化石能源和可再生能源、燃料动力用能和原材料用能实行差别化的节能审查政策，在项目能耗强度影响评估中，对项目原料用能和可再生能源消费量予以核减。</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3</w:t>
      </w:r>
      <w:r>
        <w:rPr>
          <w:rFonts w:hint="eastAsia" w:ascii="仿宋_GB2312" w:hAnsi="仿宋_GB2312" w:cs="仿宋_GB2312"/>
        </w:rPr>
        <w:t>.实行项目节能审查能耗强度标杆值政策，突出能耗强度导向，充分保障低能耗强度项目用能需求，有效化解高能耗强度项目影响，引导能耗要素向低能耗、高附加值的高质量项目配置。</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4</w:t>
      </w:r>
      <w:r>
        <w:rPr>
          <w:rFonts w:hint="eastAsia" w:ascii="仿宋_GB2312" w:hAnsi="仿宋_GB2312" w:cs="仿宋_GB2312"/>
        </w:rPr>
        <w:t>.组织实施自治区重大项目能耗单列，加强能耗指标统筹，合理保障重大项目建设用能需求。</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（三）提升金融服务水平。</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5</w:t>
      </w:r>
      <w:r>
        <w:rPr>
          <w:rFonts w:hint="eastAsia" w:ascii="仿宋_GB2312" w:hAnsi="仿宋_GB2312" w:cs="仿宋_GB2312"/>
        </w:rPr>
        <w:t>.自治区政府性融资担保机构重点支持单户担保金额1000万元及以下的小微企业和“三农三牧”主体，收取担保费率原则上单户担保金额500万元及以下不超过1%、500万元以上不超过1.5%。对当年新增小微企业和“三农”融资担保（再担保）金额达到一定占比的，按照其当年新增担保额的1%给予风险补偿。对当年收取融资担保保费率降至1%（含）以下的，按照当年保费收入的10%给予保费补助。单户每年最高不超过1000万元。</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6</w:t>
      </w:r>
      <w:r>
        <w:rPr>
          <w:rFonts w:hint="eastAsia" w:ascii="仿宋_GB2312" w:hAnsi="仿宋_GB2312" w:cs="仿宋_GB2312"/>
        </w:rPr>
        <w:t>.支持农牧业经营主体融资，按照融资成本最高不超过8%的标准，重点对家庭农场、种养大户、农牧民合作社等适度规模新型经营主体提供10万元至1000万元的担保贷款。</w:t>
      </w:r>
    </w:p>
    <w:p>
      <w:pPr>
        <w:spacing w:line="560" w:lineRule="exact"/>
        <w:ind w:firstLine="560" w:firstLineChars="200"/>
        <w:rPr>
          <w:rFonts w:ascii="仿宋_GB2312" w:hAnsi="仿宋_GB2312" w:cs="仿宋_GB2312"/>
        </w:rPr>
      </w:pPr>
      <w:r>
        <w:rPr>
          <w:rFonts w:hint="eastAsia" w:ascii="仿宋_GB2312" w:hAnsi="仿宋_GB2312" w:cs="仿宋_GB2312"/>
        </w:rPr>
        <w:t>6</w:t>
      </w:r>
      <w:r>
        <w:rPr>
          <w:rFonts w:hint="eastAsia" w:ascii="仿宋_GB2312" w:hAnsi="仿宋_GB2312" w:cs="仿宋_GB2312"/>
          <w:lang w:val="en-US" w:eastAsia="zh-CN"/>
        </w:rPr>
        <w:t>7</w:t>
      </w:r>
      <w:r>
        <w:rPr>
          <w:rFonts w:hint="eastAsia" w:ascii="仿宋_GB2312" w:hAnsi="仿宋_GB2312" w:cs="仿宋_GB2312"/>
        </w:rPr>
        <w:t>.加大农业保险支持力度，在产粮大县实施三大粮食作物完全成本保险或种植收入保险，中央和自治区分别承担45%和30%的保险费补贴。</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68</w:t>
      </w:r>
      <w:r>
        <w:rPr>
          <w:rFonts w:hint="eastAsia" w:ascii="仿宋_GB2312" w:hAnsi="仿宋_GB2312" w:cs="仿宋_GB2312"/>
        </w:rPr>
        <w:t>.继续发挥自治区粮食收购贷款信用保证基金作用，支持农业发展银行为粮食企业市场化收购粮食提供更大规模融资增信。</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69</w:t>
      </w:r>
      <w:r>
        <w:rPr>
          <w:rFonts w:hint="eastAsia" w:ascii="仿宋_GB2312" w:hAnsi="仿宋_GB2312" w:cs="仿宋_GB2312"/>
        </w:rPr>
        <w:t>.加大产业基金对重点产业发展的支持力度。2023年安排自治区重点产业发展引导基金4亿元，以市场化方式支持先进制造业集群和产业链重大项目，产业基金规模力争达到13亿元以上。加快推动新能源装备制造产业基金认缴到位，重点支持新能源装备制造重大项目建设。</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70</w:t>
      </w:r>
      <w:r>
        <w:rPr>
          <w:rFonts w:hint="eastAsia" w:ascii="仿宋_GB2312" w:hAnsi="仿宋_GB2312" w:cs="仿宋_GB2312"/>
        </w:rPr>
        <w:t>.鼓励更多优质企业改制上市。对在内蒙古证监局办理上市辅导备案的企业，给予100万元奖补；对向中国证监会、沪深北证券交易所提交上市申报材料并获得受理的企业，给予200万元奖补；对在沪深北交易所实现首发上市的企业，给予1000万元奖补；对在境外（香港、纽约、纳斯达克证券交易所）上市的企业奖补500万元。</w:t>
      </w:r>
    </w:p>
    <w:p>
      <w:pPr>
        <w:spacing w:line="560" w:lineRule="exact"/>
        <w:ind w:firstLine="562" w:firstLineChars="200"/>
        <w:rPr>
          <w:rFonts w:ascii="仿宋_GB2312" w:hAnsi="仿宋_GB2312" w:cs="仿宋_GB2312"/>
          <w:b/>
          <w:bCs/>
        </w:rPr>
      </w:pPr>
      <w:r>
        <w:rPr>
          <w:rFonts w:hint="eastAsia" w:ascii="仿宋_GB2312" w:hAnsi="仿宋_GB2312" w:cs="仿宋_GB2312"/>
          <w:b/>
          <w:bCs/>
        </w:rPr>
        <w:t>（四）加强人才政策支持。</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71</w:t>
      </w:r>
      <w:r>
        <w:rPr>
          <w:rFonts w:hint="eastAsia" w:ascii="仿宋_GB2312" w:hAnsi="仿宋_GB2312" w:cs="仿宋_GB2312"/>
        </w:rPr>
        <w:t>.优化人才落户和子女入学政策，进一步完善人才落户绿色通道及服务专员机制，对来内蒙古投资兴业的企业家和高层次人才子女，由盟市、旗县（市、区）教育行政部门按照有关要求就近就便安置入学。</w:t>
      </w:r>
    </w:p>
    <w:p>
      <w:pPr>
        <w:spacing w:line="560" w:lineRule="exact"/>
        <w:ind w:firstLine="560" w:firstLineChars="200"/>
        <w:rPr>
          <w:rFonts w:ascii="仿宋_GB2312" w:hAnsi="仿宋_GB2312" w:cs="仿宋_GB2312"/>
        </w:rPr>
      </w:pPr>
      <w:r>
        <w:rPr>
          <w:rFonts w:hint="eastAsia" w:ascii="仿宋_GB2312" w:hAnsi="仿宋_GB2312" w:cs="仿宋_GB2312"/>
          <w:lang w:val="en-US" w:eastAsia="zh-CN"/>
        </w:rPr>
        <w:t>72</w:t>
      </w:r>
      <w:r>
        <w:rPr>
          <w:rFonts w:hint="eastAsia" w:ascii="仿宋_GB2312" w:hAnsi="仿宋_GB2312" w:cs="仿宋_GB2312"/>
        </w:rPr>
        <w:t>.实施重点产业链尖端人才奖励制度，在首批打造重点产业链中，对年度研发费用不低于500万元且增幅达到10%以上的重点企业中，年薪高于100万元的研发一线人员，由自治区人民政府统一表彰，其实际缴纳个人所得税旗县（市、区）留成部分，由旗县（市、区）人民政府全额予以奖励。</w:t>
      </w:r>
    </w:p>
    <w:p>
      <w:pPr>
        <w:spacing w:line="560" w:lineRule="exact"/>
        <w:ind w:firstLine="560" w:firstLineChars="200"/>
        <w:rPr>
          <w:rFonts w:ascii="仿宋_GB2312" w:hAnsi="仿宋_GB2312" w:cs="仿宋_GB2312"/>
        </w:rPr>
      </w:pPr>
      <w:r>
        <w:rPr>
          <w:rFonts w:hint="eastAsia" w:ascii="仿宋_GB2312" w:hAnsi="仿宋_GB2312" w:cs="仿宋_GB2312"/>
        </w:rPr>
        <w:t>7</w:t>
      </w:r>
      <w:r>
        <w:rPr>
          <w:rFonts w:hint="eastAsia" w:ascii="仿宋_GB2312" w:hAnsi="仿宋_GB2312" w:cs="仿宋_GB2312"/>
          <w:lang w:val="en-US" w:eastAsia="zh-CN"/>
        </w:rPr>
        <w:t>3</w:t>
      </w:r>
      <w:r>
        <w:rPr>
          <w:rFonts w:hint="eastAsia" w:ascii="仿宋_GB2312" w:hAnsi="仿宋_GB2312" w:cs="仿宋_GB2312"/>
        </w:rPr>
        <w:t>.引进高层次人才的新型研发机构，可使用自治区人才专项编制予以保障。对于科研成果具有创新价值、能力和贡献较为突出的高层次人才，与自治区新型研发机构签订3年以上劳动（聘用）合同的，自治区补助15万元。</w:t>
      </w:r>
    </w:p>
    <w:p>
      <w:pPr>
        <w:pStyle w:val="2"/>
        <w:spacing w:line="560" w:lineRule="exact"/>
        <w:ind w:left="0" w:leftChars="0" w:firstLine="0" w:firstLineChars="0"/>
      </w:pPr>
    </w:p>
    <w:p>
      <w:pPr>
        <w:pStyle w:val="4"/>
        <w:spacing w:line="560" w:lineRule="exact"/>
        <w:jc w:val="center"/>
        <w:rPr>
          <w:rFonts w:ascii="黑体" w:hAnsi="黑体" w:cs="黑体"/>
          <w:szCs w:val="32"/>
        </w:rPr>
      </w:pPr>
      <w:r>
        <w:rPr>
          <w:rFonts w:hint="eastAsia" w:ascii="黑体" w:hAnsi="黑体" w:cs="黑体"/>
          <w:szCs w:val="32"/>
        </w:rPr>
        <w:t>四、乳肉产品综合开发适用政策</w:t>
      </w:r>
      <w:bookmarkEnd w:id="24"/>
      <w:bookmarkEnd w:id="25"/>
      <w:bookmarkEnd w:id="26"/>
      <w:bookmarkEnd w:id="27"/>
      <w:bookmarkEnd w:id="28"/>
      <w:bookmarkStart w:id="29" w:name="_Toc13184"/>
      <w:bookmarkStart w:id="30" w:name="_Toc9459"/>
      <w:bookmarkStart w:id="31" w:name="_Toc11212"/>
      <w:bookmarkStart w:id="32" w:name="_Toc11431"/>
    </w:p>
    <w:bookmarkEnd w:id="29"/>
    <w:p>
      <w:pPr>
        <w:pStyle w:val="5"/>
        <w:spacing w:line="560" w:lineRule="exact"/>
        <w:ind w:firstLine="562"/>
        <w:rPr>
          <w:rFonts w:ascii="仿宋_GB2312" w:hAnsi="仿宋_GB2312" w:eastAsia="仿宋_GB2312" w:cs="仿宋_GB2312"/>
          <w:sz w:val="28"/>
          <w:szCs w:val="28"/>
        </w:rPr>
      </w:pPr>
      <w:bookmarkStart w:id="33" w:name="_Toc30363"/>
      <w:r>
        <w:rPr>
          <w:rFonts w:hint="eastAsia" w:ascii="仿宋_GB2312" w:hAnsi="仿宋_GB2312" w:eastAsia="仿宋_GB2312" w:cs="仿宋_GB2312"/>
          <w:sz w:val="28"/>
          <w:szCs w:val="28"/>
        </w:rPr>
        <w:t>（一）自治区级适用政策</w:t>
      </w:r>
      <w:bookmarkEnd w:id="30"/>
      <w:bookmarkEnd w:id="31"/>
      <w:bookmarkEnd w:id="32"/>
      <w:bookmarkEnd w:id="33"/>
    </w:p>
    <w:p>
      <w:pPr>
        <w:spacing w:line="560" w:lineRule="exact"/>
        <w:jc w:val="center"/>
        <w:rPr>
          <w:rFonts w:hint="eastAsia" w:ascii="仿宋_GB2312" w:hAnsi="仿宋_GB2312" w:cs="仿宋_GB2312"/>
          <w:b/>
          <w:bCs/>
        </w:rPr>
      </w:pPr>
      <w:r>
        <w:rPr>
          <w:rFonts w:hint="eastAsia" w:ascii="仿宋_GB2312" w:hAnsi="仿宋_GB2312" w:cs="仿宋_GB2312"/>
          <w:b/>
          <w:bCs/>
        </w:rPr>
        <w:t>《推进奶业振兴若干政策措施》</w:t>
      </w:r>
    </w:p>
    <w:p>
      <w:pPr>
        <w:spacing w:line="560" w:lineRule="exact"/>
        <w:jc w:val="center"/>
        <w:rPr>
          <w:rFonts w:hint="eastAsia" w:ascii="仿宋_GB2312" w:hAnsi="仿宋_GB2312" w:cs="仿宋_GB2312"/>
        </w:rPr>
      </w:pPr>
      <w:r>
        <w:rPr>
          <w:rFonts w:hint="eastAsia" w:ascii="仿宋_GB2312" w:hAnsi="仿宋_GB2312" w:cs="仿宋_GB2312"/>
        </w:rPr>
        <w:t>（内政办发〔2019〕33号）</w:t>
      </w:r>
    </w:p>
    <w:p>
      <w:pPr>
        <w:spacing w:line="560" w:lineRule="exact"/>
        <w:ind w:firstLine="560" w:firstLineChars="200"/>
        <w:rPr>
          <w:rFonts w:ascii="仿宋_GB2312" w:hAnsi="仿宋_GB2312" w:cs="仿宋_GB2312"/>
        </w:rPr>
      </w:pPr>
      <w:r>
        <w:rPr>
          <w:rFonts w:hint="eastAsia" w:ascii="仿宋_GB2312" w:hAnsi="仿宋_GB2312" w:cs="仿宋_GB2312"/>
        </w:rPr>
        <w:t>第三款明确，重点对饲料、养殖设备、冻精等给予补贴，其中对进口良种母牛每头补贴5000元（其中，自治区财政补贴3000元、盟市财政补贴2000元）。</w:t>
      </w:r>
      <w:bookmarkStart w:id="34" w:name="_Toc10306"/>
      <w:bookmarkStart w:id="35" w:name="_Toc30546"/>
      <w:bookmarkStart w:id="36" w:name="_Toc6340"/>
      <w:bookmarkStart w:id="37" w:name="_Toc4205"/>
    </w:p>
    <w:bookmarkEnd w:id="34"/>
    <w:p>
      <w:pPr>
        <w:pStyle w:val="5"/>
        <w:numPr>
          <w:ilvl w:val="0"/>
          <w:numId w:val="4"/>
        </w:numPr>
        <w:spacing w:line="560" w:lineRule="exact"/>
        <w:ind w:firstLine="562"/>
        <w:rPr>
          <w:rFonts w:ascii="仿宋_GB2312" w:hAnsi="仿宋_GB2312" w:eastAsia="仿宋_GB2312" w:cs="仿宋_GB2312"/>
          <w:sz w:val="28"/>
          <w:szCs w:val="28"/>
        </w:rPr>
      </w:pPr>
      <w:bookmarkStart w:id="38" w:name="_Toc31919"/>
      <w:r>
        <w:rPr>
          <w:rFonts w:hint="eastAsia" w:ascii="仿宋_GB2312" w:hAnsi="仿宋_GB2312" w:eastAsia="仿宋_GB2312" w:cs="仿宋_GB2312"/>
          <w:sz w:val="28"/>
          <w:szCs w:val="28"/>
        </w:rPr>
        <w:t>市级适用政策</w:t>
      </w:r>
      <w:bookmarkEnd w:id="35"/>
      <w:bookmarkEnd w:id="36"/>
      <w:bookmarkEnd w:id="37"/>
      <w:bookmarkEnd w:id="38"/>
    </w:p>
    <w:p>
      <w:pPr>
        <w:spacing w:line="560" w:lineRule="exact"/>
        <w:jc w:val="center"/>
        <w:rPr>
          <w:rFonts w:ascii="仿宋_GB2312" w:hAnsi="仿宋_GB2312" w:cs="仿宋_GB2312"/>
          <w:b/>
          <w:bCs/>
        </w:rPr>
      </w:pPr>
      <w:r>
        <w:rPr>
          <w:rFonts w:hint="eastAsia" w:ascii="仿宋_GB2312" w:hAnsi="仿宋_GB2312" w:cs="仿宋_GB2312"/>
          <w:b/>
          <w:bCs/>
        </w:rPr>
        <w:t>《呼伦贝尔市推进奶业振兴若干政策措施实施细则》</w:t>
      </w:r>
    </w:p>
    <w:p>
      <w:pPr>
        <w:spacing w:line="560" w:lineRule="exact"/>
        <w:jc w:val="center"/>
        <w:rPr>
          <w:rFonts w:ascii="仿宋_GB2312" w:hAnsi="仿宋_GB2312" w:cs="仿宋_GB2312"/>
        </w:rPr>
      </w:pPr>
      <w:r>
        <w:rPr>
          <w:rFonts w:hint="eastAsia" w:ascii="仿宋_GB2312" w:hAnsi="仿宋_GB2312" w:cs="仿宋_GB2312"/>
        </w:rPr>
        <w:t>（呼农牧办发〔2022〕150号）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对新建3000头以上规模奶牛养殖场进行配套补贴。对2021年以后建成的3000头规模养殖场，在自治区补贴600万元，每增加500头再补贴100万元基础上，按照自治区补贴资金的20%，市、旗两级共同承担配套补贴。</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对新建300-3000头规模奶牛养殖场进行补贴。对2021年以后建成的300头规模养殖场，市、旗两级补贴60万元，每增加100头再补贴20万元。</w:t>
      </w:r>
    </w:p>
    <w:p>
      <w:pPr>
        <w:spacing w:line="560" w:lineRule="exact"/>
        <w:jc w:val="center"/>
        <w:rPr>
          <w:rFonts w:ascii="仿宋_GB2312" w:hAnsi="仿宋_GB2312" w:cs="仿宋_GB2312"/>
          <w:b/>
          <w:bCs/>
        </w:rPr>
      </w:pPr>
      <w:r>
        <w:rPr>
          <w:rFonts w:hint="eastAsia" w:ascii="仿宋_GB2312" w:hAnsi="仿宋_GB2312" w:cs="仿宋_GB2312"/>
          <w:b/>
          <w:bCs/>
        </w:rPr>
        <w:t>《关于印发2022年度中央财政畜牧良种补贴和自治区畜牧良种补贴实施方案的通知》</w:t>
      </w:r>
    </w:p>
    <w:p>
      <w:pPr>
        <w:spacing w:line="560" w:lineRule="exact"/>
        <w:jc w:val="center"/>
        <w:rPr>
          <w:rFonts w:ascii="仿宋_GB2312" w:hAnsi="仿宋_GB2312" w:cs="仿宋_GB2312"/>
        </w:rPr>
      </w:pPr>
      <w:r>
        <w:rPr>
          <w:rFonts w:hint="eastAsia" w:ascii="仿宋_GB2312" w:hAnsi="仿宋_GB2312" w:cs="仿宋_GB2312"/>
        </w:rPr>
        <w:t>（呼农牧办发〔2022〕275 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对项目户使用肉牛良种冻精开展人工授精的给予补贴，每头能繁母牛补贴10元。同时，实施肉牛冷配技术推广补贴，每头基础母牛补贴150元。</w:t>
      </w:r>
    </w:p>
    <w:p>
      <w:pPr>
        <w:spacing w:line="560" w:lineRule="exact"/>
        <w:jc w:val="center"/>
        <w:rPr>
          <w:rFonts w:ascii="仿宋_GB2312" w:hAnsi="仿宋_GB2312" w:cs="仿宋_GB2312"/>
          <w:b/>
          <w:bCs/>
          <w:szCs w:val="28"/>
        </w:rPr>
      </w:pPr>
    </w:p>
    <w:p>
      <w:pPr>
        <w:spacing w:line="560" w:lineRule="exact"/>
        <w:jc w:val="center"/>
        <w:rPr>
          <w:rFonts w:hint="eastAsia" w:ascii="仿宋_GB2312" w:hAnsi="仿宋_GB2312" w:cs="仿宋_GB2312"/>
          <w:b/>
          <w:bCs/>
        </w:rPr>
      </w:pPr>
      <w:r>
        <w:rPr>
          <w:rFonts w:hint="eastAsia" w:ascii="仿宋_GB2312" w:hAnsi="仿宋_GB2312" w:cs="仿宋_GB2312"/>
          <w:b/>
          <w:bCs/>
        </w:rPr>
        <w:t>《呼伦贝尔市2021年中央财政畜牧良种补贴、生猪良种补贴</w:t>
      </w:r>
    </w:p>
    <w:p>
      <w:pPr>
        <w:spacing w:line="560" w:lineRule="exact"/>
        <w:ind w:firstLine="562" w:firstLineChars="200"/>
        <w:jc w:val="center"/>
        <w:rPr>
          <w:rFonts w:hint="eastAsia" w:ascii="仿宋_GB2312" w:hAnsi="仿宋_GB2312" w:cs="仿宋_GB2312"/>
          <w:b/>
          <w:bCs/>
        </w:rPr>
      </w:pPr>
      <w:r>
        <w:rPr>
          <w:rFonts w:hint="eastAsia" w:ascii="仿宋_GB2312" w:hAnsi="仿宋_GB2312" w:cs="仿宋_GB2312"/>
          <w:b/>
          <w:bCs/>
        </w:rPr>
        <w:t>项目实施方案》</w:t>
      </w:r>
    </w:p>
    <w:p>
      <w:pPr>
        <w:spacing w:line="560" w:lineRule="exact"/>
        <w:jc w:val="center"/>
        <w:rPr>
          <w:rFonts w:hint="eastAsia" w:ascii="仿宋_GB2312" w:hAnsi="仿宋_GB2312" w:cs="仿宋_GB2312"/>
        </w:rPr>
      </w:pPr>
      <w:r>
        <w:rPr>
          <w:rFonts w:hint="eastAsia" w:ascii="仿宋_GB2312" w:hAnsi="仿宋_GB2312" w:cs="仿宋_GB2312"/>
        </w:rPr>
        <w:t>（呼农牧办发〔2021〕251号）</w:t>
      </w:r>
    </w:p>
    <w:p>
      <w:pPr>
        <w:spacing w:line="560" w:lineRule="exact"/>
        <w:ind w:firstLine="560" w:firstLineChars="200"/>
        <w:rPr>
          <w:rFonts w:ascii="仿宋_GB2312" w:hAnsi="仿宋_GB2312" w:cs="仿宋_GB2312"/>
          <w:color w:val="auto"/>
          <w:szCs w:val="28"/>
        </w:rPr>
      </w:pPr>
      <w:r>
        <w:rPr>
          <w:rFonts w:hint="eastAsia" w:ascii="仿宋_GB2312" w:hAnsi="仿宋_GB2312" w:cs="仿宋_GB2312"/>
          <w:color w:val="auto"/>
          <w:szCs w:val="28"/>
        </w:rPr>
        <w:t>对养殖场（户）、种羊扩繁场购买一级及以上种公羊予以补贴，以地方品种为主，兼顾引进品种，养殖场（户）间换种不予补贴。每只800元进行补贴。</w:t>
      </w:r>
    </w:p>
    <w:p>
      <w:pPr>
        <w:spacing w:line="560" w:lineRule="exact"/>
        <w:ind w:firstLine="560" w:firstLineChars="200"/>
        <w:rPr>
          <w:rFonts w:ascii="仿宋_GB2312" w:hAnsi="仿宋_GB2312" w:cs="仿宋_GB2312"/>
          <w:b/>
          <w:bCs/>
          <w:color w:val="auto"/>
          <w:szCs w:val="28"/>
        </w:rPr>
      </w:pPr>
      <w:r>
        <w:rPr>
          <w:rFonts w:hint="eastAsia" w:ascii="仿宋_GB2312" w:hAnsi="仿宋_GB2312" w:cs="仿宋_GB2312"/>
          <w:color w:val="auto"/>
          <w:szCs w:val="28"/>
        </w:rPr>
        <w:t>对使用良种猪精液开展人工授精且在农业农村部畜禽养殖场直联直报系统内备案的生猪养殖场(户) 给予补贴。每头能繁母猪补贴67元。</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《关于印发呼伦贝尔市2021年中央粮改饲试点项目实施方案的通知》</w:t>
      </w:r>
    </w:p>
    <w:p>
      <w:pPr>
        <w:spacing w:line="560" w:lineRule="exact"/>
        <w:jc w:val="center"/>
        <w:rPr>
          <w:rFonts w:ascii="仿宋_GB2312" w:hAnsi="仿宋_GB2312" w:cs="仿宋_GB2312"/>
          <w:szCs w:val="28"/>
        </w:rPr>
      </w:pPr>
      <w:r>
        <w:rPr>
          <w:rFonts w:hint="eastAsia" w:ascii="仿宋_GB2312" w:hAnsi="仿宋_GB2312" w:cs="仿宋_GB2312"/>
          <w:szCs w:val="28"/>
        </w:rPr>
        <w:t>（呼农牧办发〔2021〕245号）</w:t>
      </w:r>
    </w:p>
    <w:p>
      <w:pPr>
        <w:spacing w:line="560" w:lineRule="exact"/>
        <w:ind w:firstLine="560" w:firstLineChars="200"/>
        <w:rPr>
          <w:rFonts w:ascii="仿宋_GB2312" w:hAnsi="仿宋_GB2312" w:cs="仿宋_GB2312"/>
          <w:szCs w:val="28"/>
        </w:rPr>
      </w:pPr>
      <w:bookmarkStart w:id="39" w:name="_Toc12857"/>
      <w:bookmarkStart w:id="40" w:name="_Toc2466"/>
      <w:bookmarkStart w:id="41" w:name="_Toc7988"/>
      <w:bookmarkStart w:id="42" w:name="_Toc18221"/>
      <w:r>
        <w:rPr>
          <w:rFonts w:hint="eastAsia" w:ascii="仿宋_GB2312" w:hAnsi="仿宋_GB2312" w:cs="仿宋_GB2312"/>
          <w:szCs w:val="28"/>
        </w:rPr>
        <w:t>在</w:t>
      </w:r>
      <w:r>
        <w:rPr>
          <w:rFonts w:hint="eastAsia" w:ascii="仿宋_GB2312" w:hAnsi="仿宋_GB2312" w:cs="仿宋_GB2312"/>
          <w:szCs w:val="28"/>
          <w:lang w:val="en-US" w:eastAsia="zh-CN"/>
        </w:rPr>
        <w:t>莫旗</w:t>
      </w:r>
      <w:r>
        <w:rPr>
          <w:rFonts w:hint="eastAsia" w:ascii="仿宋_GB2312" w:hAnsi="仿宋_GB2312" w:cs="仿宋_GB2312"/>
          <w:szCs w:val="28"/>
        </w:rPr>
        <w:t>15个乡镇220个村全面推进实施，种植青贮玉米每吨青贮饲草料补助50元，采取先储后补方式补贴。</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《呼伦贝尔市2021年自治区畜牧业良种补贴项目实施方案》</w:t>
      </w:r>
    </w:p>
    <w:p>
      <w:pPr>
        <w:spacing w:line="560" w:lineRule="exact"/>
        <w:jc w:val="center"/>
        <w:rPr>
          <w:rFonts w:ascii="仿宋_GB2312" w:hAnsi="仿宋_GB2312" w:cs="仿宋_GB2312"/>
          <w:szCs w:val="28"/>
        </w:rPr>
      </w:pPr>
      <w:r>
        <w:rPr>
          <w:rFonts w:hint="eastAsia" w:ascii="仿宋_GB2312" w:hAnsi="仿宋_GB2312" w:cs="仿宋_GB2312"/>
          <w:szCs w:val="28"/>
        </w:rPr>
        <w:t>（呼农牧办发〔2021〕252号）</w:t>
      </w:r>
    </w:p>
    <w:p>
      <w:pPr>
        <w:spacing w:line="560" w:lineRule="exact"/>
        <w:ind w:firstLine="562" w:firstLineChars="200"/>
        <w:rPr>
          <w:rFonts w:ascii="仿宋_GB2312" w:hAnsi="仿宋_GB2312" w:cs="仿宋_GB2312"/>
          <w:szCs w:val="28"/>
        </w:rPr>
      </w:pPr>
      <w:r>
        <w:rPr>
          <w:rFonts w:hint="eastAsia" w:ascii="仿宋_GB2312" w:hAnsi="仿宋_GB2312" w:cs="仿宋_GB2312"/>
          <w:b/>
          <w:bCs/>
          <w:szCs w:val="28"/>
        </w:rPr>
        <w:t>（一）种公羊补贴。</w:t>
      </w:r>
      <w:r>
        <w:rPr>
          <w:rFonts w:hint="eastAsia" w:ascii="仿宋_GB2312" w:hAnsi="仿宋_GB2312" w:cs="仿宋_GB2312"/>
          <w:szCs w:val="28"/>
        </w:rPr>
        <w:t>对养殖场购买以地方品种为主，兼顾引进品种和培育品种，内蒙古白绒山羊种公羊绒纤维细度必须在14.5微米以下，一级以上种公羊予以补贴，每只补贴800元（需地方财政配套50%资金），养殖场户间换种公羊不得补贴。此项补贴可与国家畜牧业生产种公羊补贴项目资金叠加使用，补贴最高额度不能超过每只1600元。</w:t>
      </w:r>
    </w:p>
    <w:p>
      <w:pPr>
        <w:spacing w:line="560" w:lineRule="exact"/>
        <w:ind w:firstLine="562" w:firstLineChars="200"/>
        <w:rPr>
          <w:rFonts w:ascii="仿宋_GB2312" w:hAnsi="仿宋_GB2312" w:cs="仿宋_GB2312"/>
          <w:szCs w:val="28"/>
        </w:rPr>
      </w:pPr>
      <w:r>
        <w:rPr>
          <w:rFonts w:hint="eastAsia" w:ascii="仿宋_GB2312" w:hAnsi="仿宋_GB2312" w:cs="仿宋_GB2312"/>
          <w:b/>
          <w:bCs/>
          <w:szCs w:val="28"/>
        </w:rPr>
        <w:t>（二）基础母牛饲养补贴。</w:t>
      </w:r>
      <w:r>
        <w:rPr>
          <w:rFonts w:hint="eastAsia" w:ascii="仿宋_GB2312" w:hAnsi="仿宋_GB2312" w:cs="仿宋_GB2312"/>
          <w:szCs w:val="28"/>
        </w:rPr>
        <w:t>对养殖场户饲养西门塔尔、安格斯等基础母牛给予补贴，每头每年补贴50元（需地方财政配套50%资金）。</w:t>
      </w:r>
    </w:p>
    <w:p>
      <w:pPr>
        <w:pStyle w:val="16"/>
        <w:spacing w:line="560" w:lineRule="exact"/>
        <w:rPr>
          <w:rFonts w:hAnsi="仿宋_GB2312"/>
          <w:sz w:val="28"/>
          <w:szCs w:val="28"/>
        </w:rPr>
      </w:pPr>
    </w:p>
    <w:p>
      <w:pPr>
        <w:spacing w:line="560" w:lineRule="exact"/>
        <w:jc w:val="center"/>
        <w:rPr>
          <w:rFonts w:ascii="仿宋_GB2312" w:hAnsi="仿宋_GB2312" w:cs="仿宋_GB2312"/>
          <w:b/>
          <w:bCs/>
          <w:szCs w:val="28"/>
        </w:rPr>
      </w:pPr>
      <w:r>
        <w:rPr>
          <w:rFonts w:hint="eastAsia" w:ascii="仿宋_GB2312" w:hAnsi="仿宋_GB2312" w:cs="仿宋_GB2312"/>
          <w:b/>
          <w:bCs/>
          <w:szCs w:val="28"/>
        </w:rPr>
        <w:t>《呼伦贝尔市2021年中央财政农机深松整地项目实施方案》</w:t>
      </w:r>
    </w:p>
    <w:p>
      <w:pPr>
        <w:spacing w:line="560" w:lineRule="exact"/>
        <w:jc w:val="center"/>
        <w:rPr>
          <w:rFonts w:ascii="仿宋_GB2312" w:hAnsi="仿宋_GB2312" w:cs="仿宋_GB2312"/>
          <w:szCs w:val="28"/>
        </w:rPr>
      </w:pPr>
      <w:r>
        <w:rPr>
          <w:rFonts w:hint="eastAsia" w:ascii="仿宋_GB2312" w:hAnsi="仿宋_GB2312" w:cs="仿宋_GB2312"/>
          <w:szCs w:val="28"/>
        </w:rPr>
        <w:t>（呼农牧办发〔2021〕262号）</w:t>
      </w:r>
    </w:p>
    <w:p>
      <w:pPr>
        <w:spacing w:line="560" w:lineRule="exact"/>
        <w:ind w:firstLine="560" w:firstLineChars="200"/>
        <w:rPr>
          <w:rFonts w:ascii="仿宋_GB2312" w:hAnsi="仿宋_GB2312" w:cs="仿宋_GB2312"/>
          <w:b/>
          <w:bCs/>
          <w:szCs w:val="28"/>
        </w:rPr>
      </w:pPr>
      <w:r>
        <w:rPr>
          <w:rFonts w:hint="eastAsia" w:ascii="仿宋_GB2312" w:hAnsi="仿宋_GB2312" w:cs="仿宋_GB2312"/>
          <w:szCs w:val="28"/>
        </w:rPr>
        <w:t>莫旗境内实际经营土地并自愿实施深松作业的个人和农业生产经营组织。深松作业实行定额补助，中央财政补助标准最高为25元/亩。</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《关于印发 2020 年饲草基地保障建设项目实施方案的通知》</w:t>
      </w:r>
    </w:p>
    <w:p>
      <w:pPr>
        <w:spacing w:line="560" w:lineRule="exact"/>
        <w:jc w:val="center"/>
        <w:rPr>
          <w:rFonts w:ascii="仿宋_GB2312" w:hAnsi="仿宋_GB2312" w:cs="仿宋_GB2312"/>
          <w:szCs w:val="28"/>
        </w:rPr>
      </w:pPr>
      <w:r>
        <w:rPr>
          <w:rFonts w:hint="eastAsia" w:ascii="仿宋_GB2312" w:hAnsi="仿宋_GB2312" w:cs="仿宋_GB2312"/>
          <w:szCs w:val="28"/>
        </w:rPr>
        <w:t>(内农牧饲发〔2020〕278号)</w:t>
      </w:r>
    </w:p>
    <w:bookmarkEnd w:id="39"/>
    <w:bookmarkEnd w:id="40"/>
    <w:bookmarkEnd w:id="41"/>
    <w:bookmarkEnd w:id="42"/>
    <w:p>
      <w:pPr>
        <w:spacing w:line="560" w:lineRule="exact"/>
        <w:ind w:firstLine="560" w:firstLineChars="200"/>
        <w:rPr>
          <w:rFonts w:ascii="仿宋_GB2312" w:hAnsi="仿宋_GB2312" w:cs="仿宋_GB2312"/>
          <w:szCs w:val="28"/>
        </w:rPr>
      </w:pPr>
      <w:bookmarkStart w:id="43" w:name="_Toc21591"/>
      <w:bookmarkStart w:id="44" w:name="_Toc27248"/>
      <w:bookmarkStart w:id="45" w:name="_Toc9629"/>
      <w:bookmarkStart w:id="46" w:name="_Toc8168"/>
      <w:bookmarkStart w:id="47" w:name="_Toc12585"/>
      <w:r>
        <w:rPr>
          <w:rFonts w:hint="eastAsia" w:ascii="仿宋_GB2312" w:hAnsi="仿宋_GB2312" w:cs="仿宋_GB2312"/>
          <w:szCs w:val="28"/>
        </w:rPr>
        <w:t>对优质苜蓿种子繁育田按照每亩1200元的标准给予补助，采取先建后补方式补贴；对集中连片种植苜蓿500亩、燕麦300亩以上予以补贴，每亩补贴600元。</w:t>
      </w:r>
    </w:p>
    <w:p>
      <w:pPr>
        <w:spacing w:line="560" w:lineRule="exact"/>
        <w:jc w:val="center"/>
        <w:rPr>
          <w:rFonts w:hint="eastAsia" w:ascii="仿宋_GB2312" w:hAnsi="仿宋_GB2312" w:cs="仿宋_GB2312"/>
          <w:b/>
          <w:bCs/>
          <w:szCs w:val="28"/>
        </w:rPr>
      </w:pPr>
      <w:r>
        <w:rPr>
          <w:rFonts w:hint="eastAsia" w:ascii="仿宋_GB2312" w:hAnsi="仿宋_GB2312" w:cs="仿宋_GB2312"/>
          <w:b/>
          <w:bCs/>
          <w:szCs w:val="28"/>
        </w:rPr>
        <w:t>《关于印发&lt;呼伦贝尔市2019年养殖业保险保费补贴实施方案&gt;的</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通知》</w:t>
      </w:r>
    </w:p>
    <w:p>
      <w:pPr>
        <w:spacing w:line="560" w:lineRule="exact"/>
        <w:jc w:val="center"/>
        <w:rPr>
          <w:rFonts w:ascii="仿宋_GB2312" w:hAnsi="仿宋_GB2312" w:cs="仿宋_GB2312"/>
          <w:szCs w:val="28"/>
        </w:rPr>
      </w:pPr>
      <w:r>
        <w:rPr>
          <w:rFonts w:hint="eastAsia" w:ascii="仿宋_GB2312" w:hAnsi="仿宋_GB2312" w:cs="仿宋_GB2312"/>
          <w:szCs w:val="28"/>
        </w:rPr>
        <w:t>（呼财金发〔2019〕820号）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奶牛按不同等级品种、产奶量和市场价格差异区别投保，奶牛每头的保险金额分为10000元、8000元和6000元三个档次，由奶牛养殖户和保险经办机构协商确定，但保险金额最高不得超过该品种奶牛市场价格的 70%。每头能繁母猪的保险金额为1000元;每头育肥猪的保险金额为600元。奶牛保费比例为农户自缴20%，中央财政补贴50%，自治区财政补贴20%，呼伦贝尔市财政承担6%，旗财政补贴承担4%。生猪保费比例为中央财政补贴50%，自治区财政补贴10%，呼伦贝尔市财政承担10%，莫旗财政承担10%，养殖户自缴20%。</w:t>
      </w:r>
    </w:p>
    <w:p>
      <w:pPr>
        <w:spacing w:line="560" w:lineRule="exact"/>
        <w:rPr>
          <w:rFonts w:ascii="仿宋_GB2312" w:hAnsi="仿宋_GB2312" w:cs="仿宋_GB2312"/>
          <w:szCs w:val="28"/>
        </w:rPr>
      </w:pPr>
    </w:p>
    <w:p>
      <w:pPr>
        <w:spacing w:line="560" w:lineRule="exact"/>
        <w:jc w:val="center"/>
        <w:rPr>
          <w:rFonts w:ascii="仿宋_GB2312" w:hAnsi="仿宋_GB2312" w:cs="仿宋_GB2312"/>
          <w:szCs w:val="28"/>
        </w:rPr>
      </w:pPr>
    </w:p>
    <w:p>
      <w:pPr>
        <w:pStyle w:val="2"/>
        <w:spacing w:line="560" w:lineRule="exact"/>
        <w:ind w:left="0" w:leftChars="0" w:firstLine="0" w:firstLineChars="0"/>
      </w:pPr>
    </w:p>
    <w:p>
      <w:pPr>
        <w:pStyle w:val="4"/>
        <w:spacing w:line="560" w:lineRule="exact"/>
        <w:jc w:val="center"/>
      </w:pPr>
      <w:r>
        <w:rPr>
          <w:rFonts w:hint="eastAsia"/>
        </w:rPr>
        <w:t>五、玉米大豆产品综合开发适用政策</w:t>
      </w:r>
      <w:bookmarkEnd w:id="43"/>
      <w:bookmarkEnd w:id="44"/>
      <w:bookmarkEnd w:id="45"/>
      <w:bookmarkEnd w:id="46"/>
      <w:bookmarkEnd w:id="47"/>
      <w:bookmarkStart w:id="48" w:name="_Toc2527"/>
      <w:bookmarkStart w:id="49" w:name="_Toc21885"/>
      <w:bookmarkStart w:id="50" w:name="_Toc25682"/>
    </w:p>
    <w:p>
      <w:pPr>
        <w:pStyle w:val="5"/>
        <w:spacing w:line="560" w:lineRule="exact"/>
        <w:ind w:firstLine="562"/>
        <w:rPr>
          <w:rFonts w:ascii="仿宋_GB2312" w:hAnsi="仿宋_GB2312" w:eastAsia="仿宋_GB2312" w:cs="仿宋_GB2312"/>
          <w:sz w:val="28"/>
          <w:szCs w:val="28"/>
        </w:rPr>
      </w:pPr>
      <w:bookmarkStart w:id="51" w:name="_Toc25999"/>
      <w:r>
        <w:rPr>
          <w:rFonts w:hint="eastAsia" w:ascii="仿宋_GB2312" w:hAnsi="仿宋_GB2312" w:eastAsia="仿宋_GB2312" w:cs="仿宋_GB2312"/>
          <w:sz w:val="28"/>
          <w:szCs w:val="28"/>
        </w:rPr>
        <w:t>（一）市级适用政策</w:t>
      </w:r>
      <w:bookmarkEnd w:id="48"/>
      <w:bookmarkEnd w:id="49"/>
      <w:bookmarkEnd w:id="50"/>
      <w:bookmarkEnd w:id="51"/>
    </w:p>
    <w:p>
      <w:pPr>
        <w:spacing w:line="560" w:lineRule="exact"/>
        <w:jc w:val="center"/>
        <w:rPr>
          <w:rFonts w:hint="eastAsia" w:ascii="仿宋_GB2312" w:hAnsi="仿宋_GB2312" w:cs="仿宋_GB2312"/>
          <w:b/>
          <w:bCs/>
        </w:rPr>
      </w:pPr>
      <w:r>
        <w:rPr>
          <w:rFonts w:hint="eastAsia" w:ascii="仿宋_GB2312" w:hAnsi="仿宋_GB2312" w:cs="仿宋_GB2312"/>
          <w:b/>
          <w:bCs/>
        </w:rPr>
        <w:t>惠农补贴标准</w:t>
      </w:r>
    </w:p>
    <w:p>
      <w:pPr>
        <w:spacing w:line="560" w:lineRule="exact"/>
        <w:ind w:firstLine="560" w:firstLineChars="200"/>
        <w:rPr>
          <w:rFonts w:hint="eastAsia" w:ascii="仿宋_GB2312" w:hAnsi="仿宋_GB2312" w:cs="仿宋_GB2312"/>
        </w:rPr>
      </w:pPr>
      <w:r>
        <w:rPr>
          <w:rFonts w:hint="eastAsia" w:ascii="仿宋_GB2312" w:hAnsi="仿宋_GB2312" w:cs="仿宋_GB2312"/>
        </w:rPr>
        <w:t>2021年实际种粮农民一次性补贴发放标准为8.81元/亩。2022年共计下达三次实际种粮农民一次性补贴，补贴标准：第一批：补贴标准8.67元/亩；第二批：补贴标准4.16元/亩；第三批：补贴标准4.45元/亩。</w:t>
      </w:r>
    </w:p>
    <w:p>
      <w:pPr>
        <w:spacing w:line="560" w:lineRule="exact"/>
        <w:ind w:firstLine="560" w:firstLineChars="200"/>
        <w:rPr>
          <w:rFonts w:hint="eastAsia" w:ascii="仿宋_GB2312" w:hAnsi="仿宋_GB2312" w:cs="仿宋_GB2312"/>
        </w:rPr>
      </w:pPr>
      <w:r>
        <w:rPr>
          <w:rFonts w:hint="eastAsia" w:ascii="仿宋_GB2312" w:hAnsi="仿宋_GB2312" w:cs="仿宋_GB2312"/>
        </w:rPr>
        <w:t>2021年耕地地力保护补贴74.566元/亩，2022年耕地地力保护补贴71.606元/亩。</w:t>
      </w:r>
    </w:p>
    <w:p>
      <w:pPr>
        <w:spacing w:line="560" w:lineRule="exact"/>
        <w:ind w:firstLine="560" w:firstLineChars="200"/>
        <w:rPr>
          <w:rFonts w:hint="eastAsia" w:ascii="仿宋_GB2312" w:hAnsi="仿宋_GB2312" w:cs="仿宋_GB2312"/>
        </w:rPr>
      </w:pPr>
      <w:r>
        <w:rPr>
          <w:rFonts w:hint="eastAsia" w:ascii="仿宋_GB2312" w:hAnsi="仿宋_GB2312" w:cs="仿宋_GB2312"/>
        </w:rPr>
        <w:t>玉米、大豆和商品马铃薯生产者补贴</w:t>
      </w:r>
      <w:r>
        <w:rPr>
          <w:rFonts w:hint="eastAsia" w:ascii="仿宋_GB2312" w:hAnsi="仿宋_GB2312" w:cs="仿宋_GB2312"/>
          <w:lang w:eastAsia="zh-CN"/>
        </w:rPr>
        <w:t>，</w:t>
      </w:r>
      <w:r>
        <w:rPr>
          <w:rFonts w:hint="eastAsia" w:ascii="仿宋_GB2312" w:hAnsi="仿宋_GB2312" w:cs="仿宋_GB2312"/>
        </w:rPr>
        <w:t>2021补贴标准：大豆265.69元/亩；玉米133.57元/亩；马铃薯110.72元/亩。2022年补贴标准：大豆267.13元/亩、玉米30元/亩、商品马铃薯132.82元/亩。</w:t>
      </w:r>
    </w:p>
    <w:p>
      <w:pPr>
        <w:spacing w:line="560" w:lineRule="exact"/>
        <w:jc w:val="center"/>
        <w:rPr>
          <w:rFonts w:hint="eastAsia" w:ascii="仿宋_GB2312" w:hAnsi="仿宋_GB2312" w:cs="仿宋_GB2312"/>
          <w:b/>
          <w:bCs/>
        </w:rPr>
      </w:pPr>
      <w:r>
        <w:rPr>
          <w:rFonts w:hint="eastAsia" w:ascii="仿宋_GB2312" w:hAnsi="仿宋_GB2312" w:cs="仿宋_GB2312"/>
          <w:b/>
          <w:bCs/>
        </w:rPr>
        <w:t>《关于印发&lt;呼伦贝尔市黑土地保护性耕作推进行动方案</w:t>
      </w:r>
    </w:p>
    <w:p>
      <w:pPr>
        <w:spacing w:line="560" w:lineRule="exact"/>
        <w:jc w:val="center"/>
        <w:rPr>
          <w:rFonts w:hint="eastAsia" w:ascii="仿宋_GB2312" w:hAnsi="仿宋_GB2312" w:cs="仿宋_GB2312"/>
          <w:b/>
          <w:bCs/>
        </w:rPr>
      </w:pPr>
      <w:r>
        <w:rPr>
          <w:rFonts w:hint="eastAsia" w:ascii="仿宋_GB2312" w:hAnsi="仿宋_GB2312" w:cs="仿宋_GB2312"/>
          <w:b/>
          <w:bCs/>
        </w:rPr>
        <w:t>（2020-2025年）&gt;的通知》</w:t>
      </w:r>
    </w:p>
    <w:p>
      <w:pPr>
        <w:spacing w:line="560" w:lineRule="exact"/>
        <w:jc w:val="center"/>
        <w:rPr>
          <w:rFonts w:hint="eastAsia" w:ascii="仿宋_GB2312" w:hAnsi="仿宋_GB2312" w:cs="仿宋_GB2312"/>
        </w:rPr>
      </w:pPr>
      <w:r>
        <w:rPr>
          <w:rFonts w:hint="eastAsia" w:ascii="仿宋_GB2312" w:hAnsi="仿宋_GB2312" w:cs="仿宋_GB2312"/>
        </w:rPr>
        <w:t>(呼农牧办发〔2020〕93号)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耕地要相对集中连片，实施面积不少于200亩。补助标准是：玉米秸秆全量覆盖免少耕模式补助标准为每亩65元，玉米秸秆部分覆盖及其它作物秸秆全量覆盖免少耕模式补助标准为每亩34元。</w:t>
      </w:r>
    </w:p>
    <w:p>
      <w:pPr>
        <w:spacing w:line="560" w:lineRule="exact"/>
        <w:jc w:val="center"/>
        <w:rPr>
          <w:rFonts w:hint="eastAsia" w:ascii="仿宋_GB2312" w:hAnsi="仿宋_GB2312" w:cs="仿宋_GB2312"/>
          <w:b/>
          <w:bCs/>
        </w:rPr>
      </w:pPr>
      <w:r>
        <w:rPr>
          <w:rFonts w:hint="eastAsia" w:ascii="仿宋_GB2312" w:hAnsi="仿宋_GB2312" w:cs="仿宋_GB2312"/>
          <w:b/>
          <w:bCs/>
        </w:rPr>
        <w:t>《关乎促进农牧业产业化发展若干政策》</w:t>
      </w:r>
    </w:p>
    <w:p>
      <w:pPr>
        <w:spacing w:line="560" w:lineRule="exact"/>
        <w:jc w:val="center"/>
        <w:rPr>
          <w:rFonts w:hint="default" w:ascii="仿宋_GB2312" w:hAnsi="仿宋_GB2312" w:eastAsia="仿宋_GB2312" w:cs="仿宋_GB2312"/>
          <w:b w:val="0"/>
          <w:bCs w:val="0"/>
          <w:lang w:val="en-US" w:eastAsia="zh-CN"/>
        </w:rPr>
      </w:pPr>
      <w:r>
        <w:rPr>
          <w:rFonts w:hint="eastAsia" w:ascii="仿宋_GB2312" w:hAnsi="仿宋_GB2312" w:cs="仿宋_GB2312"/>
          <w:b w:val="0"/>
          <w:bCs w:val="0"/>
        </w:rPr>
        <w:t>（呼政字〔2017〕145号）</w:t>
      </w:r>
      <w:r>
        <w:rPr>
          <w:rFonts w:hint="eastAsia" w:ascii="仿宋_GB2312" w:hAnsi="仿宋_GB2312" w:cs="仿宋_GB2312"/>
          <w:b w:val="0"/>
          <w:bCs w:val="0"/>
          <w:lang w:val="en-US" w:eastAsia="zh-CN"/>
        </w:rPr>
        <w:t>(摘要)</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第二部分：对新三板挂牌或境内外IPO成功上市（包括借壳上市）的农牧业产业化重点龙头企业给予200万元奖励;对新获得的国家级农业产业化重点龙头企业给予200 万元奖励;对新获得的自治区级农牧业产业化重点龙头企业给予5万元奖励。以上政府奖励，企业只享受奖励一次，不得重复。</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三部分：对农牧业产业化加工企业属于填补呼伦贝尔市农牧业加工领域空白，新增加固定资产总投资5亿元以上，投产后对推动农牧业供给侧结构性改革，带动农牧民增收和增加税收成效显著的，连续三年给予奖励，每年奖励500万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四部分：对新获得中国驰名商标的农牧业产业化重点龙头企业给予200万元奖励，对获得自治区著名商标、自治区名牌产品、市长质量奖企业各奖励20万元;对新获得的国家工商总局认定的冠以"内蒙古"、"呼伦贝尔"地理标志商标的组织，每个商标奖励20万元。对新获得绿色食品认证产品每个奖励1万元、新获得农业部认证机构认证的有机食品产品每个奖励2万元，对新获得农业部农产品地理标志保护产品的组织，每个标志奖励5万元;建成国家绿色食品标准化原料生产基地1处（10万亩以上）奖励5万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五部分：加大农畜林产品宣传，市政府每年安排500万元以上，用于鼓励支持农牧业产业化重点龙头企业宣传呼伦贝尔农畜林产品品牌。新纳入"自治区农畜产品质量安全监管追溯信息平台"的企业，奖励1万元;肉类加工企业收购实现耳标追溯的草原羊，每只补贴2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第六部分：鼓励企业创新经营模式，推进产品走出去。在省会以上城市设立专卖店，年销售总额 5000万元以上、3000万元以上，奖励分别为50万元、30万元;呼伦贝尔农畜产品入驻大型超市、通过电商销售，年销售总额 5000万元以上，奖励30万元。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第七部分：鼓励农牧业产业化重点龙头企业采取股份分红、利润返还等形式建立紧密型利益联结机制。对引领 20个以上农民专业合作社，并带动2000户以上农牧户或带动500户以上贫困户增收，成效显著的一次性给予20万元奖励。鼓励农牧业产业化加工龙头企业自建生产原料基地，对新建设的投资额 5000万元以上生产原料基地建设项目，给予一次性奖励100万元。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第八部分：鼓励旗市区建设现代农牧业产业园、科技园、创业园，对获得国家级的三类园区以奖代补200万元;自治区级的三类园区以奖代补100万元。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九部分：市政府设立农牧业产业化发展基金，积极与自治区农牧业产业化基金对接，吸纳金融机构和农牧业产业化重点龙头企业参与;成立呼伦贝尔市农牧业担保公司，支持发展农牧业新产业新业态、新型经营主体、特色产业等，支持农牧业产业化龙头企业做大做强。</w:t>
      </w:r>
    </w:p>
    <w:p>
      <w:pPr>
        <w:spacing w:line="560" w:lineRule="exact"/>
        <w:ind w:firstLine="560" w:firstLineChars="200"/>
        <w:rPr>
          <w:rFonts w:ascii="仿宋_GB2312" w:hAnsi="仿宋_GB2312" w:cs="仿宋_GB2312" w:eastAsiaTheme="minorEastAsia"/>
          <w:szCs w:val="28"/>
        </w:rPr>
      </w:pPr>
      <w:r>
        <w:rPr>
          <w:rFonts w:hint="eastAsia" w:ascii="仿宋_GB2312" w:hAnsi="仿宋_GB2312" w:cs="仿宋_GB2312"/>
          <w:szCs w:val="28"/>
        </w:rPr>
        <w:t>第十部分：农牧业产业化重点龙头企业用于流动资金、基地建设和技术改造项目的贷款，在符合贷款条件下，金融机构要予以优惠利率优先支持。政策性贷款要优先向自治区级以上农牧业龙头企业倾斜。市担保公司要积极开展股权质押担保等担保方式，支持龙头企业融资。要加强小额信贷的发放力度，采取农户联保、龙头企业担保等多种形式支持参与产业化经营的农户。</w:t>
      </w:r>
      <w:bookmarkStart w:id="52" w:name="_Toc4572"/>
      <w:bookmarkStart w:id="53" w:name="_Toc15277"/>
      <w:bookmarkStart w:id="54" w:name="_Toc25628"/>
      <w:bookmarkStart w:id="55" w:name="_Toc32160"/>
      <w:bookmarkStart w:id="56" w:name="_Toc4993"/>
      <w:bookmarkStart w:id="57" w:name="_Toc5371"/>
    </w:p>
    <w:p>
      <w:pPr>
        <w:spacing w:line="560" w:lineRule="exact"/>
        <w:ind w:firstLine="720" w:firstLineChars="200"/>
        <w:rPr>
          <w:rFonts w:ascii="黑体" w:hAnsi="黑体" w:cs="黑体" w:eastAsiaTheme="minorEastAsia"/>
          <w:spacing w:val="20"/>
          <w:kern w:val="0"/>
          <w:sz w:val="32"/>
          <w:szCs w:val="32"/>
        </w:rPr>
      </w:pPr>
    </w:p>
    <w:p>
      <w:pPr>
        <w:spacing w:line="560" w:lineRule="exact"/>
        <w:ind w:firstLine="720" w:firstLineChars="200"/>
        <w:rPr>
          <w:rFonts w:ascii="黑体" w:hAnsi="黑体" w:cs="黑体" w:eastAsiaTheme="minorEastAsia"/>
          <w:spacing w:val="20"/>
          <w:kern w:val="0"/>
          <w:sz w:val="32"/>
          <w:szCs w:val="32"/>
        </w:rPr>
      </w:pPr>
    </w:p>
    <w:p>
      <w:pPr>
        <w:spacing w:line="560" w:lineRule="exact"/>
        <w:ind w:firstLine="720" w:firstLineChars="200"/>
        <w:rPr>
          <w:rFonts w:ascii="黑体" w:hAnsi="黑体" w:cs="黑体" w:eastAsiaTheme="minorEastAsia"/>
          <w:spacing w:val="20"/>
          <w:kern w:val="0"/>
          <w:sz w:val="32"/>
          <w:szCs w:val="32"/>
        </w:rPr>
      </w:pPr>
    </w:p>
    <w:p>
      <w:pPr>
        <w:spacing w:line="560" w:lineRule="exact"/>
        <w:ind w:firstLine="720" w:firstLineChars="200"/>
        <w:rPr>
          <w:rFonts w:ascii="黑体" w:hAnsi="黑体" w:cs="黑体" w:eastAsiaTheme="minorEastAsia"/>
          <w:spacing w:val="20"/>
          <w:kern w:val="0"/>
          <w:sz w:val="32"/>
          <w:szCs w:val="32"/>
        </w:rPr>
      </w:pPr>
    </w:p>
    <w:p>
      <w:pPr>
        <w:spacing w:line="560" w:lineRule="exact"/>
        <w:ind w:firstLine="720" w:firstLineChars="200"/>
        <w:rPr>
          <w:rFonts w:ascii="黑体" w:hAnsi="黑体" w:cs="黑体" w:eastAsiaTheme="minorEastAsia"/>
          <w:spacing w:val="20"/>
          <w:kern w:val="0"/>
          <w:sz w:val="32"/>
          <w:szCs w:val="32"/>
        </w:rPr>
      </w:pPr>
    </w:p>
    <w:p>
      <w:pPr>
        <w:spacing w:line="560" w:lineRule="exact"/>
        <w:ind w:firstLine="720" w:firstLineChars="200"/>
        <w:rPr>
          <w:rFonts w:ascii="黑体" w:hAnsi="黑体" w:cs="黑体" w:eastAsiaTheme="minorEastAsia"/>
          <w:spacing w:val="20"/>
          <w:kern w:val="0"/>
          <w:sz w:val="32"/>
          <w:szCs w:val="32"/>
        </w:rPr>
      </w:pPr>
    </w:p>
    <w:p>
      <w:pPr>
        <w:spacing w:line="560" w:lineRule="exact"/>
        <w:ind w:firstLine="723" w:firstLineChars="200"/>
        <w:rPr>
          <w:rFonts w:ascii="黑体" w:hAnsi="黑体" w:eastAsia="黑体" w:cs="黑体"/>
          <w:sz w:val="32"/>
          <w:szCs w:val="32"/>
        </w:rPr>
      </w:pPr>
      <w:r>
        <w:rPr>
          <w:rFonts w:hint="eastAsia" w:ascii="黑体" w:hAnsi="黑体" w:cs="黑体"/>
          <w:b/>
          <w:bCs/>
          <w:spacing w:val="20"/>
          <w:kern w:val="0"/>
          <w:sz w:val="32"/>
          <w:szCs w:val="32"/>
        </w:rPr>
        <w:t>六</w:t>
      </w:r>
      <w:r>
        <w:rPr>
          <w:rFonts w:hint="eastAsia" w:ascii="黑体" w:hAnsi="黑体" w:eastAsia="黑体" w:cs="黑体"/>
          <w:spacing w:val="20"/>
          <w:kern w:val="0"/>
          <w:sz w:val="32"/>
          <w:szCs w:val="32"/>
        </w:rPr>
        <w:t>、</w:t>
      </w:r>
      <w:r>
        <w:rPr>
          <w:rFonts w:hint="eastAsia" w:ascii="黑体" w:hAnsi="黑体" w:eastAsia="黑体" w:cs="黑体"/>
          <w:sz w:val="32"/>
          <w:szCs w:val="32"/>
        </w:rPr>
        <w:t>航铁物流集散群适用政策</w:t>
      </w:r>
      <w:bookmarkEnd w:id="52"/>
      <w:bookmarkEnd w:id="53"/>
      <w:bookmarkEnd w:id="54"/>
      <w:bookmarkEnd w:id="55"/>
      <w:bookmarkEnd w:id="56"/>
      <w:bookmarkStart w:id="58" w:name="_Toc314"/>
      <w:bookmarkStart w:id="59" w:name="_Toc23900"/>
      <w:bookmarkStart w:id="60" w:name="_Toc25573"/>
      <w:r>
        <w:rPr>
          <w:rFonts w:hint="eastAsia" w:ascii="黑体" w:hAnsi="黑体" w:eastAsia="黑体" w:cs="黑体"/>
          <w:sz w:val="32"/>
          <w:szCs w:val="32"/>
        </w:rPr>
        <w:t>国家级适用政策</w:t>
      </w:r>
      <w:bookmarkEnd w:id="57"/>
      <w:bookmarkEnd w:id="58"/>
      <w:bookmarkEnd w:id="59"/>
      <w:bookmarkEnd w:id="60"/>
      <w:bookmarkStart w:id="61" w:name="_Toc15323"/>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（一）国家级适用政策</w:t>
      </w:r>
      <w:bookmarkEnd w:id="61"/>
    </w:p>
    <w:p>
      <w:pPr>
        <w:spacing w:line="560" w:lineRule="exact"/>
        <w:jc w:val="center"/>
        <w:rPr>
          <w:rFonts w:ascii="仿宋_GB2312" w:hAnsi="仿宋_GB2312" w:cs="仿宋_GB2312"/>
          <w:b/>
          <w:bCs/>
          <w:spacing w:val="20"/>
          <w:kern w:val="0"/>
          <w:szCs w:val="28"/>
        </w:rPr>
      </w:pPr>
      <w:r>
        <w:rPr>
          <w:rFonts w:hint="eastAsia" w:ascii="仿宋_GB2312" w:hAnsi="仿宋_GB2312" w:cs="仿宋_GB2312"/>
          <w:b/>
          <w:bCs/>
          <w:spacing w:val="20"/>
          <w:kern w:val="0"/>
          <w:szCs w:val="28"/>
          <w:lang w:eastAsia="zh-CN"/>
        </w:rPr>
        <w:t>《</w:t>
      </w:r>
      <w:r>
        <w:rPr>
          <w:rFonts w:hint="eastAsia" w:ascii="仿宋_GB2312" w:hAnsi="仿宋_GB2312" w:cs="仿宋_GB2312"/>
          <w:b/>
          <w:bCs/>
          <w:spacing w:val="20"/>
          <w:kern w:val="0"/>
          <w:szCs w:val="28"/>
        </w:rPr>
        <w:t>城乡冷链和国家物流枢纽建设中央预算内投资</w:t>
      </w:r>
    </w:p>
    <w:p>
      <w:pPr>
        <w:spacing w:line="560" w:lineRule="exact"/>
        <w:jc w:val="center"/>
        <w:rPr>
          <w:rFonts w:ascii="仿宋_GB2312" w:hAnsi="仿宋_GB2312" w:cs="仿宋_GB2312"/>
          <w:b/>
          <w:bCs/>
          <w:spacing w:val="20"/>
          <w:kern w:val="0"/>
          <w:szCs w:val="28"/>
        </w:rPr>
      </w:pPr>
      <w:r>
        <w:rPr>
          <w:rFonts w:hint="eastAsia" w:ascii="仿宋_GB2312" w:hAnsi="仿宋_GB2312" w:cs="仿宋_GB2312"/>
          <w:b/>
          <w:bCs/>
          <w:spacing w:val="20"/>
          <w:kern w:val="0"/>
          <w:szCs w:val="28"/>
        </w:rPr>
        <w:t>专项管理办法</w:t>
      </w:r>
      <w:r>
        <w:rPr>
          <w:rFonts w:hint="eastAsia" w:ascii="仿宋_GB2312" w:hAnsi="仿宋_GB2312" w:cs="仿宋_GB2312"/>
          <w:b/>
          <w:bCs/>
          <w:spacing w:val="20"/>
          <w:kern w:val="0"/>
          <w:szCs w:val="28"/>
          <w:lang w:eastAsia="zh-CN"/>
        </w:rPr>
        <w:t>》</w:t>
      </w:r>
      <w:r>
        <w:rPr>
          <w:rFonts w:hint="eastAsia" w:ascii="仿宋_GB2312" w:hAnsi="仿宋_GB2312" w:cs="仿宋_GB2312"/>
          <w:b/>
          <w:bCs/>
          <w:spacing w:val="20"/>
          <w:kern w:val="0"/>
          <w:szCs w:val="28"/>
        </w:rPr>
        <w:t>（摘要）</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支持方向和标准</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一)物流基础设施补短板项目。重点支持已纳入年度建设名单的国家物流枢纽、国家骨干冷链物流基地内的公共性、基础性设施补短板项目，包括多式联运转运设施项目，高标准公共仓储设施新建、改扩建及智能化改造项目，保税仓储设施项目，公共物流信息平台和信息化提升项目等。</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(二)冷链物流设施项目。重点支持服务于肉类屠宰加工及流通的冷链物流设施项目(不含屠宰加工线等生产设施)，公共冷库新建、改扩建、智能化改造及相关配套设施项目。</w:t>
      </w:r>
    </w:p>
    <w:p>
      <w:pPr>
        <w:spacing w:line="560" w:lineRule="exact"/>
        <w:ind w:firstLine="560" w:firstLineChars="200"/>
        <w:rPr>
          <w:rFonts w:ascii="仿宋_GB2312" w:hAnsi="仿宋_GB2312" w:cs="仿宋_GB2312" w:eastAsiaTheme="minorEastAsia"/>
          <w:szCs w:val="28"/>
        </w:rPr>
      </w:pPr>
      <w:r>
        <w:rPr>
          <w:rFonts w:hint="eastAsia" w:ascii="仿宋_GB2312" w:hAnsi="仿宋_GB2312" w:cs="仿宋_GB2312"/>
          <w:szCs w:val="28"/>
        </w:rPr>
        <w:t>(三)按照党中央、国务院决策部署，需要支持的其他物流基础设施项目。</w:t>
      </w:r>
      <w:bookmarkStart w:id="62" w:name="_Toc31350"/>
      <w:bookmarkStart w:id="63" w:name="_Toc11920"/>
      <w:bookmarkStart w:id="64" w:name="_Toc21422"/>
      <w:bookmarkStart w:id="65" w:name="_Toc21459"/>
      <w:bookmarkStart w:id="66" w:name="_Toc24319"/>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ind w:firstLine="560" w:firstLineChars="200"/>
        <w:rPr>
          <w:rFonts w:eastAsiaTheme="minorEastAsia"/>
        </w:rPr>
      </w:pPr>
    </w:p>
    <w:p>
      <w:pPr>
        <w:spacing w:line="560" w:lineRule="exact"/>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七、绿色新能源及高新科技综合利用适用政策</w:t>
      </w:r>
      <w:bookmarkEnd w:id="62"/>
      <w:bookmarkEnd w:id="63"/>
      <w:bookmarkEnd w:id="64"/>
      <w:bookmarkEnd w:id="65"/>
      <w:bookmarkEnd w:id="66"/>
      <w:bookmarkStart w:id="67" w:name="_Toc28811"/>
      <w:bookmarkStart w:id="68" w:name="_Toc8061"/>
      <w:bookmarkStart w:id="69" w:name="_Toc16369"/>
      <w:bookmarkStart w:id="70" w:name="_Toc18616"/>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（一）自治区级适用政策</w:t>
      </w:r>
      <w:bookmarkEnd w:id="67"/>
      <w:bookmarkEnd w:id="68"/>
      <w:bookmarkEnd w:id="69"/>
      <w:bookmarkEnd w:id="70"/>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rPr>
        <w:t>《内蒙古自治区重点产业发展资金支持战略性新兴</w:t>
      </w:r>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rPr>
        <w:t>产业发展项目和资金管理办法》（摘要）</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 xml:space="preserve">支持领域和方式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专项资金使用按照实施意见和发展规划确定的战略性新兴产业重点领域 ,以区域特色产业链培育、战略性新兴产业基地建设和创新体系建设、新技术应用为重点,逐年逐步落实投资重点,分步分类推进实施。重点支持以下建设项目: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(一 )提升战略性新兴产业整体竞争力的特色产业链和产业基地建设项目;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(二 )增强自主创新和成果转化能力的创新平台建设项目;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(三 )具有较强示范带动作用的重大科技成果产业化项目;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(四 )“ 互联网+”、大数据、云计算、物联网、智慧城市、 数字创意、电子政务等新一代信息技术应用与服务项目;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(五 )以建设泛在高效的信息网络为目标的信息基础设施项目;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(六 )新兴产业创投计划(参股新兴产业创投基金)项 目;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(七 )其他战略性新兴产业发展项目。</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根据项目类别和属性 ,专项资金分别采取直接投资、投资补助和参股创投基金等方式,支持战略性新兴产业重点项目建设,引导战略性新兴产业发展。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(一)直接投资方式。对自治区各级政府行政事业单位承担的电子政务、大数据等信息化项目,重点园区建设具有公益性质的公共技术创新平台项目,双创示范基地公共服务平台项目,采取直接投资的方式。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(二)投资补助方式。对适用直接方式以外的其它项 目采取投资补助方式。投资补助采取定比例支持、分档支持、定额支持三种方式,其中,定比例支持是指按照项目总投资的一定比例明确定补助资金的方式。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(三)参股创投基金。根据国家和自治区相关要求,对符合条件发起设立的新兴产业创投基金,安排参股资金。</w:t>
      </w:r>
    </w:p>
    <w:p>
      <w:pPr>
        <w:spacing w:line="560" w:lineRule="exact"/>
        <w:jc w:val="center"/>
        <w:rPr>
          <w:rFonts w:ascii="仿宋_GB2312" w:hAnsi="仿宋_GB2312" w:cs="仿宋_GB2312"/>
          <w:szCs w:val="28"/>
        </w:rPr>
      </w:pPr>
      <w:r>
        <w:rPr>
          <w:rFonts w:hint="eastAsia" w:ascii="仿宋_GB2312" w:hAnsi="仿宋_GB2312" w:cs="仿宋_GB2312"/>
          <w:b/>
          <w:bCs/>
          <w:szCs w:val="28"/>
        </w:rPr>
        <w:t>《内蒙古自治区发展和改革委员会财政厅关于做好2020 年自治区重点产业发展资金支持战略性新兴产业发展金项目申报工作的通知》（摘要）</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投资领域和重点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 xml:space="preserve">1.特色产业集群、科技成果产业化项目。根据各地区产业特色和基础，围绕新材料、生物医药、“互联网+”、大数据等新一代信息技术应用与服务、节能环保等新兴产业，扶持一批促进产业链延伸升级和科技成果产业化的示范项目建设。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2.创新能力建设项目。围绕特色产业集群，加强创新链建设，重点扶持一批依托已获自治区认定、经评价合格且未获得财政资金扶持的自治区工程研究中心和工程实验室建设的项目，提升特色产业链科技支撑能力。</w:t>
      </w:r>
      <w:bookmarkStart w:id="71" w:name="_Toc12889"/>
      <w:bookmarkStart w:id="72" w:name="_Toc11856"/>
      <w:bookmarkStart w:id="73" w:name="_Toc10894"/>
      <w:bookmarkStart w:id="74" w:name="_Toc23701"/>
      <w:bookmarkStart w:id="75" w:name="_Toc720"/>
      <w:bookmarkStart w:id="76" w:name="_Toc24475"/>
    </w:p>
    <w:p>
      <w:pPr>
        <w:pStyle w:val="2"/>
        <w:spacing w:line="560" w:lineRule="exact"/>
        <w:ind w:left="560" w:firstLine="516"/>
        <w:rPr>
          <w:rFonts w:ascii="仿宋_GB2312" w:hAnsi="仿宋_GB2312" w:cs="仿宋_GB2312"/>
          <w:sz w:val="28"/>
          <w:szCs w:val="28"/>
        </w:rPr>
      </w:pPr>
    </w:p>
    <w:p>
      <w:pPr>
        <w:spacing w:line="560" w:lineRule="exact"/>
        <w:rPr>
          <w:rFonts w:ascii="仿宋_GB2312" w:hAnsi="仿宋_GB2312" w:cs="仿宋_GB2312"/>
          <w:szCs w:val="28"/>
        </w:rPr>
      </w:pPr>
    </w:p>
    <w:p>
      <w:pPr>
        <w:pStyle w:val="2"/>
        <w:spacing w:line="560" w:lineRule="exact"/>
        <w:ind w:left="560"/>
      </w:pPr>
    </w:p>
    <w:p>
      <w:pPr>
        <w:pStyle w:val="4"/>
        <w:spacing w:line="560" w:lineRule="exact"/>
        <w:jc w:val="center"/>
      </w:pPr>
      <w:r>
        <w:rPr>
          <w:rFonts w:hint="eastAsia"/>
        </w:rPr>
        <w:t>八、中医药产业开发及康养医院</w:t>
      </w:r>
      <w:bookmarkEnd w:id="71"/>
      <w:r>
        <w:rPr>
          <w:rFonts w:hint="eastAsia"/>
        </w:rPr>
        <w:t>适用政策</w:t>
      </w:r>
      <w:bookmarkEnd w:id="72"/>
      <w:bookmarkEnd w:id="73"/>
      <w:bookmarkEnd w:id="74"/>
      <w:bookmarkEnd w:id="75"/>
      <w:bookmarkEnd w:id="76"/>
      <w:bookmarkStart w:id="77" w:name="_Toc1908"/>
      <w:bookmarkStart w:id="78" w:name="_Toc32128"/>
      <w:bookmarkStart w:id="79" w:name="_Toc15837"/>
      <w:bookmarkStart w:id="80" w:name="_Toc15462"/>
      <w:bookmarkStart w:id="81" w:name="_Toc23263"/>
    </w:p>
    <w:bookmarkEnd w:id="77"/>
    <w:p>
      <w:pPr>
        <w:pStyle w:val="5"/>
        <w:spacing w:line="560" w:lineRule="exact"/>
        <w:ind w:firstLine="562"/>
        <w:rPr>
          <w:rFonts w:ascii="仿宋_GB2312" w:hAnsi="仿宋_GB2312" w:eastAsia="仿宋_GB2312" w:cs="仿宋_GB2312"/>
          <w:sz w:val="28"/>
          <w:szCs w:val="28"/>
        </w:rPr>
      </w:pPr>
      <w:bookmarkStart w:id="82" w:name="_Toc23729"/>
      <w:r>
        <w:rPr>
          <w:rFonts w:hint="eastAsia" w:ascii="仿宋_GB2312" w:hAnsi="仿宋_GB2312" w:eastAsia="仿宋_GB2312" w:cs="仿宋_GB2312"/>
          <w:sz w:val="28"/>
          <w:szCs w:val="28"/>
        </w:rPr>
        <w:t>（一）国家级适用政策</w:t>
      </w:r>
      <w:bookmarkEnd w:id="78"/>
      <w:bookmarkEnd w:id="79"/>
      <w:bookmarkEnd w:id="80"/>
      <w:bookmarkEnd w:id="82"/>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lang w:eastAsia="zh-CN"/>
        </w:rPr>
        <w:t>《</w:t>
      </w:r>
      <w:r>
        <w:rPr>
          <w:rFonts w:hint="eastAsia" w:ascii="仿宋_GB2312" w:hAnsi="仿宋_GB2312" w:cs="仿宋_GB2312"/>
          <w:b/>
          <w:bCs/>
          <w:szCs w:val="28"/>
        </w:rPr>
        <w:t>国务院关于加快发展养老服务业的若干意见</w:t>
      </w:r>
      <w:r>
        <w:rPr>
          <w:rFonts w:hint="eastAsia" w:ascii="仿宋_GB2312" w:hAnsi="仿宋_GB2312" w:cs="仿宋_GB2312"/>
          <w:b/>
          <w:bCs/>
          <w:szCs w:val="28"/>
          <w:lang w:eastAsia="zh-CN"/>
        </w:rPr>
        <w:t>》</w:t>
      </w:r>
      <w:bookmarkEnd w:id="81"/>
    </w:p>
    <w:p>
      <w:pPr>
        <w:spacing w:line="560" w:lineRule="exact"/>
        <w:jc w:val="center"/>
        <w:rPr>
          <w:rFonts w:ascii="仿宋_GB2312" w:hAnsi="仿宋_GB2312" w:cs="仿宋_GB2312"/>
          <w:szCs w:val="28"/>
        </w:rPr>
      </w:pPr>
      <w:r>
        <w:rPr>
          <w:rFonts w:hint="eastAsia" w:ascii="仿宋_GB2312" w:hAnsi="仿宋_GB2312" w:cs="仿宋_GB2312"/>
          <w:szCs w:val="28"/>
          <w:lang w:eastAsia="zh-CN"/>
        </w:rPr>
        <w:t>（</w:t>
      </w:r>
      <w:r>
        <w:rPr>
          <w:rFonts w:hint="eastAsia" w:ascii="仿宋_GB2312" w:hAnsi="仿宋_GB2312" w:cs="仿宋_GB2312"/>
          <w:szCs w:val="28"/>
        </w:rPr>
        <w:t>国发〔2013〕35号</w:t>
      </w:r>
      <w:r>
        <w:rPr>
          <w:rFonts w:hint="eastAsia" w:ascii="仿宋_GB2312" w:hAnsi="仿宋_GB2312" w:cs="仿宋_GB2312"/>
          <w:szCs w:val="28"/>
          <w:lang w:eastAsia="zh-CN"/>
        </w:rPr>
        <w:t>）</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民间资本举办的非营利性养老机构与政府举办的养老机构享有相同的土地使用政策，可以依法使用国有划拨土地或者农民集体所有的土地。对营利性养老机构建设用地，按照国家对经营性用地依法办理有偿用地手续的规定，优先保障供应对养老机构提供的养护服务免征营业税，对非营利性养老机构自用房产、土地免征房产税、城镇土地使用税，对符合条件的非营利性养老机构按规定免征企业所得税。对企事业单位、社会团体和个人向非营利性养老机构的捐赠，符合相关规定的，准予在计算其应纳税所得额时按税法规定比例扣除。各地对非营利性养老机构建设要免征有关行政事业性收费，对营利性养老机构建设要减半征收有关行政事业性收费，对养老机构提供养老服务也要适当减免行政事业性收费，养老机构用电、用水、用气、用热按居民生活类价格执行。民政部本级彩票公益金和地方各级政府用于社会福利事业的彩票公益金，要将50%以上资金用于支持发展养老服务业，并随老年人口的增加逐步提</w:t>
      </w:r>
      <w:bookmarkStart w:id="83" w:name="_Toc15805"/>
      <w:r>
        <w:rPr>
          <w:rFonts w:hint="eastAsia" w:ascii="仿宋_GB2312" w:hAnsi="仿宋_GB2312" w:cs="仿宋_GB2312"/>
          <w:szCs w:val="28"/>
        </w:rPr>
        <w:t>高。</w:t>
      </w:r>
      <w:bookmarkStart w:id="84" w:name="_Toc6989"/>
    </w:p>
    <w:p>
      <w:pPr>
        <w:spacing w:line="560" w:lineRule="exact"/>
        <w:ind w:firstLine="281" w:firstLineChars="100"/>
        <w:jc w:val="center"/>
        <w:rPr>
          <w:rFonts w:ascii="仿宋_GB2312" w:hAnsi="仿宋_GB2312" w:cs="仿宋_GB2312"/>
          <w:b/>
          <w:bCs/>
          <w:szCs w:val="28"/>
        </w:rPr>
      </w:pPr>
      <w:r>
        <w:rPr>
          <w:rFonts w:hint="eastAsia" w:ascii="仿宋_GB2312" w:hAnsi="仿宋_GB2312" w:cs="仿宋_GB2312"/>
          <w:b/>
          <w:bCs/>
          <w:szCs w:val="28"/>
          <w:lang w:eastAsia="zh-CN"/>
        </w:rPr>
        <w:t>《</w:t>
      </w:r>
      <w:r>
        <w:rPr>
          <w:rFonts w:hint="eastAsia" w:ascii="仿宋_GB2312" w:hAnsi="仿宋_GB2312" w:cs="仿宋_GB2312"/>
          <w:b/>
          <w:bCs/>
          <w:szCs w:val="28"/>
        </w:rPr>
        <w:t>关于做好医养结合服务机构许可工作的通知</w:t>
      </w:r>
      <w:r>
        <w:rPr>
          <w:rFonts w:hint="eastAsia" w:ascii="仿宋_GB2312" w:hAnsi="仿宋_GB2312" w:cs="仿宋_GB2312"/>
          <w:b/>
          <w:bCs/>
          <w:szCs w:val="28"/>
          <w:lang w:eastAsia="zh-CN"/>
        </w:rPr>
        <w:t>》</w:t>
      </w:r>
    </w:p>
    <w:p>
      <w:pPr>
        <w:spacing w:line="560" w:lineRule="exact"/>
        <w:jc w:val="center"/>
        <w:rPr>
          <w:rFonts w:ascii="仿宋_GB2312" w:hAnsi="仿宋_GB2312" w:cs="仿宋_GB2312"/>
          <w:szCs w:val="28"/>
        </w:rPr>
      </w:pPr>
      <w:r>
        <w:rPr>
          <w:rFonts w:hint="eastAsia" w:ascii="仿宋_GB2312" w:hAnsi="仿宋_GB2312" w:cs="仿宋_GB2312"/>
          <w:szCs w:val="28"/>
          <w:lang w:eastAsia="zh-CN"/>
        </w:rPr>
        <w:t>（</w:t>
      </w:r>
      <w:r>
        <w:rPr>
          <w:rFonts w:hint="eastAsia" w:ascii="仿宋_GB2312" w:hAnsi="仿宋_GB2312" w:cs="仿宋_GB2312"/>
          <w:szCs w:val="28"/>
        </w:rPr>
        <w:t>民发〔2016〕52号</w:t>
      </w:r>
      <w:r>
        <w:rPr>
          <w:rFonts w:hint="eastAsia" w:ascii="仿宋_GB2312" w:hAnsi="仿宋_GB2312" w:cs="仿宋_GB2312"/>
          <w:szCs w:val="28"/>
          <w:lang w:eastAsia="zh-CN"/>
        </w:rPr>
        <w:t>）</w:t>
      </w:r>
      <w:bookmarkEnd w:id="83"/>
      <w:bookmarkEnd w:id="84"/>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一、申办人拟举办医养结合服务机构的，民政、卫生计生部门应当在接到申请后，按照首接责任制原则，及时根据各自职责办理审批。（此项工作按审批权限进行）</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医疗机构面向老年人开展集中居住和照料服务的，应当按照《养老机构设立许可办法》规定，申请养老机构设立许可，民政部门予以优先受理。符合设立条件的，自受理设立申请后10个工作日内颁发养老机构设立许可证。对于无内设养老机构，但具有养老服务需求的医疗机构，民政部门应当指导其与养老机构建立协作机制，开展一体化的健康和养老服务。基层医疗机构和二级医院内设养老机构符合条件的，享受养老机构相关建设补贴、运营补贴和其他政策扶持。</w:t>
      </w:r>
    </w:p>
    <w:p>
      <w:pPr>
        <w:spacing w:line="560" w:lineRule="exact"/>
        <w:ind w:firstLine="560" w:firstLineChars="200"/>
        <w:rPr>
          <w:rFonts w:hint="eastAsia" w:ascii="仿宋_GB2312" w:hAnsi="仿宋_GB2312" w:cs="仿宋_GB2312" w:eastAsiaTheme="minorEastAsia"/>
          <w:szCs w:val="28"/>
        </w:rPr>
      </w:pPr>
      <w:r>
        <w:rPr>
          <w:rFonts w:hint="eastAsia" w:ascii="仿宋_GB2312" w:hAnsi="仿宋_GB2312" w:cs="仿宋_GB2312"/>
          <w:szCs w:val="28"/>
        </w:rPr>
        <w:t>三、卫生计生部门应当将养老机构设立老年病医院等优先予以审核审批，卫生计生部门应当在受理设置申请后10个工作日内给予是否同意设置的批复。对于不具备条件设置医疗机构的养老机构，卫生计生部门应当指导其与周边医疗机构签订合作协议，建立绿色通道，优先提供巡诊义诊、接诊转诊、康复指导、远程医疗等服务，或者托管其内设医务室，选派医护人员开展医疗服务。</w:t>
      </w:r>
      <w:bookmarkStart w:id="85" w:name="_Toc6998"/>
      <w:bookmarkStart w:id="86" w:name="_Toc5736"/>
      <w:bookmarkStart w:id="87" w:name="_Toc21887"/>
      <w:bookmarkStart w:id="88" w:name="_Toc4173"/>
      <w:bookmarkStart w:id="89" w:name="_Toc28549"/>
      <w:bookmarkStart w:id="90" w:name="_Toc3395"/>
    </w:p>
    <w:p>
      <w:pPr>
        <w:spacing w:line="560" w:lineRule="exact"/>
        <w:jc w:val="center"/>
        <w:rPr>
          <w:rFonts w:ascii="仿宋_GB2312" w:hAnsi="仿宋_GB2312" w:cs="仿宋_GB2312"/>
          <w:b/>
          <w:bCs/>
          <w:szCs w:val="28"/>
        </w:rPr>
      </w:pPr>
      <w:r>
        <w:rPr>
          <w:rFonts w:hint="eastAsia" w:ascii="仿宋_GB2312" w:hAnsi="仿宋_GB2312" w:cs="仿宋_GB2312"/>
          <w:b/>
          <w:bCs/>
          <w:szCs w:val="28"/>
          <w:lang w:eastAsia="zh-CN"/>
        </w:rPr>
        <w:t>《</w:t>
      </w:r>
      <w:r>
        <w:rPr>
          <w:rFonts w:hint="eastAsia" w:ascii="仿宋_GB2312" w:hAnsi="仿宋_GB2312" w:cs="仿宋_GB2312"/>
          <w:b/>
          <w:bCs/>
          <w:szCs w:val="28"/>
        </w:rPr>
        <w:t>国家药监局关于促进中药传承创新发展的实施意见</w:t>
      </w:r>
      <w:r>
        <w:rPr>
          <w:rFonts w:hint="eastAsia" w:ascii="仿宋_GB2312" w:hAnsi="仿宋_GB2312" w:cs="仿宋_GB2312"/>
          <w:b/>
          <w:bCs/>
          <w:szCs w:val="28"/>
          <w:lang w:eastAsia="zh-CN"/>
        </w:rPr>
        <w:t>》</w:t>
      </w:r>
      <w:bookmarkEnd w:id="85"/>
      <w:bookmarkEnd w:id="86"/>
    </w:p>
    <w:bookmarkEnd w:id="87"/>
    <w:bookmarkEnd w:id="88"/>
    <w:bookmarkEnd w:id="89"/>
    <w:bookmarkEnd w:id="90"/>
    <w:p>
      <w:pPr>
        <w:spacing w:line="560" w:lineRule="exact"/>
        <w:jc w:val="center"/>
        <w:rPr>
          <w:rFonts w:hint="eastAsia" w:ascii="仿宋_GB2312" w:hAnsi="仿宋_GB2312" w:eastAsia="仿宋_GB2312" w:cs="仿宋_GB2312"/>
          <w:szCs w:val="28"/>
          <w:lang w:eastAsia="zh-CN"/>
        </w:rPr>
      </w:pPr>
      <w:r>
        <w:rPr>
          <w:rFonts w:hint="eastAsia" w:ascii="仿宋_GB2312" w:hAnsi="仿宋_GB2312" w:cs="仿宋_GB2312"/>
          <w:szCs w:val="28"/>
          <w:lang w:eastAsia="zh-CN"/>
        </w:rPr>
        <w:t>（</w:t>
      </w:r>
      <w:r>
        <w:rPr>
          <w:rFonts w:hint="eastAsia" w:ascii="仿宋_GB2312" w:hAnsi="仿宋_GB2312" w:cs="仿宋_GB2312"/>
          <w:szCs w:val="28"/>
        </w:rPr>
        <w:t>国药监药注〔2020〕27号</w:t>
      </w:r>
      <w:r>
        <w:rPr>
          <w:rFonts w:hint="eastAsia" w:ascii="仿宋_GB2312" w:hAnsi="仿宋_GB2312" w:cs="仿宋_GB2312"/>
          <w:szCs w:val="28"/>
          <w:lang w:eastAsia="zh-CN"/>
        </w:rPr>
        <w:t>）</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一、建立与古代经典名方中药复方制剂特点相适应的审评模式，成立古代经典名方中药复方制剂专家审评委员会，实施简化审批。</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对临床定位清晰且具有明显临床价值，用于重大疾病、罕见病防治、临床急需而市场短缺、或属于儿童用药的中药新药申请实行优先审评审批。对治疗严重危及生命且尚无有效治疗手段的疾病以及国务院卫生健康或中医药主管部门认定为急需的中药，药物临床试验已有数据或高质量中药人用经验证据显示疗效并能预测其临床价值的，可以附条件批准。对突发重大公共卫生事件中应急所需的已上市中药增加功能主治实施特别审批。</w:t>
      </w:r>
    </w:p>
    <w:p>
      <w:pPr>
        <w:spacing w:line="560" w:lineRule="exact"/>
        <w:ind w:firstLine="560" w:firstLineChars="200"/>
        <w:rPr>
          <w:rFonts w:ascii="仿宋_GB2312" w:hAnsi="仿宋_GB2312" w:cs="仿宋_GB2312" w:eastAsiaTheme="minorEastAsia"/>
          <w:szCs w:val="28"/>
        </w:rPr>
      </w:pPr>
      <w:r>
        <w:rPr>
          <w:rFonts w:hint="eastAsia" w:ascii="仿宋_GB2312" w:hAnsi="仿宋_GB2312" w:cs="仿宋_GB2312"/>
          <w:szCs w:val="28"/>
        </w:rPr>
        <w:t>三、加强对中药材交易市场的监管，严厉打击无证销售中药饮片行为，持续净化市场秩序。</w:t>
      </w:r>
      <w:bookmarkStart w:id="91" w:name="_Toc11461"/>
      <w:bookmarkStart w:id="92" w:name="_Toc10846"/>
      <w:bookmarkStart w:id="93" w:name="_Toc1439"/>
      <w:bookmarkStart w:id="94" w:name="_Toc15019"/>
    </w:p>
    <w:p>
      <w:pPr>
        <w:spacing w:line="560" w:lineRule="exact"/>
        <w:ind w:firstLine="562" w:firstLineChars="200"/>
      </w:pPr>
      <w:r>
        <w:rPr>
          <w:rFonts w:hint="eastAsia"/>
          <w:b/>
          <w:szCs w:val="28"/>
        </w:rPr>
        <w:t>（二）自治区级适用政策</w:t>
      </w:r>
      <w:bookmarkEnd w:id="91"/>
      <w:bookmarkEnd w:id="92"/>
      <w:bookmarkEnd w:id="93"/>
      <w:bookmarkEnd w:id="94"/>
      <w:bookmarkStart w:id="95" w:name="_Toc31561"/>
      <w:bookmarkStart w:id="96" w:name="_Toc28593"/>
      <w:bookmarkStart w:id="97" w:name="_Toc10497"/>
      <w:bookmarkStart w:id="98" w:name="_Toc11062"/>
      <w:bookmarkStart w:id="99" w:name="_Toc19594"/>
      <w:bookmarkStart w:id="100" w:name="_Toc1128"/>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lang w:eastAsia="zh-CN"/>
        </w:rPr>
        <w:t>《</w:t>
      </w:r>
      <w:r>
        <w:rPr>
          <w:rFonts w:hint="eastAsia" w:ascii="仿宋_GB2312" w:hAnsi="仿宋_GB2312" w:cs="仿宋_GB2312"/>
          <w:b/>
          <w:bCs/>
          <w:szCs w:val="28"/>
        </w:rPr>
        <w:t>关于促进中医药（蒙医药）特色发展若干政策措施的通知</w:t>
      </w:r>
      <w:r>
        <w:rPr>
          <w:rFonts w:hint="eastAsia" w:ascii="仿宋_GB2312" w:hAnsi="仿宋_GB2312" w:cs="仿宋_GB2312"/>
          <w:b/>
          <w:bCs/>
          <w:szCs w:val="28"/>
          <w:lang w:eastAsia="zh-CN"/>
        </w:rPr>
        <w:t>》</w:t>
      </w:r>
      <w:bookmarkEnd w:id="95"/>
      <w:bookmarkEnd w:id="96"/>
      <w:bookmarkEnd w:id="97"/>
      <w:bookmarkEnd w:id="98"/>
      <w:bookmarkEnd w:id="99"/>
      <w:bookmarkEnd w:id="100"/>
    </w:p>
    <w:p>
      <w:pPr>
        <w:spacing w:line="560" w:lineRule="exact"/>
        <w:ind w:firstLine="560" w:firstLineChars="200"/>
        <w:jc w:val="center"/>
        <w:rPr>
          <w:rFonts w:ascii="仿宋_GB2312" w:hAnsi="仿宋_GB2312" w:cs="仿宋_GB2312"/>
          <w:szCs w:val="28"/>
        </w:rPr>
      </w:pPr>
      <w:r>
        <w:rPr>
          <w:rFonts w:hint="eastAsia" w:ascii="仿宋_GB2312" w:hAnsi="仿宋_GB2312" w:cs="仿宋_GB2312"/>
          <w:szCs w:val="28"/>
        </w:rPr>
        <w:t>（内政办发〔2022〕2号）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一、加快推进中药（蒙药）审评审批制度改革。加快推进中药（蒙药）审评审批制度改革。</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二、鼓励国医大师、名老中医（蒙医）、岐黄学者等名医团队入驻中医（蒙医）医疗机构，设立名医堂。实行创业扶持、品牌保护、自主执业、自主运营、自主培养、自负盈亏综合政策。</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三、深化社企合作，推动中药材（蒙药材）种植专业合作社和联合社发展。制定推进药材初加工业的政策措施，大力发展药材初加工产业，加强药材初加工项目的规划和实施。推动建设中药材（蒙药材）物流基地，培育初加工与仓储物流中心。</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四、在完成黄芪、甘草、防风等17项种植标准体系相关地方标准制定的基础上，将苦参、赤芍、桔梗等标准体系建设作为重点建设项目，在标准规划、标准制定、试点建设方面加大工作力度。</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五、为社会资本与中医药（蒙医药）产业对接搭建平台，助力产业融资发展。</w:t>
      </w:r>
    </w:p>
    <w:p>
      <w:pPr>
        <w:spacing w:line="560" w:lineRule="exact"/>
        <w:ind w:firstLine="560" w:firstLineChars="200"/>
        <w:rPr>
          <w:rFonts w:hint="eastAsia" w:ascii="仿宋_GB2312" w:hAnsi="仿宋_GB2312" w:cs="仿宋_GB2312"/>
          <w:szCs w:val="28"/>
        </w:rPr>
      </w:pPr>
      <w:r>
        <w:rPr>
          <w:rFonts w:hint="eastAsia" w:ascii="仿宋_GB2312" w:hAnsi="仿宋_GB2312" w:cs="仿宋_GB2312"/>
          <w:szCs w:val="28"/>
        </w:rPr>
        <w:t>六、医疗机构炮制使用的中药（蒙药）饮片、制剂实行自主定价，符合条件的按规定纳入医保支付范围。</w:t>
      </w:r>
    </w:p>
    <w:p>
      <w:pPr>
        <w:spacing w:line="560" w:lineRule="exact"/>
        <w:ind w:firstLine="560" w:firstLineChars="200"/>
        <w:rPr>
          <w:rFonts w:ascii="仿宋_GB2312" w:hAnsi="仿宋_GB2312" w:cs="仿宋_GB2312" w:eastAsiaTheme="minorEastAsia"/>
          <w:szCs w:val="28"/>
        </w:rPr>
      </w:pPr>
      <w:r>
        <w:rPr>
          <w:rFonts w:hint="eastAsia" w:ascii="仿宋_GB2312" w:hAnsi="仿宋_GB2312" w:cs="仿宋_GB2312"/>
          <w:szCs w:val="28"/>
        </w:rPr>
        <w:t>七、允许公立中医（蒙医）医疗机构在政策范围内自主设立国际医疗部，自主决定国际医疗的价格，项目应在自治区公布实施的特需医疗服务项目范围之内，服务量的比例不得超过全部医疗服务的10%，收支结余主要用于改善职工待遇、加强专科建设和医院建设发展。对特需医疗服务项目价格实行市场调节价，不纳入基本医疗保险支付范围。</w:t>
      </w:r>
      <w:bookmarkStart w:id="101" w:name="_Toc12913"/>
      <w:bookmarkStart w:id="102" w:name="_Toc25248"/>
      <w:bookmarkStart w:id="103" w:name="_Toc207"/>
      <w:bookmarkStart w:id="104" w:name="_Toc22036"/>
      <w:bookmarkStart w:id="105" w:name="_Toc26045"/>
      <w:bookmarkStart w:id="106" w:name="_Toc13070"/>
      <w:bookmarkStart w:id="107" w:name="_Toc5227"/>
      <w:bookmarkStart w:id="108" w:name="_Toc10681"/>
      <w:bookmarkStart w:id="109" w:name="_Toc24463"/>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ind w:firstLine="643" w:firstLineChars="200"/>
        <w:rPr>
          <w:rFonts w:hint="eastAsia" w:ascii="黑体" w:hAnsi="黑体" w:cs="黑体"/>
          <w:b/>
          <w:bCs/>
          <w:sz w:val="32"/>
          <w:szCs w:val="32"/>
        </w:rPr>
      </w:pPr>
    </w:p>
    <w:p>
      <w:pPr>
        <w:spacing w:line="560" w:lineRule="exact"/>
        <w:jc w:val="center"/>
        <w:rPr>
          <w:rFonts w:hint="eastAsia" w:ascii="仿宋_GB2312" w:hAnsi="仿宋_GB2312" w:cs="仿宋_GB2312"/>
          <w:b/>
          <w:bCs/>
          <w:szCs w:val="28"/>
        </w:rPr>
      </w:pPr>
      <w:r>
        <w:rPr>
          <w:rFonts w:hint="eastAsia" w:ascii="黑体" w:hAnsi="黑体" w:eastAsia="黑体" w:cs="黑体"/>
          <w:b w:val="0"/>
          <w:bCs w:val="0"/>
          <w:sz w:val="32"/>
          <w:szCs w:val="32"/>
        </w:rPr>
        <w:t>九、服务产业适用政策</w:t>
      </w:r>
      <w:bookmarkEnd w:id="101"/>
      <w:bookmarkEnd w:id="102"/>
      <w:bookmarkEnd w:id="103"/>
      <w:bookmarkEnd w:id="104"/>
      <w:bookmarkEnd w:id="105"/>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（一）国家级适用政策</w:t>
      </w:r>
      <w:bookmarkEnd w:id="106"/>
      <w:bookmarkEnd w:id="107"/>
      <w:bookmarkEnd w:id="108"/>
      <w:bookmarkEnd w:id="109"/>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rPr>
        <w:t>《文化和旅游部办公厅关于进一步加强政策宣传实</w:t>
      </w:r>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rPr>
        <w:t>支持文化和旅游企业发展的通知》</w:t>
      </w:r>
    </w:p>
    <w:p>
      <w:pPr>
        <w:spacing w:line="560" w:lineRule="exact"/>
        <w:ind w:firstLine="560" w:firstLineChars="200"/>
        <w:jc w:val="center"/>
        <w:rPr>
          <w:rFonts w:ascii="仿宋_GB2312" w:hAnsi="仿宋_GB2312" w:cs="仿宋_GB2312"/>
          <w:szCs w:val="28"/>
        </w:rPr>
      </w:pPr>
      <w:r>
        <w:rPr>
          <w:rFonts w:hint="eastAsia" w:ascii="仿宋_GB2312" w:hAnsi="仿宋_GB2312" w:cs="仿宋_GB2312"/>
          <w:szCs w:val="28"/>
        </w:rPr>
        <w:t>（办产业发〔2021〕171号）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着力推动已有政策宣传落地。加强与本地区发展改革、财政、人力资源社会保障、金融、税务、市场监管等部门的对接合作，切实抓好普惠金融、减税降费、稳岗就业等政策在文化和旅游领域的落实工作。</w:t>
      </w:r>
    </w:p>
    <w:p>
      <w:pPr>
        <w:spacing w:line="560" w:lineRule="exact"/>
        <w:ind w:firstLine="560" w:firstLineChars="200"/>
        <w:rPr>
          <w:rFonts w:hint="eastAsia" w:eastAsiaTheme="minorEastAsia"/>
        </w:rPr>
      </w:pPr>
      <w:r>
        <w:rPr>
          <w:rFonts w:hint="eastAsia" w:ascii="仿宋_GB2312" w:hAnsi="仿宋_GB2312" w:cs="仿宋_GB2312"/>
          <w:szCs w:val="28"/>
        </w:rPr>
        <w:t>增强落实措施的针对性。结合本地区实际进一步研究出台有针对性的支持措施，综合运用各类财政奖补、金融帮扶、项目投资等政策工具支持文化和旅游企业发展，鼓励有条件的地区设立文化和旅游企业纾困基金。四、支持企业创新发展。鼓励文化和旅游企业“上线”“上云”，与社交电商、网络直播、短视频等在线新经济结合，开展内容创作、产品展示、传播消费等环节合作，培育壮大文化和旅游消费新产品、新业态、新模式。支持文化和旅游企业发展线上演播、沉浸式体验、交互体验等新型业态。鼓励旅游企业充分挖掘本地游、周边游市场潜力，开发一批高品质的微旅游、微度假、小团游等创新产品和服务。进一步优化营商环境，深化“放管服”改革，适应文化和旅游新业态、新模式的发展需要，创新监管机制、优化服务方式，激发市场主体活力。</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《国务院办公厅关于促进全域旅游发展的指导意见》</w:t>
      </w:r>
    </w:p>
    <w:p>
      <w:pPr>
        <w:spacing w:line="560" w:lineRule="exact"/>
        <w:jc w:val="center"/>
        <w:rPr>
          <w:rFonts w:ascii="仿宋_GB2312" w:hAnsi="仿宋_GB2312" w:cs="仿宋_GB2312"/>
          <w:szCs w:val="28"/>
        </w:rPr>
      </w:pPr>
      <w:r>
        <w:rPr>
          <w:rFonts w:hint="eastAsia" w:ascii="仿宋_GB2312" w:hAnsi="仿宋_GB2312" w:cs="仿宋_GB2312"/>
          <w:szCs w:val="28"/>
        </w:rPr>
        <w:t>（国办发〔2018〕15号）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强化政策支持，认真组织实施（三十七）加大财政金融支持力度。通过现有资金渠道，加大旅游基础设施和公共服务设施建设投入力度，鼓励地方统筹相关资金支持全域旅游发展。创新旅游投融资机制，鼓励有条件的地方设立旅游产业促进基金并实行市场化运作，充分依托已有平台促进旅游资源资产交易，促进旅游资源市场化配置，加强监管、防范风险，积极引导私募股权、创业投资基金等投资各类旅游项目。（三十八）强化旅游用地用海保障。将旅游发展所需用地纳入土地利用总体规划、城乡规划统筹安排，年度土地利用计划适当向旅游领域倾斜，适度扩大旅游产业用地供给，优先保障旅游重点项目和乡村旅游扶贫项目用地。鼓励通过开展城乡建设用地增减挂钩和工矿废弃地复垦利用试点的方式建设旅游项目。农村集体经济组织可依法使用建设用地自办或以土地使用权入股、联营等方式开办旅游企业。城乡居民可以利用自有住宅依法从事民宿等旅游经营。在不改变用地主体、规划条件的前提下，市场主体利用旧厂房、仓库提供符合全域旅游发展需要的旅游休闲服务的，可执行在五年内继续按原用途和土地权利类型使用土地的过渡期政策。</w:t>
      </w:r>
      <w:bookmarkStart w:id="110" w:name="_Toc31667"/>
      <w:bookmarkStart w:id="111" w:name="_Toc31654"/>
      <w:bookmarkStart w:id="112" w:name="_Toc17692"/>
      <w:bookmarkStart w:id="113" w:name="_Toc22195"/>
    </w:p>
    <w:bookmarkEnd w:id="110"/>
    <w:bookmarkEnd w:id="111"/>
    <w:bookmarkEnd w:id="112"/>
    <w:bookmarkEnd w:id="113"/>
    <w:p>
      <w:pPr>
        <w:pStyle w:val="5"/>
        <w:keepNext/>
        <w:keepLines/>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ascii="仿宋_GB2312" w:hAnsi="仿宋_GB2312" w:eastAsia="仿宋_GB2312" w:cs="仿宋_GB2312"/>
          <w:sz w:val="28"/>
          <w:szCs w:val="28"/>
        </w:rPr>
      </w:pPr>
      <w:bookmarkStart w:id="114" w:name="_Toc25483"/>
      <w:bookmarkStart w:id="115" w:name="_Toc27346"/>
      <w:bookmarkStart w:id="116" w:name="_Toc16365"/>
      <w:bookmarkStart w:id="117" w:name="_Toc9082"/>
      <w:bookmarkStart w:id="118" w:name="_Toc22128"/>
      <w:bookmarkStart w:id="119" w:name="_Toc29119"/>
      <w:bookmarkStart w:id="120" w:name="_Toc13945"/>
      <w:bookmarkStart w:id="121" w:name="_Toc8113"/>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市级适用政策</w:t>
      </w:r>
      <w:bookmarkEnd w:id="114"/>
      <w:bookmarkEnd w:id="115"/>
      <w:bookmarkEnd w:id="116"/>
      <w:bookmarkEnd w:id="117"/>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rPr>
        <w:t>《呼伦贝尔市人民政府关于印发《呼伦贝尔市推进</w:t>
      </w:r>
    </w:p>
    <w:p>
      <w:pPr>
        <w:spacing w:line="560" w:lineRule="exact"/>
        <w:ind w:firstLine="562" w:firstLineChars="200"/>
        <w:jc w:val="center"/>
        <w:rPr>
          <w:rFonts w:ascii="仿宋_GB2312" w:hAnsi="仿宋_GB2312" w:cs="仿宋_GB2312"/>
          <w:b/>
          <w:bCs/>
          <w:szCs w:val="28"/>
        </w:rPr>
      </w:pPr>
      <w:r>
        <w:rPr>
          <w:rFonts w:hint="eastAsia" w:ascii="仿宋_GB2312" w:hAnsi="仿宋_GB2312" w:cs="仿宋_GB2312"/>
          <w:b/>
          <w:bCs/>
          <w:szCs w:val="28"/>
        </w:rPr>
        <w:t>旅游休闲城市建设的实施方案》的通知》</w:t>
      </w:r>
    </w:p>
    <w:p>
      <w:pPr>
        <w:spacing w:line="560" w:lineRule="exact"/>
        <w:ind w:firstLine="560" w:firstLineChars="200"/>
        <w:jc w:val="center"/>
        <w:rPr>
          <w:rFonts w:ascii="仿宋_GB2312" w:hAnsi="仿宋_GB2312" w:cs="仿宋_GB2312"/>
          <w:szCs w:val="28"/>
        </w:rPr>
      </w:pPr>
      <w:r>
        <w:rPr>
          <w:rFonts w:hint="eastAsia" w:ascii="仿宋_GB2312" w:hAnsi="仿宋_GB2312" w:cs="仿宋_GB2312"/>
          <w:szCs w:val="28"/>
        </w:rPr>
        <w:t>（呼政字〔2021〕21号）</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相关条款：三、保障机制（三）强化保障，监督落实。各地各部门要在总体谋划、资源整合、完善基础、市场培育、项目储备、招商引资等方面狠下功夫，不断创新扶持政策，推动旅游休闲城市建设。</w:t>
      </w:r>
    </w:p>
    <w:p>
      <w:pPr>
        <w:pStyle w:val="2"/>
        <w:spacing w:line="560" w:lineRule="exact"/>
        <w:ind w:left="560"/>
        <w:rPr>
          <w:rFonts w:hint="eastAsia" w:eastAsiaTheme="minorEastAsia"/>
        </w:rPr>
      </w:pPr>
    </w:p>
    <w:p>
      <w:pPr>
        <w:pStyle w:val="2"/>
        <w:ind w:left="0" w:leftChars="0" w:firstLine="0" w:firstLineChars="0"/>
        <w:rPr>
          <w:rFonts w:hint="eastAsia"/>
        </w:rPr>
      </w:pPr>
    </w:p>
    <w:bookmarkEnd w:id="118"/>
    <w:bookmarkEnd w:id="119"/>
    <w:bookmarkEnd w:id="120"/>
    <w:bookmarkEnd w:id="121"/>
    <w:p>
      <w:pPr>
        <w:pStyle w:val="4"/>
        <w:spacing w:line="560" w:lineRule="exact"/>
        <w:jc w:val="center"/>
        <w:rPr>
          <w:rFonts w:ascii="仿宋_GB2312" w:hAnsi="仿宋_GB2312" w:eastAsia="仿宋_GB2312" w:cs="仿宋_GB2312"/>
          <w:sz w:val="28"/>
          <w:szCs w:val="28"/>
        </w:rPr>
      </w:pPr>
      <w:bookmarkStart w:id="122" w:name="_Toc2001"/>
      <w:bookmarkStart w:id="123" w:name="_Toc29702"/>
      <w:bookmarkStart w:id="124" w:name="_Toc22153"/>
      <w:bookmarkStart w:id="125" w:name="_Toc14040"/>
      <w:bookmarkStart w:id="126" w:name="_Toc13526"/>
      <w:bookmarkStart w:id="127" w:name="_Toc9815"/>
      <w:r>
        <w:rPr>
          <w:rFonts w:hint="eastAsia" w:ascii="黑体" w:hAnsi="黑体" w:cs="黑体"/>
          <w:szCs w:val="32"/>
        </w:rPr>
        <w:t>十、适用于劳动密集型企业政策</w:t>
      </w:r>
      <w:bookmarkEnd w:id="122"/>
      <w:bookmarkEnd w:id="123"/>
      <w:bookmarkEnd w:id="124"/>
      <w:bookmarkEnd w:id="125"/>
      <w:bookmarkEnd w:id="126"/>
      <w:bookmarkEnd w:id="127"/>
      <w:bookmarkStart w:id="128" w:name="_Toc5587"/>
      <w:bookmarkStart w:id="129" w:name="_Toc5438"/>
      <w:bookmarkStart w:id="130" w:name="_Toc30642"/>
      <w:bookmarkStart w:id="131" w:name="_Toc6188"/>
    </w:p>
    <w:p>
      <w:pPr>
        <w:pStyle w:val="5"/>
        <w:spacing w:line="560" w:lineRule="exact"/>
        <w:ind w:firstLine="562"/>
        <w:rPr>
          <w:rFonts w:ascii="仿宋_GB2312" w:hAnsi="仿宋_GB2312" w:eastAsia="仿宋_GB2312" w:cs="仿宋_GB2312"/>
          <w:sz w:val="28"/>
          <w:szCs w:val="28"/>
        </w:rPr>
      </w:pPr>
      <w:r>
        <w:rPr>
          <w:rFonts w:hint="eastAsia" w:ascii="仿宋_GB2312" w:hAnsi="仿宋_GB2312" w:eastAsia="仿宋_GB2312" w:cs="仿宋_GB2312"/>
          <w:sz w:val="28"/>
          <w:szCs w:val="28"/>
        </w:rPr>
        <w:t>（一）自治区级适用政策</w:t>
      </w:r>
      <w:bookmarkEnd w:id="128"/>
      <w:bookmarkEnd w:id="129"/>
      <w:bookmarkEnd w:id="130"/>
      <w:bookmarkEnd w:id="131"/>
    </w:p>
    <w:p>
      <w:pPr>
        <w:pStyle w:val="12"/>
        <w:overflowPunct w:val="0"/>
        <w:spacing w:before="0" w:beforeAutospacing="0" w:after="0" w:afterAutospacing="0" w:line="560" w:lineRule="exact"/>
        <w:jc w:val="center"/>
        <w:rPr>
          <w:rFonts w:ascii="仿宋_GB2312" w:hAnsi="仿宋_GB2312" w:cs="仿宋_GB2312"/>
          <w:b/>
          <w:bCs/>
          <w:kern w:val="2"/>
          <w:sz w:val="28"/>
          <w:szCs w:val="28"/>
        </w:rPr>
      </w:pPr>
      <w:r>
        <w:rPr>
          <w:rFonts w:hint="eastAsia" w:ascii="仿宋_GB2312" w:hAnsi="仿宋_GB2312" w:cs="仿宋_GB2312"/>
          <w:b/>
          <w:bCs/>
          <w:kern w:val="2"/>
          <w:sz w:val="28"/>
          <w:szCs w:val="28"/>
        </w:rPr>
        <w:t>内蒙古自治区财政厅关于转发《财政部关于修订发布普惠金融发展专项资金管理办法》的通知</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第二章创业担保贷款贴息及奖励补助政策 第十一条 第2段 专项资金贴息的小微企业创业担保贷款，贷款额度由经办银行根据小微企业实际招用符合条件的人数合理确定，最高不超过300万元，贷款期限最长不超过2年。</w:t>
      </w:r>
      <w:bookmarkStart w:id="132" w:name="_Toc12548"/>
      <w:bookmarkStart w:id="133" w:name="_Toc11566"/>
      <w:bookmarkStart w:id="134" w:name="_Toc3630"/>
      <w:bookmarkStart w:id="135" w:name="_Toc11179"/>
    </w:p>
    <w:bookmarkEnd w:id="132"/>
    <w:p>
      <w:pPr>
        <w:pStyle w:val="5"/>
        <w:numPr>
          <w:ilvl w:val="0"/>
          <w:numId w:val="5"/>
        </w:numPr>
        <w:spacing w:line="560" w:lineRule="exact"/>
        <w:ind w:firstLine="562"/>
        <w:rPr>
          <w:rFonts w:ascii="仿宋_GB2312" w:hAnsi="仿宋_GB2312" w:eastAsia="仿宋_GB2312" w:cs="仿宋_GB2312"/>
          <w:sz w:val="28"/>
          <w:szCs w:val="28"/>
        </w:rPr>
      </w:pPr>
      <w:bookmarkStart w:id="136" w:name="_Toc3902"/>
      <w:r>
        <w:rPr>
          <w:rFonts w:hint="eastAsia" w:ascii="仿宋_GB2312" w:hAnsi="仿宋_GB2312" w:eastAsia="仿宋_GB2312" w:cs="仿宋_GB2312"/>
          <w:sz w:val="28"/>
          <w:szCs w:val="28"/>
        </w:rPr>
        <w:t>市级适用政策</w:t>
      </w:r>
      <w:bookmarkEnd w:id="133"/>
      <w:bookmarkEnd w:id="134"/>
      <w:bookmarkEnd w:id="135"/>
      <w:bookmarkEnd w:id="136"/>
    </w:p>
    <w:p>
      <w:pPr>
        <w:spacing w:line="560" w:lineRule="exact"/>
        <w:jc w:val="center"/>
        <w:rPr>
          <w:rFonts w:ascii="仿宋_GB2312" w:hAnsi="仿宋_GB2312" w:cs="仿宋_GB2312"/>
          <w:b/>
          <w:bCs/>
          <w:szCs w:val="28"/>
        </w:rPr>
      </w:pPr>
      <w:r>
        <w:rPr>
          <w:rFonts w:hint="eastAsia" w:ascii="仿宋_GB2312" w:hAnsi="仿宋_GB2312" w:cs="仿宋_GB2312"/>
          <w:b/>
          <w:bCs/>
          <w:szCs w:val="28"/>
        </w:rPr>
        <w:t>《关于进一步加大创业担保贷款贴息力度全力支持重点群体创业</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就业的通知》</w:t>
      </w:r>
    </w:p>
    <w:p>
      <w:pPr>
        <w:spacing w:line="560" w:lineRule="exact"/>
        <w:jc w:val="center"/>
        <w:rPr>
          <w:rFonts w:ascii="仿宋_GB2312" w:hAnsi="仿宋_GB2312" w:cs="仿宋_GB2312"/>
          <w:szCs w:val="28"/>
        </w:rPr>
      </w:pPr>
      <w:r>
        <w:rPr>
          <w:rFonts w:hint="eastAsia" w:ascii="仿宋_GB2312" w:hAnsi="仿宋_GB2312" w:cs="仿宋_GB2312"/>
          <w:szCs w:val="28"/>
        </w:rPr>
        <w:t>（呼财金〔2020〕21号）</w:t>
      </w:r>
    </w:p>
    <w:p>
      <w:pPr>
        <w:numPr>
          <w:ilvl w:val="0"/>
          <w:numId w:val="6"/>
        </w:numPr>
        <w:spacing w:line="560" w:lineRule="exact"/>
        <w:ind w:firstLine="560" w:firstLineChars="200"/>
        <w:rPr>
          <w:rFonts w:ascii="仿宋_GB2312" w:hAnsi="仿宋_GB2312" w:cs="仿宋_GB2312"/>
          <w:szCs w:val="28"/>
        </w:rPr>
      </w:pPr>
      <w:r>
        <w:rPr>
          <w:rFonts w:hint="eastAsia" w:ascii="仿宋_GB2312" w:hAnsi="仿宋_GB2312" w:cs="仿宋_GB2312"/>
          <w:szCs w:val="28"/>
        </w:rPr>
        <w:t>扩大覆盖范围 第2项 降低申请门槛。小微企业当年新招用符合条件创业担保贷款申请条件的人数与企业现有在职职工人数的占比，由20%下降为15%，超过100人的企业下降为8%。</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关于印发《呼伦贝尔市高校毕业生、就业困难人员和贫困</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劳动力享受社会保险补贴实施办法》的通知</w:t>
      </w:r>
    </w:p>
    <w:p>
      <w:pPr>
        <w:spacing w:line="560" w:lineRule="exact"/>
        <w:jc w:val="center"/>
        <w:rPr>
          <w:rFonts w:ascii="仿宋_GB2312" w:hAnsi="仿宋_GB2312" w:cs="仿宋_GB2312"/>
          <w:szCs w:val="28"/>
        </w:rPr>
      </w:pPr>
      <w:r>
        <w:rPr>
          <w:rFonts w:hint="eastAsia" w:ascii="仿宋_GB2312" w:hAnsi="仿宋_GB2312" w:cs="仿宋_GB2312"/>
          <w:szCs w:val="28"/>
        </w:rPr>
        <w:t>（呼人社办发〔2020〕26号 ）</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第一条 第（一）节：1、对吸纳离校2年内未就业的高校毕业生，与之签订1年以上劳动合同并为其缴纳社会保险费的小微企业，给予最长不超过1年的社会保险补贴，不包括高校毕业生个人应缴纳部分。</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2、对于纳入自治区级中小企业人才储备计划服务期满高校毕业生，与其签订工年以上劳动合同并按时足额缴纳社会保险费的中小企业和基层社会团体以及民办非企业单位，按留用人数给予1年的社会保险补贴，单位为高校毕业生实际缴纳的基本养老保险费、基本医疗保险费和失业保险费不包括高校毕业生个人应缴纳的部分。</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第一条 第（三）节：对吸纳贫因劳动力签订1年以上劳动合同，并缴纳社会保险费的单位，按其为贫困劳动力实际缴纳的基本养老保险费、基本医疗保险费和失业保险费给予最长不超过3年的社保补贴，不包括个人缴纳的部分。</w:t>
      </w:r>
    </w:p>
    <w:p>
      <w:pPr>
        <w:spacing w:line="560" w:lineRule="exact"/>
        <w:jc w:val="center"/>
        <w:rPr>
          <w:rFonts w:ascii="仿宋_GB2312" w:hAnsi="仿宋_GB2312" w:cs="仿宋_GB2312"/>
          <w:b/>
          <w:bCs/>
          <w:szCs w:val="28"/>
        </w:rPr>
      </w:pPr>
      <w:r>
        <w:rPr>
          <w:rFonts w:hint="eastAsia" w:ascii="仿宋_GB2312" w:hAnsi="仿宋_GB2312" w:cs="仿宋_GB2312"/>
          <w:b/>
          <w:bCs/>
          <w:szCs w:val="28"/>
        </w:rPr>
        <w:t>《关于转发延续实施部分减负稳岗扩就业政策措施的通知》</w:t>
      </w:r>
    </w:p>
    <w:p>
      <w:pPr>
        <w:spacing w:line="560" w:lineRule="exact"/>
        <w:jc w:val="center"/>
        <w:rPr>
          <w:rFonts w:ascii="仿宋_GB2312" w:hAnsi="仿宋_GB2312" w:cs="仿宋_GB2312"/>
          <w:szCs w:val="28"/>
        </w:rPr>
      </w:pPr>
      <w:r>
        <w:rPr>
          <w:rFonts w:hint="eastAsia" w:ascii="仿宋_GB2312" w:hAnsi="仿宋_GB2312" w:cs="仿宋_GB2312"/>
          <w:szCs w:val="28"/>
        </w:rPr>
        <w:t>（呼人社发〔2021〕45号 ）</w:t>
      </w:r>
    </w:p>
    <w:p>
      <w:pPr>
        <w:numPr>
          <w:ilvl w:val="0"/>
          <w:numId w:val="7"/>
        </w:numPr>
        <w:spacing w:line="560" w:lineRule="exact"/>
        <w:ind w:firstLine="560" w:firstLineChars="200"/>
        <w:rPr>
          <w:rFonts w:ascii="仿宋_GB2312" w:hAnsi="仿宋_GB2312" w:cs="仿宋_GB2312"/>
          <w:szCs w:val="28"/>
        </w:rPr>
      </w:pPr>
      <w:r>
        <w:rPr>
          <w:rFonts w:hint="eastAsia" w:ascii="仿宋_GB2312" w:hAnsi="仿宋_GB2312" w:cs="仿宋_GB2312"/>
          <w:szCs w:val="28"/>
        </w:rPr>
        <w:t>抓好普惠性失业保险稳岗返还政策落实。大型企业按企业及其职工上年度实际缴纳失业保险费的30%返还，中小企业按60%返还。社会团体、基金会、社会服务机构、律师事务所、会计事务所、以单位形式参保的个体经济组织参照中小微企业实施。裁员率按照企业上年度解除、终止劳动关系并领取失业保险金人数与平均参保职工人数比较确定。各地在确保基金安全的前提下，可采取后台数据对比方式，直接向30人以下、符合条件的企业精准发放稳岗返还资金。</w:t>
      </w:r>
      <w:bookmarkStart w:id="137" w:name="_Toc15298"/>
      <w:bookmarkStart w:id="138" w:name="_Toc8856"/>
      <w:bookmarkStart w:id="139" w:name="_Toc19440"/>
      <w:bookmarkStart w:id="140" w:name="_Toc8980"/>
      <w:bookmarkStart w:id="141" w:name="_Toc10834"/>
    </w:p>
    <w:bookmarkEnd w:id="137"/>
    <w:bookmarkEnd w:id="138"/>
    <w:bookmarkEnd w:id="139"/>
    <w:bookmarkEnd w:id="140"/>
    <w:p>
      <w:pPr>
        <w:spacing w:line="560" w:lineRule="exact"/>
        <w:rPr>
          <w:rFonts w:ascii="仿宋_GB2312" w:hAnsi="仿宋_GB2312" w:cs="仿宋_GB2312"/>
          <w:b/>
          <w:bCs/>
          <w:szCs w:val="28"/>
        </w:rPr>
      </w:pPr>
      <w:bookmarkStart w:id="142" w:name="_Toc28118"/>
      <w:bookmarkStart w:id="143" w:name="_Toc210"/>
      <w:bookmarkStart w:id="144" w:name="_Toc7802"/>
      <w:bookmarkStart w:id="145" w:name="_Toc20987"/>
    </w:p>
    <w:p>
      <w:pPr>
        <w:pStyle w:val="2"/>
        <w:spacing w:line="560" w:lineRule="exact"/>
        <w:ind w:left="560" w:firstLine="562"/>
        <w:rPr>
          <w:rFonts w:ascii="仿宋_GB2312" w:hAnsi="仿宋_GB2312" w:cs="仿宋_GB2312"/>
          <w:b/>
          <w:bCs/>
          <w:color w:val="auto"/>
          <w:spacing w:val="0"/>
          <w:kern w:val="2"/>
          <w:sz w:val="28"/>
          <w:szCs w:val="28"/>
        </w:rPr>
      </w:pPr>
    </w:p>
    <w:p>
      <w:pPr>
        <w:spacing w:line="560" w:lineRule="exact"/>
        <w:rPr>
          <w:rFonts w:ascii="仿宋_GB2312" w:hAnsi="仿宋_GB2312" w:cs="仿宋_GB2312"/>
          <w:b/>
          <w:bCs/>
          <w:szCs w:val="28"/>
        </w:rPr>
      </w:pPr>
    </w:p>
    <w:p>
      <w:pPr>
        <w:pStyle w:val="2"/>
        <w:spacing w:line="560" w:lineRule="exact"/>
        <w:ind w:left="560" w:firstLine="562"/>
        <w:rPr>
          <w:rFonts w:ascii="仿宋_GB2312" w:hAnsi="仿宋_GB2312" w:cs="仿宋_GB2312"/>
          <w:b/>
          <w:bCs/>
          <w:color w:val="auto"/>
          <w:spacing w:val="0"/>
          <w:kern w:val="2"/>
          <w:sz w:val="28"/>
          <w:szCs w:val="28"/>
        </w:rPr>
      </w:pPr>
    </w:p>
    <w:p>
      <w:pPr>
        <w:spacing w:line="560" w:lineRule="exact"/>
        <w:rPr>
          <w:rFonts w:ascii="仿宋_GB2312" w:hAnsi="仿宋_GB2312" w:cs="仿宋_GB2312"/>
          <w:b/>
          <w:bCs/>
          <w:szCs w:val="28"/>
        </w:rPr>
      </w:pPr>
    </w:p>
    <w:p>
      <w:pPr>
        <w:pStyle w:val="2"/>
        <w:spacing w:line="560" w:lineRule="exact"/>
        <w:ind w:left="560" w:firstLine="562"/>
        <w:rPr>
          <w:rFonts w:ascii="仿宋_GB2312" w:hAnsi="仿宋_GB2312" w:cs="仿宋_GB2312"/>
          <w:b/>
          <w:bCs/>
          <w:color w:val="auto"/>
          <w:spacing w:val="0"/>
          <w:kern w:val="2"/>
          <w:sz w:val="28"/>
          <w:szCs w:val="28"/>
        </w:rPr>
      </w:pPr>
    </w:p>
    <w:p>
      <w:pPr>
        <w:spacing w:line="560" w:lineRule="exact"/>
      </w:pPr>
    </w:p>
    <w:p>
      <w:pPr>
        <w:pStyle w:val="2"/>
      </w:pPr>
    </w:p>
    <w:p/>
    <w:p>
      <w:pPr>
        <w:spacing w:line="560" w:lineRule="exact"/>
        <w:jc w:val="center"/>
        <w:rPr>
          <w:rFonts w:ascii="黑体" w:hAnsi="黑体" w:eastAsia="黑体" w:cs="黑体"/>
          <w:sz w:val="32"/>
          <w:szCs w:val="32"/>
        </w:rPr>
      </w:pPr>
      <w:r>
        <w:rPr>
          <w:rFonts w:hint="eastAsia" w:ascii="黑体" w:hAnsi="黑体" w:eastAsia="黑体" w:cs="黑体"/>
          <w:sz w:val="32"/>
          <w:szCs w:val="32"/>
        </w:rPr>
        <w:t>十一、《产业结构调整指导目录》（2019年本）</w:t>
      </w:r>
      <w:bookmarkEnd w:id="141"/>
      <w:bookmarkEnd w:id="142"/>
      <w:bookmarkEnd w:id="143"/>
      <w:bookmarkEnd w:id="144"/>
      <w:bookmarkEnd w:id="145"/>
    </w:p>
    <w:p>
      <w:pPr>
        <w:spacing w:line="560" w:lineRule="exact"/>
        <w:ind w:left="560" w:leftChars="200"/>
        <w:rPr>
          <w:rFonts w:ascii="仿宋_GB2312" w:hAnsi="仿宋_GB2312" w:cs="仿宋_GB2312"/>
          <w:szCs w:val="28"/>
        </w:rPr>
      </w:pPr>
      <w:r>
        <w:rPr>
          <w:rFonts w:hint="eastAsia" w:ascii="仿宋_GB2312" w:hAnsi="仿宋_GB2312" w:cs="仿宋_GB2312"/>
          <w:b/>
          <w:bCs/>
          <w:szCs w:val="28"/>
        </w:rPr>
        <w:t>（一）制定的背景</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通过明确行业领域的鼓励类、限制类、淘汰类条目，指明了行业的转型升级方向，提高限制和淘汰标准，大力破除无效供给，为增加有效供给腾出空间，提高供给体系的质量和效率。</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（二）制定及修正过程</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自《目录（2005年本）》发布实施以来，国家发展改革委分别于2011年和2013年对《目录》进行了修订和修正，延续了对鼓励类、限制类、淘汰类项目进行分类指导的结构</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（三）目录的分类及意义</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1、鼓励类条目进一步突出战略性和前瞻性，符合行业发展需求和技术进步方向，有利于满足人民美好生活需要和推动经济高质量发展需要。均是满足行业发展需要、推动行业进步的技术、装备、产品或工艺。（鼓励类，包含四十七个行业和类别，821项鼓励条目）</w:t>
      </w:r>
    </w:p>
    <w:p>
      <w:pPr>
        <w:pStyle w:val="12"/>
        <w:spacing w:before="0" w:beforeAutospacing="0" w:after="0" w:afterAutospacing="0" w:line="560" w:lineRule="exact"/>
        <w:ind w:firstLine="560" w:firstLineChars="200"/>
        <w:jc w:val="both"/>
        <w:rPr>
          <w:rFonts w:ascii="仿宋_GB2312" w:hAnsi="仿宋_GB2312" w:cs="仿宋_GB2312"/>
          <w:kern w:val="2"/>
          <w:sz w:val="28"/>
          <w:szCs w:val="28"/>
        </w:rPr>
      </w:pPr>
      <w:r>
        <w:rPr>
          <w:rFonts w:hint="eastAsia" w:ascii="仿宋_GB2312" w:hAnsi="仿宋_GB2312" w:cs="仿宋_GB2312"/>
          <w:kern w:val="2"/>
          <w:sz w:val="28"/>
          <w:szCs w:val="28"/>
        </w:rPr>
        <w:t>2、限制类条目主要是工艺技术落后，不符合行业准入条件和有关规定，禁止新建扩建和需要督促改造的生产能力、工艺技术、装备及产品。同时限制类条目可根据产业发展实际适当提高相关标准，将“10000吨/年以下岩（矿）棉制品生产线”新修订为“30000吨/年以下岩（矿）棉制品生产线”等。对于不再使用的工艺、技术、装备及产品，在限制类中予以删除。</w:t>
      </w:r>
    </w:p>
    <w:p>
      <w:pPr>
        <w:pStyle w:val="12"/>
        <w:spacing w:before="0" w:beforeAutospacing="0" w:after="0" w:afterAutospacing="0" w:line="560" w:lineRule="exact"/>
        <w:ind w:firstLine="560" w:firstLineChars="200"/>
        <w:jc w:val="both"/>
        <w:rPr>
          <w:rFonts w:ascii="仿宋_GB2312" w:hAnsi="仿宋_GB2312" w:cs="仿宋_GB2312"/>
          <w:kern w:val="2"/>
          <w:sz w:val="28"/>
          <w:szCs w:val="28"/>
        </w:rPr>
      </w:pPr>
      <w:r>
        <w:rPr>
          <w:rFonts w:hint="eastAsia" w:ascii="仿宋_GB2312" w:hAnsi="仿宋_GB2312" w:cs="仿宋_GB2312"/>
          <w:kern w:val="2"/>
          <w:sz w:val="28"/>
          <w:szCs w:val="28"/>
        </w:rPr>
        <w:t>3、淘汰类条目主要是不符合有关法律法规规定，不具备安全生产条件，严重浪费资源、污染环境，需要淘汰的落后工艺、技术、装备及产品。淘汰类条目修订可根据产业发展实际，适当提高相关安全、环保、能耗、质量等标准。</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lang w:eastAsia="zh-CN"/>
        </w:rPr>
        <w:t>（</w:t>
      </w:r>
      <w:r>
        <w:rPr>
          <w:rFonts w:hint="eastAsia" w:ascii="仿宋_GB2312" w:hAnsi="仿宋_GB2312" w:cs="仿宋_GB2312"/>
          <w:b/>
          <w:bCs/>
          <w:szCs w:val="28"/>
          <w:lang w:val="en-US" w:eastAsia="zh-CN"/>
        </w:rPr>
        <w:t>四</w:t>
      </w:r>
      <w:r>
        <w:rPr>
          <w:rFonts w:hint="eastAsia" w:ascii="仿宋_GB2312" w:hAnsi="仿宋_GB2312" w:cs="仿宋_GB2312"/>
          <w:b/>
          <w:bCs/>
          <w:szCs w:val="28"/>
          <w:lang w:eastAsia="zh-CN"/>
        </w:rPr>
        <w:t>）</w:t>
      </w:r>
      <w:r>
        <w:rPr>
          <w:rFonts w:hint="eastAsia" w:ascii="仿宋_GB2312" w:hAnsi="仿宋_GB2312" w:cs="仿宋_GB2312"/>
          <w:b/>
          <w:bCs/>
          <w:szCs w:val="28"/>
        </w:rPr>
        <w:t>产业结构调整指导目录中适合当地发展的主导产业类型</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农业：</w:t>
      </w:r>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1、农田建设与保护工程（含高标准农田建设、农田水利建设、高效节水灌溉、农田整治等），土地综合整治。</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2、农产品及农作物种子基地建设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3、畜禽标准化规模养殖技术开发与应用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4、重大病虫害及动物疫病防治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5、动植物（含野生）优良品种选育、繁育、保种和开发，生物育种，种子（种苗）生产、加工、包装、检验、鉴定技术和仓储、运输设备的开发与应用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6、旱作节水农业、保护性耕作、生态农业建设、耕地质量建设、新开耕地快速培肥、水肥一体化技术开发与应用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7、获得绿色食品生产资料标志的饲料、饲料添加剂、肥料、农药、兽药等优质安全环保农业投入品及绿色食品生产允许使用的食品添加剂开发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8、牛羊胚胎（体内）及精液工厂化生产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9、农作物秸秆综合利用（秸秆肥料化利用，秸秆饲料化利用，秸秆能源化利用，秸秆基料化利用，秸秆原料化利用等）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10、农村可再生资源综合利用开发工程（沼气工程、生物天然气工程、“三沼”综合利用、沼气发电，生物质能清洁供热，秸秆气化清洁能源利用工程，废弃菌棒利用，太阳能利用）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11、动物疫病新型诊断试剂、疫苗及低毒低残留兽药（含兽用生物制品）新工艺、新技术开发与应用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12、防护林工程，天然林等自然资源保护工程，森林抚育、低质低效林改造工程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13、水土流失综合治理工程，荒漠化、石漠化防治及防沙治沙工程</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14、海洋、森林、野生动植物、湿地、荒漠、草原等自然保护区建设及生态示范工程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15、道地中药材及优质、丰产、濒危或紧缺动植物药材的种植（养殖），香料、野生花卉等林下资源人工培育与开发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16、生态清洁型小流域建设及面源污染防治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17、面向资源化的乡村生活废水、生活废物、畜禽粪便、农业废弃物与农田面源污染协同综合治理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18、休闲农业和乡村旅游精品工程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19、畜禽养殖废弃物处理和资源化利用（畜禽粪污肥料化、能源化、基料化和垫料化利用，病死畜禽无害化处理） </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szCs w:val="28"/>
        </w:rPr>
        <w:t>水利：</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1、江河湖海堤防建设及河道治理工程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3、城乡供水水源工程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3、农村饮水安全工程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4、江河湖库清淤疏浚工程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5、病险水库、水闸除险加固工程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6、城市积涝预警和防洪工程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7、综合利用水利枢纽工程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8、灌区及配套设施建设、改造</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9、山洪地质灾害防治工程（山洪地质灾害防治区监测预报预警体系建设及山洪沟、泥石流沟和滑坡治理等）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10、水生态系统及地下水保护与修复工程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11、水源地保护工程（水源地保护区划分、隔离防护、水土保持、水资源保护、水生态环境修复及有关技术开发推广） </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szCs w:val="28"/>
        </w:rPr>
        <w:t>电力：</w:t>
      </w:r>
      <w:r>
        <w:rPr>
          <w:rFonts w:hint="eastAsia" w:ascii="仿宋_GB2312" w:hAnsi="仿宋_GB2312" w:cs="仿宋_GB2312"/>
          <w:szCs w:val="28"/>
        </w:rPr>
        <w:t xml:space="preserve">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1、大中型水力发电及抽水蓄能电站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2、500 千伏及以上交、直流输变电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3、电网改造与建设，增量配电网建设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4、分布式能源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5、火力发电机组灵活性改造 </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szCs w:val="28"/>
        </w:rPr>
        <w:t>新能源：</w:t>
      </w:r>
      <w:r>
        <w:rPr>
          <w:rFonts w:hint="eastAsia" w:ascii="仿宋_GB2312" w:hAnsi="仿宋_GB2312" w:cs="仿宋_GB2312"/>
          <w:szCs w:val="28"/>
        </w:rPr>
        <w:t xml:space="preserve">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 xml:space="preserve">以农作物秸秆、畜禽粪便、生活垃圾、工业有机废弃物、有机污水污泥等各类城乡有机废弃物为原料的大型沼气和生物天然气生产成套设备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szCs w:val="28"/>
        </w:rPr>
        <w:t>医药：</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濒危稀缺药用动植物人工繁育技术开发，实验动物标准化养殖及动物实验服务，先进农业技术在中药材规范化种植、养殖中的应用，中药质量控制新技术开发和应用，中药现代剂型的工艺技术，中药饮片炮制技术传承与创新，中药经典名方的开发与生产，中药创新药物的研发与生产，中成药二次开发和生产，民族药物开发和生产。</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szCs w:val="28"/>
        </w:rPr>
        <w:t>轻工：</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1、生物可降解塑料及其系列产品开发、生产与应用，农用塑料节水器材和长寿命（三年及以上）功能性农用薄膜的开发、生产</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2、少数民族特需用品制造</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3、热带果汁、浆果果汁、谷物饮料、本草饮料、茶浓缩液、茶粉、植物蛋白饮料等高附加价值植物饮料的开</w:t>
      </w:r>
      <w:r>
        <w:rPr>
          <w:rFonts w:hint="eastAsia" w:ascii="仿宋_GB2312" w:hAnsi="仿宋_GB2312" w:cs="仿宋_GB2312"/>
          <w:color w:val="000000"/>
          <w:kern w:val="0"/>
          <w:szCs w:val="28"/>
          <w:lang w:bidi="ar"/>
        </w:rPr>
        <w:t>发生产与加工原料基地建设；果渣、茶渣等的综合开发与利用</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4、营养健康型大米、小麦粉（食品专用米、发芽糙米、留胚米、食品专用粉、全麦粉及营养强化产品等）及制品的开发生产；传统主食工业化生产；杂粮加工专用设备开发与生产；粮油加工副产物（稻壳、米糠、麸皮、胚芽、饼粕等）综合利用关键技术开发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5、菜籽油生产线：采用膨化、负压蒸发、热能自平衡利用、低消耗蒸汽真空系统等技术，油菜籽主产区日处理油菜籽 400吨及以上、吨料溶剂消耗 1.5 公斤以下（其中西部地区日处理油菜籽 200吨及以上、吨料溶剂消耗 2 公斤以下）；花生油生产线：花生主产区日处理花生 200 吨及以上，吨料溶剂消耗 2公斤以下；棉籽油生产线：棉籽产区日处理棉籽 300 吨及以上，吨料溶剂消耗 2 公斤以下；米糠油生产线：采用分散快速膨化，集中制油、精炼技术；玉米胚芽油生产线；油茶籽、核桃等木本油料和胡麻、芝麻、葵花籽、牡丹籽等小品种油料加工生产线以及利用超临界二氧化碳萃取工艺技术生产植物油</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6、畜禽骨、血、羽毛及内脏等副产物综合利用与无害化处理</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城镇基础设施:</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1、城市公共交通建设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2、城市道路及智能交通体系建设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3、城镇安全饮水工程、供水水源及净水厂工程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4、城市燃气工程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5、城镇集中供热建设和改造工程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6、城市雨水收集利用工程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7、城镇园林绿化及生态小区建设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8、既有停车设施改造；停车楼、地下停车场、机械式立体停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车库等集约化的停车设施建设；停车场配建电动车充电设施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9、城市建设管理信息化技术应用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10、城市生态系统关键技术应用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11、城市节水技术开发与应用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12、城市照明智能化、绿色照明产品及系统技术开发与应用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13、再生水利用技术与工程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14、城市供水、排水、燃气塑料管道应用工程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15、城市应急与后备水源建设工程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16、城市积涝监测预警技术开发与应用，城市排水防涝工程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 xml:space="preserve">17、海绵城市建设关键技术产品开发与应用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 xml:space="preserve">铁路：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1、铁路新线建设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2、既有铁路改扩建及铁路专用线建设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3、客运专线、高速铁路系统技术开发与建设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4、铁路旅客列车集便器及污物地面接收、处理工程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 xml:space="preserve">5、城际、市域（郊）铁路 </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color w:val="000000"/>
          <w:kern w:val="0"/>
          <w:szCs w:val="28"/>
          <w:lang w:bidi="ar"/>
        </w:rPr>
        <w:t>公路及道路运输（含城市客运）</w:t>
      </w:r>
      <w:r>
        <w:rPr>
          <w:rFonts w:hint="eastAsia" w:ascii="仿宋_GB2312" w:hAnsi="仿宋_GB2312" w:cs="仿宋_GB2312"/>
          <w:color w:val="000000"/>
          <w:kern w:val="0"/>
          <w:szCs w:val="28"/>
          <w:lang w:bidi="ar"/>
        </w:rPr>
        <w:t>：</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1、国家高速公路网项目建设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2、国省干线改造升级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3、汽车客货运站、城市公交站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4、公路集装箱和厢式运输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5、农村客货运输网络开发与建设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6、农村公路建设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7、出租汽车服务调度信息系统开发与建设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8、高速公路车辆应急疏散通道建设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9、低噪音路面技术开发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10、高速公路快速修筑与维护技术和材料开发与应用 </w:t>
      </w:r>
    </w:p>
    <w:p>
      <w:pPr>
        <w:spacing w:line="560" w:lineRule="exact"/>
        <w:ind w:firstLine="560" w:firstLineChars="200"/>
        <w:jc w:val="left"/>
        <w:rPr>
          <w:rFonts w:ascii="仿宋_GB2312" w:hAnsi="仿宋_GB2312" w:cs="仿宋_GB2312"/>
          <w:b/>
          <w:bCs/>
          <w:color w:val="000000"/>
          <w:kern w:val="0"/>
          <w:szCs w:val="28"/>
          <w:lang w:bidi="ar"/>
        </w:rPr>
      </w:pPr>
      <w:r>
        <w:rPr>
          <w:rFonts w:hint="eastAsia" w:ascii="仿宋_GB2312" w:hAnsi="仿宋_GB2312" w:cs="仿宋_GB2312"/>
          <w:color w:val="000000"/>
          <w:kern w:val="0"/>
          <w:szCs w:val="28"/>
          <w:lang w:bidi="ar"/>
        </w:rPr>
        <w:t xml:space="preserve">11、城市公交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航空运输：</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1、机场及配套设施建设与运营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2、公共航空运输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现代物流业：</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1、煤炭、粮食、棉花、铁矿石、化肥、石油等重要商品现代化物流设施建设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2、农产品物流配送设施建设，农产品、食品、药品冷链物流，食品、药品物流质量安全控制技术服务</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3、应急物流、逆向物流、绿色物流设施建设和运营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4、物流公共信息平台开发及建设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5、物流枢纽建设与运营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6、城市物流所需的公共仓储，车辆停靠、装卸、充电等配套设施建设</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商贸服务业：</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1、现代化的农产品、生产资料市场流通设施建设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2、种子、种苗、种畜禽和鱼苗（种）、化肥、农药、农机具、农膜等农资连锁经营及综合服务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3、面向农村的日用品、药品、出版物等生活用品连锁经营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4、商贸企业的统一配送和分销网络建设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5、利用信息技术改造提升传统商品交易市场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6、旧货市场建设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7、现代化二手车交易服务体系建设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 xml:space="preserve">8、新农村现代流通服务网络工程建设，农资物联网应用与示范项目建设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旅游业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1、旅游商品、旅游纪念品、旅游装备设备，以及休闲、登山、滑雪、潜水、探险等各类户外活动用品开发与营销服务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2、文化旅游、健康旅游、乡村旅游、生态旅游、海洋旅游、森林旅游、草原旅游、工业旅游、体育旅游、红色旅游、民族风情游及其他旅游资源综合开发、基础设施建设及信息等服务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 xml:space="preserve">邮政业：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1、邮政储蓄网络建设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2、邮政综合业务网建设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3、邮件处理自动化工程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4、寄递渠道安全监管、邮件快件时限监测、消费者申诉、满意度调查与公示、邮编及行业资费查询等公共服务和市场监管功能等邮政业公共服务信息平台建设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5、城乡快递营业网点、门店等快递服务网点和智能快件（信包）箱、快递末端综合服务场所建设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6、城市、区域内和区域间的快件分拣中心、转运中心、集散中心、处理枢纽等快递处理设施建设</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7、快件跟踪查询、自动分拣、运递调度、快递客服呼叫中心等快递信息系统开发与应用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8、数据采集、集装容器、智能终端、智能化仓储、自动分拣、机械化装卸、冷链快递、AGV、无人机、无人车和绿色包装等快递技术装备的研发与应用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9、邮件快件运输与交通运输网络融合及多式联运、运营平台等技术开发与应用</w:t>
      </w:r>
    </w:p>
    <w:p>
      <w:pPr>
        <w:spacing w:line="560" w:lineRule="exact"/>
        <w:ind w:firstLine="562" w:firstLineChars="200"/>
        <w:jc w:val="left"/>
        <w:rPr>
          <w:b/>
          <w:bCs/>
        </w:rPr>
      </w:pPr>
      <w:r>
        <w:rPr>
          <w:rFonts w:hint="eastAsia" w:ascii="仿宋_GB2312" w:hAnsi="仿宋_GB2312" w:cs="仿宋_GB2312"/>
          <w:b/>
          <w:bCs/>
          <w:color w:val="000000"/>
          <w:kern w:val="0"/>
          <w:szCs w:val="28"/>
          <w:lang w:bidi="ar"/>
        </w:rPr>
        <w:t>教育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1、学前教育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2、特殊教育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3、职业教育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4、“互联网+”教育，远程教育</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color w:val="000000"/>
          <w:kern w:val="0"/>
          <w:szCs w:val="28"/>
          <w:lang w:bidi="ar"/>
        </w:rPr>
        <w:t>卫生健康：</w:t>
      </w:r>
      <w:r>
        <w:rPr>
          <w:rFonts w:hint="eastAsia" w:ascii="仿宋_GB2312" w:hAnsi="仿宋_GB2312" w:cs="仿宋_GB2312"/>
          <w:color w:val="000000"/>
          <w:kern w:val="0"/>
          <w:szCs w:val="28"/>
          <w:lang w:bidi="ar"/>
        </w:rPr>
        <w:t xml:space="preserve">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1、预防保健、卫生应急、卫生监督服务设施建设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2、计划生育、优生优育、生殖健康咨询与服务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3、“互联网+”医疗健康服务、医疗大数据应用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5、医疗卫生服务设施建设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 xml:space="preserve">6、传染病、儿童、精神卫生专科医院和康复医院（中心）、护理院（中心、站）、安宁疗护中心、全科医疗设施建设与服务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7、中医养生保健服务</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color w:val="000000"/>
          <w:kern w:val="0"/>
          <w:szCs w:val="28"/>
          <w:lang w:bidi="ar"/>
        </w:rPr>
        <w:t>文化：</w:t>
      </w:r>
      <w:r>
        <w:rPr>
          <w:rFonts w:hint="eastAsia" w:ascii="仿宋_GB2312" w:hAnsi="仿宋_GB2312" w:cs="仿宋_GB2312"/>
          <w:color w:val="000000"/>
          <w:kern w:val="0"/>
          <w:szCs w:val="28"/>
          <w:lang w:bidi="ar"/>
        </w:rPr>
        <w:t xml:space="preserve">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1、公共文化、文化艺术、新闻出版、广播电视电影、网络视听、文化遗产保护利用及设施建设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非物质文化遗产保护与振兴，民族和民间艺术、传统工艺美术保护与发展，国家历史文化名城（镇、村）和文化街区、中国少数民族特色村镇保护，中华老字号的保护与发展，民族文化艺术精品的国际营销与推广 </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3、语言文字技术开发与应用</w:t>
      </w:r>
    </w:p>
    <w:p>
      <w:pPr>
        <w:spacing w:line="560" w:lineRule="exact"/>
        <w:ind w:firstLine="562" w:firstLineChars="200"/>
        <w:jc w:val="left"/>
        <w:rPr>
          <w:rFonts w:ascii="仿宋_GB2312" w:hAnsi="仿宋_GB2312" w:cs="仿宋_GB2312"/>
          <w:szCs w:val="28"/>
        </w:rPr>
      </w:pPr>
      <w:r>
        <w:rPr>
          <w:rFonts w:hint="eastAsia" w:ascii="仿宋_GB2312" w:hAnsi="仿宋_GB2312" w:cs="仿宋_GB2312"/>
          <w:b/>
          <w:bCs/>
          <w:color w:val="000000"/>
          <w:kern w:val="0"/>
          <w:szCs w:val="28"/>
          <w:lang w:bidi="ar"/>
        </w:rPr>
        <w:t>体育：</w:t>
      </w:r>
      <w:r>
        <w:rPr>
          <w:rFonts w:hint="eastAsia" w:ascii="仿宋_GB2312" w:hAnsi="仿宋_GB2312" w:cs="仿宋_GB2312"/>
          <w:color w:val="000000"/>
          <w:kern w:val="0"/>
          <w:szCs w:val="28"/>
          <w:lang w:bidi="ar"/>
        </w:rPr>
        <w:t xml:space="preserve">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体育场地设施建设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 xml:space="preserve">养老与托育服务：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1、长期照护服务机构（包括养老院、老年养护院、农村养老设施等）</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2、社区养老服务骨干网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3、助餐助行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4、老年教育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5、康养旅居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 xml:space="preserve">环境保护与资源节约综合利用：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1、矿山生态环境恢复工程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2、区域性废旧汽车、废旧电器电子产品、废旧船舶、废钢铁、废旧木材、废旧橡胶等资源循环利用基地建设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3、危险废物（医疗废物）及含重金属废物安全处置技术设备开发制造及处置中心建设及运营；放射性废物、核设施退役工程安 全处置技术设备开发制造及处置中心建设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4、城镇垃圾、农村生活垃圾、农村生活污水、污泥及其他固体废弃物减量化、资源化、无害化处理和综合利用工程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5、再生资源、建筑垃圾资源化回收利用工程和产业化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6、废旧木材、废旧电器电子产品、废印刷电路板、废旧电池、废旧船舶、废旧农机、废塑料、废旧纺织品及纺织废料和边角料、废（碎）玻璃、废橡胶、废弃油脂等废旧物资等资源循环再利用技术、设备开发及应用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7、废弃木质材料回收工程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8、垃圾分类技术、设备、设施 </w:t>
      </w:r>
    </w:p>
    <w:p>
      <w:pPr>
        <w:spacing w:line="560" w:lineRule="exact"/>
        <w:ind w:firstLine="560" w:firstLineChars="200"/>
        <w:jc w:val="left"/>
        <w:rPr>
          <w:rFonts w:ascii="仿宋_GB2312" w:hAnsi="仿宋_GB2312" w:cs="仿宋_GB2312"/>
          <w:b/>
          <w:bCs/>
          <w:color w:val="000000"/>
          <w:kern w:val="0"/>
          <w:szCs w:val="28"/>
          <w:lang w:bidi="ar"/>
        </w:rPr>
      </w:pPr>
      <w:r>
        <w:rPr>
          <w:rFonts w:hint="eastAsia" w:ascii="仿宋_GB2312" w:hAnsi="仿宋_GB2312" w:cs="仿宋_GB2312"/>
          <w:color w:val="000000"/>
          <w:kern w:val="0"/>
          <w:szCs w:val="28"/>
          <w:lang w:bidi="ar"/>
        </w:rPr>
        <w:t xml:space="preserve">9、环境污染第三方治理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人力资源和人力资本服务业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1、人力资源与人力资本信息化建设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2、人力资源服务与人力资本服务产业园和平台建设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3、人力资本金融创新平台建设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4、人力资源与人力资本市场及配套服务设施建设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5、农村劳动力转移就业服务平台建设 </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color w:val="000000"/>
          <w:kern w:val="0"/>
          <w:szCs w:val="28"/>
          <w:lang w:bidi="ar"/>
        </w:rPr>
        <w:t>人工智能：</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1、智能教育 </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color w:val="000000"/>
          <w:kern w:val="0"/>
          <w:szCs w:val="28"/>
          <w:lang w:bidi="ar"/>
        </w:rPr>
        <w:t xml:space="preserve">2、智慧城市 </w:t>
      </w:r>
    </w:p>
    <w:p>
      <w:pPr>
        <w:spacing w:line="560" w:lineRule="exact"/>
        <w:ind w:firstLine="560" w:firstLineChars="200"/>
        <w:jc w:val="left"/>
        <w:rPr>
          <w:rFonts w:ascii="黑体" w:hAnsi="黑体" w:eastAsia="黑体" w:cs="黑体"/>
          <w:sz w:val="32"/>
          <w:szCs w:val="32"/>
        </w:rPr>
      </w:pPr>
      <w:r>
        <w:rPr>
          <w:rFonts w:hint="eastAsia" w:ascii="仿宋_GB2312" w:hAnsi="仿宋_GB2312" w:cs="仿宋_GB2312"/>
          <w:color w:val="000000"/>
          <w:kern w:val="0"/>
          <w:szCs w:val="28"/>
          <w:lang w:bidi="ar"/>
        </w:rPr>
        <w:t>3、智能农业</w:t>
      </w:r>
      <w:bookmarkStart w:id="146" w:name="_Toc28967"/>
      <w:bookmarkStart w:id="147" w:name="_Toc15707"/>
      <w:bookmarkStart w:id="148" w:name="_Toc27169"/>
      <w:bookmarkStart w:id="149" w:name="_Toc30290"/>
    </w:p>
    <w:p>
      <w:pPr>
        <w:spacing w:line="560" w:lineRule="exact"/>
        <w:ind w:firstLine="640" w:firstLineChars="200"/>
        <w:jc w:val="center"/>
        <w:rPr>
          <w:rFonts w:ascii="黑体" w:hAnsi="黑体" w:eastAsia="黑体" w:cs="黑体"/>
          <w:sz w:val="32"/>
          <w:szCs w:val="32"/>
        </w:rPr>
      </w:pPr>
    </w:p>
    <w:p>
      <w:pPr>
        <w:pStyle w:val="2"/>
        <w:spacing w:line="560" w:lineRule="exact"/>
        <w:ind w:left="560"/>
        <w:rPr>
          <w:rFonts w:ascii="黑体" w:hAnsi="黑体" w:eastAsia="黑体" w:cs="黑体"/>
        </w:rPr>
      </w:pPr>
    </w:p>
    <w:p>
      <w:pPr>
        <w:spacing w:line="560" w:lineRule="exact"/>
        <w:rPr>
          <w:rFonts w:ascii="黑体" w:hAnsi="黑体" w:eastAsia="黑体" w:cs="黑体"/>
          <w:sz w:val="32"/>
          <w:szCs w:val="32"/>
        </w:rPr>
      </w:pPr>
    </w:p>
    <w:p>
      <w:pPr>
        <w:pStyle w:val="2"/>
        <w:spacing w:line="560" w:lineRule="exact"/>
        <w:ind w:left="560"/>
        <w:rPr>
          <w:rFonts w:ascii="黑体" w:hAnsi="黑体" w:eastAsia="黑体" w:cs="黑体"/>
        </w:rPr>
      </w:pPr>
    </w:p>
    <w:p>
      <w:pPr>
        <w:spacing w:line="560" w:lineRule="exact"/>
        <w:rPr>
          <w:rFonts w:ascii="黑体" w:hAnsi="黑体" w:eastAsia="黑体" w:cs="黑体"/>
          <w:sz w:val="32"/>
          <w:szCs w:val="32"/>
        </w:rPr>
      </w:pPr>
    </w:p>
    <w:p>
      <w:pPr>
        <w:pStyle w:val="2"/>
        <w:spacing w:line="560" w:lineRule="exact"/>
        <w:ind w:left="560"/>
        <w:rPr>
          <w:rFonts w:ascii="黑体" w:hAnsi="黑体" w:eastAsia="黑体" w:cs="黑体"/>
        </w:rPr>
      </w:pPr>
    </w:p>
    <w:p>
      <w:pPr>
        <w:spacing w:line="560" w:lineRule="exact"/>
        <w:rPr>
          <w:rFonts w:ascii="黑体" w:hAnsi="黑体" w:eastAsia="黑体" w:cs="黑体"/>
          <w:sz w:val="32"/>
          <w:szCs w:val="32"/>
        </w:rPr>
      </w:pPr>
    </w:p>
    <w:p>
      <w:pPr>
        <w:pStyle w:val="2"/>
        <w:spacing w:line="560" w:lineRule="exact"/>
        <w:ind w:left="560"/>
        <w:rPr>
          <w:rFonts w:ascii="黑体" w:hAnsi="黑体" w:eastAsia="黑体" w:cs="黑体"/>
        </w:rPr>
      </w:pPr>
    </w:p>
    <w:p>
      <w:pPr>
        <w:spacing w:line="560" w:lineRule="exact"/>
      </w:pPr>
    </w:p>
    <w:p>
      <w:pPr>
        <w:spacing w:line="560" w:lineRule="exact"/>
        <w:jc w:val="center"/>
        <w:rPr>
          <w:rFonts w:ascii="黑体" w:hAnsi="黑体" w:eastAsia="黑体" w:cs="黑体"/>
          <w:sz w:val="32"/>
          <w:szCs w:val="32"/>
        </w:rPr>
      </w:pPr>
      <w:r>
        <w:rPr>
          <w:rFonts w:hint="eastAsia" w:ascii="黑体" w:hAnsi="黑体" w:eastAsia="黑体" w:cs="黑体"/>
          <w:sz w:val="32"/>
          <w:szCs w:val="32"/>
        </w:rPr>
        <w:t>十二、《西部地区鼓励产业目录》</w:t>
      </w:r>
      <w:bookmarkEnd w:id="146"/>
      <w:bookmarkEnd w:id="147"/>
      <w:bookmarkEnd w:id="148"/>
      <w:bookmarkEnd w:id="149"/>
    </w:p>
    <w:p>
      <w:pPr>
        <w:spacing w:line="560" w:lineRule="exact"/>
        <w:ind w:firstLine="560" w:firstLineChars="200"/>
        <w:rPr>
          <w:rFonts w:ascii="仿宋_GB2312" w:hAnsi="仿宋_GB2312" w:cs="仿宋_GB2312"/>
          <w:szCs w:val="28"/>
        </w:rPr>
      </w:pPr>
      <w:r>
        <w:rPr>
          <w:rFonts w:hint="eastAsia" w:ascii="仿宋_GB2312" w:hAnsi="仿宋_GB2312" w:cs="仿宋_GB2312"/>
          <w:szCs w:val="28"/>
        </w:rPr>
        <w:t>为推进西部大开发形成新格局，促进西部地区产业结构调整和特色优势产业发展，制定本目录。本目录共包括两部分，一是国家现有产业目录中的鼓励类产业，二是西部地区新增鼓励类产业。在符合市场准入政策的前提下，本目录原则上适用于在西部地区生产经营的各类企业，其中外商投资企业按照《鼓励外商投资产业目录》执行。</w:t>
      </w:r>
    </w:p>
    <w:p>
      <w:pPr>
        <w:spacing w:line="560" w:lineRule="exact"/>
        <w:ind w:firstLine="562" w:firstLineChars="200"/>
        <w:rPr>
          <w:rFonts w:ascii="仿宋_GB2312" w:hAnsi="仿宋_GB2312" w:cs="仿宋_GB2312"/>
          <w:b/>
          <w:bCs/>
          <w:szCs w:val="28"/>
        </w:rPr>
      </w:pPr>
      <w:r>
        <w:rPr>
          <w:rFonts w:hint="eastAsia" w:ascii="仿宋_GB2312" w:hAnsi="仿宋_GB2312" w:cs="仿宋_GB2312"/>
          <w:b/>
          <w:bCs/>
          <w:szCs w:val="28"/>
        </w:rPr>
        <w:t>一、国家现有产业目录中的鼓励类产业</w:t>
      </w:r>
    </w:p>
    <w:p>
      <w:pPr>
        <w:pStyle w:val="6"/>
        <w:spacing w:before="0" w:line="560" w:lineRule="exact"/>
        <w:ind w:left="0" w:firstLine="600"/>
        <w:rPr>
          <w:rFonts w:ascii="仿宋_GB2312" w:hAnsi="仿宋_GB2312" w:eastAsia="仿宋_GB2312" w:cs="仿宋_GB2312"/>
          <w:sz w:val="28"/>
          <w:szCs w:val="28"/>
        </w:rPr>
      </w:pPr>
      <w:r>
        <w:rPr>
          <w:rFonts w:hint="eastAsia" w:ascii="仿宋_GB2312" w:hAnsi="仿宋_GB2312" w:eastAsia="仿宋_GB2312" w:cs="仿宋_GB2312"/>
          <w:position w:val="1"/>
          <w:sz w:val="28"/>
          <w:szCs w:val="28"/>
        </w:rPr>
        <w:t>（一）《产业结构调整指导目录（</w:t>
      </w:r>
      <w:r>
        <w:rPr>
          <w:rFonts w:hint="eastAsia" w:ascii="仿宋_GB2312" w:hAnsi="仿宋_GB2312" w:eastAsia="仿宋_GB2312" w:cs="仿宋_GB2312"/>
          <w:sz w:val="28"/>
          <w:szCs w:val="28"/>
        </w:rPr>
        <w:t xml:space="preserve">2019 </w:t>
      </w:r>
      <w:r>
        <w:rPr>
          <w:rFonts w:hint="eastAsia" w:ascii="仿宋_GB2312" w:hAnsi="仿宋_GB2312" w:eastAsia="仿宋_GB2312" w:cs="仿宋_GB2312"/>
          <w:position w:val="1"/>
          <w:sz w:val="28"/>
          <w:szCs w:val="28"/>
        </w:rPr>
        <w:t xml:space="preserve">年本）》（国家发展改革委令 </w:t>
      </w:r>
      <w:r>
        <w:rPr>
          <w:rFonts w:hint="eastAsia" w:ascii="仿宋_GB2312" w:hAnsi="仿宋_GB2312" w:eastAsia="仿宋_GB2312" w:cs="仿宋_GB2312"/>
          <w:sz w:val="28"/>
          <w:szCs w:val="28"/>
        </w:rPr>
        <w:t xml:space="preserve">2019 </w:t>
      </w:r>
      <w:r>
        <w:rPr>
          <w:rFonts w:hint="eastAsia" w:ascii="仿宋_GB2312" w:hAnsi="仿宋_GB2312" w:eastAsia="仿宋_GB2312" w:cs="仿宋_GB2312"/>
          <w:position w:val="1"/>
          <w:sz w:val="28"/>
          <w:szCs w:val="28"/>
        </w:rPr>
        <w:t xml:space="preserve">年第 </w:t>
      </w:r>
      <w:r>
        <w:rPr>
          <w:rFonts w:hint="eastAsia" w:ascii="仿宋_GB2312" w:hAnsi="仿宋_GB2312" w:eastAsia="仿宋_GB2312" w:cs="仿宋_GB2312"/>
          <w:sz w:val="28"/>
          <w:szCs w:val="28"/>
        </w:rPr>
        <w:t xml:space="preserve">29 </w:t>
      </w:r>
      <w:r>
        <w:rPr>
          <w:rFonts w:hint="eastAsia" w:ascii="仿宋_GB2312" w:hAnsi="仿宋_GB2312" w:eastAsia="仿宋_GB2312" w:cs="仿宋_GB2312"/>
          <w:position w:val="1"/>
          <w:sz w:val="28"/>
          <w:szCs w:val="28"/>
        </w:rPr>
        <w:t>号）中的鼓励类产业。</w:t>
      </w:r>
    </w:p>
    <w:p>
      <w:pPr>
        <w:pStyle w:val="6"/>
        <w:spacing w:before="0" w:line="560" w:lineRule="exact"/>
        <w:ind w:left="0" w:firstLine="600"/>
        <w:rPr>
          <w:rFonts w:ascii="仿宋_GB2312" w:hAnsi="仿宋_GB2312" w:eastAsia="仿宋_GB2312" w:cs="仿宋_GB2312"/>
          <w:sz w:val="28"/>
          <w:szCs w:val="28"/>
        </w:rPr>
      </w:pPr>
      <w:r>
        <w:rPr>
          <w:rFonts w:hint="eastAsia" w:ascii="仿宋_GB2312" w:hAnsi="仿宋_GB2312" w:eastAsia="仿宋_GB2312" w:cs="仿宋_GB2312"/>
          <w:position w:val="1"/>
          <w:sz w:val="28"/>
          <w:szCs w:val="28"/>
        </w:rPr>
        <w:t>（二）《鼓励外商投资产业目录（</w:t>
      </w:r>
      <w:r>
        <w:rPr>
          <w:rFonts w:hint="eastAsia" w:ascii="仿宋_GB2312" w:hAnsi="仿宋_GB2312" w:eastAsia="仿宋_GB2312" w:cs="仿宋_GB2312"/>
          <w:sz w:val="28"/>
          <w:szCs w:val="28"/>
        </w:rPr>
        <w:t xml:space="preserve">2020 </w:t>
      </w:r>
      <w:r>
        <w:rPr>
          <w:rFonts w:hint="eastAsia" w:ascii="仿宋_GB2312" w:hAnsi="仿宋_GB2312" w:eastAsia="仿宋_GB2312" w:cs="仿宋_GB2312"/>
          <w:position w:val="1"/>
          <w:sz w:val="28"/>
          <w:szCs w:val="28"/>
        </w:rPr>
        <w:t xml:space="preserve">年版）》（国家发展改革委、商务部令 </w:t>
      </w:r>
      <w:r>
        <w:rPr>
          <w:rFonts w:hint="eastAsia" w:ascii="仿宋_GB2312" w:hAnsi="仿宋_GB2312" w:eastAsia="仿宋_GB2312" w:cs="仿宋_GB2312"/>
          <w:sz w:val="28"/>
          <w:szCs w:val="28"/>
        </w:rPr>
        <w:t xml:space="preserve">2020 </w:t>
      </w:r>
      <w:r>
        <w:rPr>
          <w:rFonts w:hint="eastAsia" w:ascii="仿宋_GB2312" w:hAnsi="仿宋_GB2312" w:eastAsia="仿宋_GB2312" w:cs="仿宋_GB2312"/>
          <w:position w:val="1"/>
          <w:sz w:val="28"/>
          <w:szCs w:val="28"/>
        </w:rPr>
        <w:t xml:space="preserve">年第 </w:t>
      </w:r>
      <w:r>
        <w:rPr>
          <w:rFonts w:hint="eastAsia" w:ascii="仿宋_GB2312" w:hAnsi="仿宋_GB2312" w:eastAsia="仿宋_GB2312" w:cs="仿宋_GB2312"/>
          <w:sz w:val="28"/>
          <w:szCs w:val="28"/>
        </w:rPr>
        <w:t xml:space="preserve">38 </w:t>
      </w:r>
      <w:r>
        <w:rPr>
          <w:rFonts w:hint="eastAsia" w:ascii="仿宋_GB2312" w:hAnsi="仿宋_GB2312" w:eastAsia="仿宋_GB2312" w:cs="仿宋_GB2312"/>
          <w:position w:val="1"/>
          <w:sz w:val="28"/>
          <w:szCs w:val="28"/>
        </w:rPr>
        <w:t>号）中的产业。</w:t>
      </w:r>
      <w:r>
        <w:rPr>
          <w:rFonts w:hint="eastAsia" w:ascii="仿宋_GB2312" w:hAnsi="仿宋_GB2312" w:eastAsia="仿宋_GB2312" w:cs="仿宋_GB2312"/>
          <w:sz w:val="28"/>
          <w:szCs w:val="28"/>
        </w:rPr>
        <w:t>以上目录如修订，按新修订版本执行。</w:t>
      </w:r>
    </w:p>
    <w:p>
      <w:pPr>
        <w:pStyle w:val="6"/>
        <w:spacing w:before="0" w:line="560" w:lineRule="exact"/>
        <w:ind w:left="0" w:firstLine="600"/>
        <w:rPr>
          <w:rFonts w:ascii="仿宋_GB2312" w:hAnsi="仿宋_GB2312" w:eastAsia="仿宋_GB2312" w:cs="仿宋_GB2312"/>
          <w:sz w:val="28"/>
          <w:szCs w:val="28"/>
        </w:rPr>
      </w:pPr>
      <w:r>
        <w:rPr>
          <w:rFonts w:hint="eastAsia" w:ascii="仿宋_GB2312" w:hAnsi="仿宋_GB2312" w:eastAsia="仿宋_GB2312" w:cs="仿宋_GB2312"/>
          <w:b/>
          <w:bCs/>
          <w:sz w:val="28"/>
          <w:szCs w:val="28"/>
        </w:rPr>
        <w:t>二、西部地区新增鼓励类产业</w:t>
      </w:r>
    </w:p>
    <w:p>
      <w:pPr>
        <w:spacing w:line="560" w:lineRule="exact"/>
        <w:ind w:firstLine="560" w:firstLineChars="200"/>
        <w:jc w:val="left"/>
        <w:rPr>
          <w:rFonts w:ascii="仿宋_GB2312" w:hAnsi="仿宋_GB2312" w:cs="仿宋_GB2312"/>
          <w:szCs w:val="28"/>
        </w:rPr>
      </w:pPr>
      <w:r>
        <w:rPr>
          <w:rFonts w:hint="eastAsia" w:ascii="仿宋_GB2312" w:hAnsi="仿宋_GB2312" w:cs="仿宋_GB2312"/>
          <w:szCs w:val="28"/>
        </w:rPr>
        <w:t>西部地区新增鼓励类产业按省、自治区、直辖市分列，原则上适用于在相应省、自治区、直辖市生产经营的内资企业，并根据实际情况适时修订；如所列产业被国家相关产业目录明确为限制、淘汰、禁止等类型产业，其鼓励类属性自然免除。</w:t>
      </w:r>
    </w:p>
    <w:p>
      <w:pPr>
        <w:spacing w:line="560" w:lineRule="exact"/>
        <w:ind w:firstLine="562" w:firstLineChars="200"/>
        <w:jc w:val="left"/>
        <w:rPr>
          <w:rFonts w:ascii="仿宋_GB2312" w:hAnsi="仿宋_GB2312" w:cs="仿宋_GB2312"/>
          <w:b/>
          <w:bCs/>
          <w:szCs w:val="28"/>
        </w:rPr>
      </w:pPr>
      <w:r>
        <w:rPr>
          <w:rFonts w:hint="eastAsia" w:ascii="仿宋_GB2312" w:hAnsi="仿宋_GB2312" w:cs="仿宋_GB2312"/>
          <w:b/>
          <w:bCs/>
          <w:szCs w:val="28"/>
        </w:rPr>
        <w:t>内蒙古自治区</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1.沙生植物种植与加工，林产品的生产及深加工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2.兽用药品制造、饲用微生物添加剂开发及生产（《产业结构调整指导目录》限制类、淘汰类项目除外）</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3.蒙医药研发、生产、销售</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4.有机—无机复混肥料生产，有机肥料生产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5.太阳能发电系统建设及运营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6.风力发电场建设及运营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7.高性能稀土永磁、催化、抛光、合金、储氢、发光等稀土功能材料、器件开发及生产，稀土钢开发及应用；高纯稀土化合物、高纯稀土金属、稀土助剂的开发及生产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8.锗、铀等新材料研发及应用：重水堆、压水堆、气冷堆系列民用核电燃料组件制造、钍资源开发利用、高纯锗及光纤通讯生产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9.6 万吨/年及以上聚甲醛、6 万吨/年及以上二甲基甲酰胺、6 万吨/年及以上聚乙烯醇等精细化工产品生产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10.15 万吨/年及以上单套无水煤焦油深加工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11.300 万吨/年及以上（焦煤 150 万吨/年及以上）安全高效煤矿（含矿井、露天）建设与生产，安全高产高效采煤技术开发利用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12.无汞催化剂聚氯乙烯生产技术开发及应用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13.六氟乙烷等精细氟化工产品生产（《产业结构调整指导目录》限制类、淘汰类项目除外）</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14.石墨烯和纳米碳材料、细结构石墨、生物炭、锂电池负极等新型碳材料开发及生产；先进高分子材料、石墨新材料、高端金属材料、高性能纤维及复合材料等新材料产业（生产、精深加工及其应用）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15.煤系高岭土替代高铝矾土系列耐火材料产品及其它非金属耐火材料及制品生产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16.大口径高压厚壁锅炉管生产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17.磁感应强度 0.3T 及以上的稀土永磁核磁共振影像设备的研发及制造</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18.牧区户用小型风机制造</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19.汽车整车制造，专用汽车（不包括普通挂车、自卸车、厢式车和仓栅式汽车）制造</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20.90 吨及以上非公路矿用自卸车制造（《产业结构调整指导目录》限制类、淘汰类项目除外）</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21.毛绒棉纺织加工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22.民族工艺品加工生产</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23.公路旅客运输，公路、铁路货物运输及多式联运</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24.宽带网络建设及运营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25.进口木材加工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26.口岸物流设施（物流仓库、堆场、装卸搬运工具、多式联运转运设施以及物流信息平台等）建设及经营；村级快递物流综合服务站建设及运营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27.服务“三农”、小微企业、个体工商户的小额贷款金融服务</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28.服务外包</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29.医疗机构经营</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30.飞行员培训</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31.农村生活污水治理、生活垃圾治理、畜禽粪便处理及厕所革命等农村人居环境整治相关技术开发及应用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32.传统蒙古包、蒙古族服装服饰的传承创新与开发应用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33.新建 120 万吨/年及以上天然碱综合开发利用项目</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34.石油、天然气、电力等能源储备设施和系统建设及运营，电储能技术开发与应用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35.5G 网络建设及运营，5G 技术开发及应用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36.人工智能技术开发及应用</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37.在边境县市进行边境贸易进出口产品加工（《产业结构调整指导目录》限制类、淘汰类项目除外）</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38.电子信息制造产业（新型显示除外），软件与信息服务业</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39.铝后加工产业链配套项目（《产业结构调整指导目录》限制类、淘汰类项目除外）</w:t>
      </w:r>
    </w:p>
    <w:p>
      <w:pPr>
        <w:spacing w:line="560" w:lineRule="exact"/>
        <w:ind w:firstLine="560" w:firstLineChars="200"/>
        <w:jc w:val="left"/>
        <w:rPr>
          <w:rFonts w:ascii="仿宋_GB2312" w:hAnsi="仿宋_GB2312" w:cs="仿宋_GB2312"/>
          <w:color w:val="000000"/>
          <w:kern w:val="0"/>
          <w:szCs w:val="28"/>
          <w:lang w:bidi="ar"/>
        </w:rPr>
      </w:pPr>
      <w:r>
        <w:rPr>
          <w:rFonts w:hint="eastAsia" w:ascii="仿宋_GB2312" w:hAnsi="仿宋_GB2312" w:cs="仿宋_GB2312"/>
          <w:color w:val="000000"/>
          <w:kern w:val="0"/>
          <w:szCs w:val="28"/>
          <w:lang w:bidi="ar"/>
        </w:rPr>
        <w:t>40.现代马文化产业</w:t>
      </w:r>
    </w:p>
    <w:p>
      <w:pPr>
        <w:spacing w:line="560" w:lineRule="exact"/>
        <w:ind w:firstLine="560" w:firstLineChars="200"/>
        <w:jc w:val="left"/>
      </w:pPr>
      <w:r>
        <w:rPr>
          <w:rFonts w:hint="eastAsia" w:ascii="仿宋_GB2312" w:hAnsi="仿宋_GB2312" w:cs="仿宋_GB2312"/>
          <w:color w:val="000000"/>
          <w:kern w:val="0"/>
          <w:szCs w:val="28"/>
          <w:lang w:bidi="ar"/>
        </w:rPr>
        <w:t>41.氢加工制造、氢能燃料电池制造、输氢管道和加氢站建设</w:t>
      </w:r>
      <w:r>
        <w:rPr>
          <w:rFonts w:hint="eastAsia"/>
        </w:rPr>
        <w:t>第</w:t>
      </w: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pPr>
    </w:p>
    <w:p>
      <w:pPr>
        <w:pStyle w:val="2"/>
        <w:spacing w:line="560" w:lineRule="exact"/>
        <w:ind w:left="560"/>
      </w:pPr>
    </w:p>
    <w:p>
      <w:pPr>
        <w:spacing w:line="560" w:lineRule="exact"/>
        <w:jc w:val="center"/>
        <w:rPr>
          <w:rFonts w:hint="eastAsia" w:ascii="仿宋_GB2312" w:hAnsi="仿宋_GB2312" w:cs="仿宋_GB2312"/>
          <w:b/>
          <w:bCs/>
          <w:szCs w:val="28"/>
        </w:rPr>
      </w:pPr>
    </w:p>
    <w:p>
      <w:pPr>
        <w:spacing w:line="560" w:lineRule="exact"/>
        <w:jc w:val="center"/>
        <w:rPr>
          <w:rFonts w:ascii="仿宋_GB2312" w:hAnsi="仿宋_GB2312" w:cs="仿宋_GB2312"/>
          <w:b/>
          <w:bCs/>
          <w:szCs w:val="28"/>
        </w:rPr>
      </w:pPr>
      <w:r>
        <w:rPr>
          <w:rFonts w:hint="eastAsia" w:ascii="仿宋_GB2312" w:hAnsi="仿宋_GB2312" w:cs="仿宋_GB2312"/>
          <w:b/>
          <w:bCs/>
          <w:szCs w:val="28"/>
        </w:rPr>
        <w:t>《呼伦贝尔市加强招商引资工作若干政策措施》</w:t>
      </w:r>
    </w:p>
    <w:p>
      <w:pPr>
        <w:spacing w:line="560" w:lineRule="exact"/>
        <w:jc w:val="center"/>
        <w:rPr>
          <w:rFonts w:hint="eastAsia" w:eastAsia="仿宋_GB2312"/>
          <w:lang w:eastAsia="zh-CN"/>
        </w:rPr>
      </w:pPr>
      <w:r>
        <w:rPr>
          <w:rFonts w:hint="eastAsia"/>
          <w:lang w:eastAsia="zh-CN"/>
        </w:rPr>
        <w:t>（</w:t>
      </w:r>
      <w:r>
        <w:rPr>
          <w:rFonts w:hint="eastAsia"/>
        </w:rPr>
        <w:t>呼政办</w:t>
      </w:r>
      <w:r>
        <w:rPr>
          <w:rFonts w:hint="eastAsia" w:ascii="仿宋_GB2312" w:hAnsi="仿宋_GB2312" w:cs="仿宋_GB2312"/>
          <w:szCs w:val="28"/>
        </w:rPr>
        <w:t>〔202</w:t>
      </w:r>
      <w:r>
        <w:rPr>
          <w:rFonts w:hint="eastAsia" w:ascii="仿宋_GB2312" w:hAnsi="仿宋_GB2312" w:cs="仿宋_GB2312"/>
          <w:szCs w:val="28"/>
          <w:lang w:val="en-US" w:eastAsia="zh-CN"/>
        </w:rPr>
        <w:t>2</w:t>
      </w:r>
      <w:r>
        <w:rPr>
          <w:rFonts w:hint="eastAsia" w:ascii="仿宋_GB2312" w:hAnsi="仿宋_GB2312" w:cs="仿宋_GB2312"/>
          <w:szCs w:val="28"/>
        </w:rPr>
        <w:t>〕</w:t>
      </w:r>
      <w:r>
        <w:rPr>
          <w:rFonts w:hint="eastAsia"/>
          <w:lang w:val="en-US" w:eastAsia="zh-CN"/>
        </w:rPr>
        <w:t>21</w:t>
      </w:r>
      <w:r>
        <w:rPr>
          <w:rFonts w:hint="eastAsia"/>
        </w:rPr>
        <w:t>号</w:t>
      </w:r>
      <w:r>
        <w:rPr>
          <w:rFonts w:hint="eastAsia"/>
          <w:lang w:eastAsia="zh-CN"/>
        </w:rPr>
        <w:t>）</w:t>
      </w:r>
    </w:p>
    <w:p>
      <w:pPr>
        <w:spacing w:line="560" w:lineRule="exact"/>
        <w:ind w:firstLine="560" w:firstLineChars="200"/>
      </w:pPr>
      <w:r>
        <w:rPr>
          <w:rFonts w:hint="eastAsia"/>
        </w:rPr>
        <w:t>为深入贯彻落实习近平总书记对内蒙古重要讲话重要指示批示精神，全面落实党的十九大和十九届历次全会精神，坚持以“生态优先、绿色发展”为导向，把招商引资作为经济扩总量、提质量的重要抓手，进一步优化招商引资政策环境，推动我市经济社会转型发展、绿色发展、高质量发展，制定如下措施。</w:t>
      </w:r>
    </w:p>
    <w:p>
      <w:pPr>
        <w:spacing w:line="560" w:lineRule="exact"/>
        <w:ind w:firstLine="562" w:firstLineChars="200"/>
      </w:pPr>
      <w:r>
        <w:rPr>
          <w:rFonts w:hint="eastAsia"/>
          <w:b/>
          <w:bCs/>
        </w:rPr>
        <w:t>第一条</w:t>
      </w:r>
      <w:r>
        <w:rPr>
          <w:rFonts w:hint="eastAsia"/>
        </w:rPr>
        <w:t xml:space="preserve"> 本政策措施重点支持生态农畜林产品生产加工业新兴产业、生态环保产业、装备制造业、传统产业创新、现代服务业等符合高质量发展要求的项目，适用于在我市各旗市区、呼伦贝尔经济技术开发区、呼伦贝尔牙克石高新技术产业开发区，呼伦贝尔岭东农畜林产品开发区(以下简称开发区)投资的企业。(新开工固定资产投资 5000 万元以上，生态农畜林产品深加工固定资产投资 3000 万元以上，企业技改扩规一次性完成固定资产投资 2000 万元以上、现代机械装备制造和文化旅游固定资产投资 2000 万元以上，上述固定资产投资不包含土地出让金，并完成固定资产投资的项目。在我市注册的科技创新类企业可不受固定资产投资限制。）</w:t>
      </w:r>
    </w:p>
    <w:p>
      <w:pPr>
        <w:spacing w:line="560" w:lineRule="exact"/>
        <w:ind w:firstLine="562" w:firstLineChars="200"/>
      </w:pPr>
      <w:r>
        <w:rPr>
          <w:rFonts w:hint="eastAsia"/>
          <w:b/>
          <w:bCs/>
        </w:rPr>
        <w:t>第二条</w:t>
      </w:r>
      <w:r>
        <w:rPr>
          <w:rFonts w:hint="eastAsia"/>
        </w:rPr>
        <w:t xml:space="preserve"> 市本级和旗市区（开发区）财政部门分别设立市旗两级招商引资项目扶持资金，资金来源于市旗两级财政资金划拔，扶持资金列入同级财政预算。本政策措施中所有奖励均从两级招商引资项日扶持资金中解决，分级承担，并于次年兑现。</w:t>
      </w:r>
    </w:p>
    <w:p>
      <w:pPr>
        <w:spacing w:line="560" w:lineRule="exact"/>
        <w:ind w:firstLine="562" w:firstLineChars="200"/>
      </w:pPr>
      <w:r>
        <w:rPr>
          <w:rFonts w:hint="eastAsia"/>
          <w:b/>
          <w:bCs/>
        </w:rPr>
        <w:t xml:space="preserve">第三条 </w:t>
      </w:r>
      <w:r>
        <w:rPr>
          <w:rFonts w:hint="eastAsia"/>
        </w:rPr>
        <w:t>以出让方式获得土地使用权，在项目竣工投产运营后，按固定资产投资额的 3%给予一次性奖励，支持项目发展壮大，奖励额度不高于用地实际取得成本。</w:t>
      </w:r>
    </w:p>
    <w:p>
      <w:pPr>
        <w:spacing w:line="560" w:lineRule="exact"/>
        <w:ind w:firstLine="562" w:firstLineChars="200"/>
      </w:pPr>
      <w:r>
        <w:rPr>
          <w:rFonts w:hint="eastAsia"/>
          <w:b/>
          <w:bCs/>
        </w:rPr>
        <w:t>第四条</w:t>
      </w:r>
      <w:r>
        <w:rPr>
          <w:rFonts w:hint="eastAsia"/>
        </w:rPr>
        <w:t xml:space="preserve"> 对2022 年3月1日前已投产达效的既有企业，在不新增建设用地情况下，实施技术改造及扩大再生产，一次性完成固定资产投资2000 万元以上的项目，在技改或扩规投产后，按新增固定资产投资额的 1.5%给予一次性奖励；对节能減排、固废等资源综合利用技改项目，按新增固定资产投资额的3%给予一次性奖励。</w:t>
      </w:r>
    </w:p>
    <w:p>
      <w:pPr>
        <w:spacing w:line="560" w:lineRule="exact"/>
        <w:ind w:firstLine="562" w:firstLineChars="200"/>
      </w:pPr>
      <w:r>
        <w:rPr>
          <w:rFonts w:hint="eastAsia"/>
          <w:b/>
          <w:bCs/>
        </w:rPr>
        <w:t>第五条</w:t>
      </w:r>
      <w:r>
        <w:rPr>
          <w:rFonts w:hint="eastAsia"/>
        </w:rPr>
        <w:t xml:space="preserve"> 固定资产投资达到 5亿元的大型商贸综合体、固定资产投资达到3亿元的大宗物流中心等项目，在符合项目用地且合法合规的前提下，可在项目区域或适当地块供应住宅用地。</w:t>
      </w:r>
    </w:p>
    <w:p>
      <w:pPr>
        <w:spacing w:line="560" w:lineRule="exact"/>
        <w:ind w:firstLine="562" w:firstLineChars="200"/>
      </w:pPr>
      <w:r>
        <w:rPr>
          <w:rFonts w:hint="eastAsia"/>
          <w:b/>
          <w:bCs/>
        </w:rPr>
        <w:t>第六条</w:t>
      </w:r>
      <w:r>
        <w:rPr>
          <w:rFonts w:hint="eastAsia"/>
        </w:rPr>
        <w:t xml:space="preserve"> 对新引进的生态农畜林产品加工、规模化乳制品加工、生物科技、装备制造、大数据、文化旅游、冰雪等重点产业的相关企业，满足呼伦贝尔市人民政府《关于印发&lt;呼伦贝尔市人民政府支持旗市区重点产业发展的扶持意见（试行）&gt;的通知》(呼政字〔2020〕41号)政策条件的，同时也享受该政策措花。</w:t>
      </w:r>
    </w:p>
    <w:p>
      <w:pPr>
        <w:spacing w:line="560" w:lineRule="exact"/>
        <w:ind w:firstLine="562" w:firstLineChars="200"/>
      </w:pPr>
      <w:r>
        <w:rPr>
          <w:rFonts w:hint="eastAsia"/>
          <w:b/>
          <w:bCs/>
        </w:rPr>
        <w:t xml:space="preserve">第七条 </w:t>
      </w:r>
      <w:r>
        <w:rPr>
          <w:rFonts w:hint="eastAsia"/>
        </w:rPr>
        <w:t>对新引进的 “世界500强”“中国民营 500 强”中央企业、中国独角兽企业、国家级高新技术企业，且对我市经济发展做出突出贡献的，给子“世界500强”企业不高于1000万元的一次性落户奖励，其他企业不高于 500万元的一次性落户奖励。</w:t>
      </w:r>
    </w:p>
    <w:p>
      <w:pPr>
        <w:spacing w:line="560" w:lineRule="exact"/>
        <w:ind w:firstLine="562" w:firstLineChars="200"/>
      </w:pPr>
      <w:r>
        <w:rPr>
          <w:rFonts w:hint="eastAsia"/>
          <w:b/>
          <w:bCs/>
        </w:rPr>
        <w:t>第八条</w:t>
      </w:r>
      <w:r>
        <w:rPr>
          <w:rFonts w:hint="eastAsia"/>
        </w:rPr>
        <w:t xml:space="preserve"> 对新引进的科技创新企业，可提供免费办公场所，具体奖励标准，按照呼伦贝尔市人民政府《印发&lt;关于落实“科技兴蒙”</w:t>
      </w:r>
    </w:p>
    <w:p>
      <w:pPr>
        <w:spacing w:line="560" w:lineRule="exact"/>
      </w:pPr>
      <w:r>
        <w:rPr>
          <w:rFonts w:hint="eastAsia"/>
        </w:rPr>
        <w:t>行动促进科技创新若干政策措施&gt;的通知》（呼政发</w:t>
      </w:r>
      <w:r>
        <w:rPr>
          <w:rFonts w:hint="eastAsia" w:ascii="宋体" w:hAnsi="宋体" w:eastAsia="宋体" w:cs="宋体"/>
        </w:rPr>
        <w:t>〔</w:t>
      </w:r>
      <w:r>
        <w:rPr>
          <w:rFonts w:hint="eastAsia"/>
        </w:rPr>
        <w:t>2021〕22号）执行。</w:t>
      </w:r>
    </w:p>
    <w:p>
      <w:pPr>
        <w:spacing w:line="560" w:lineRule="exact"/>
        <w:ind w:firstLine="562" w:firstLineChars="200"/>
      </w:pPr>
      <w:r>
        <w:rPr>
          <w:rFonts w:hint="eastAsia"/>
          <w:b/>
          <w:bCs/>
        </w:rPr>
        <w:t>第九条</w:t>
      </w:r>
      <w:r>
        <w:rPr>
          <w:rFonts w:hint="eastAsia"/>
        </w:rPr>
        <w:t xml:space="preserve"> 对呼伦贝尔市产业具有延链补链强链作用的重点项目，且形成产业共生发展的循环经济模式，在依法依规的前提下，优先完善基础设施，强化生产要素保障。</w:t>
      </w:r>
    </w:p>
    <w:p>
      <w:pPr>
        <w:spacing w:line="560" w:lineRule="exact"/>
        <w:ind w:firstLine="562" w:firstLineChars="200"/>
      </w:pPr>
      <w:r>
        <w:rPr>
          <w:rFonts w:hint="eastAsia"/>
          <w:b/>
          <w:bCs/>
        </w:rPr>
        <w:t>第十条</w:t>
      </w:r>
      <w:r>
        <w:rPr>
          <w:rFonts w:hint="eastAsia"/>
        </w:rPr>
        <w:t xml:space="preserve"> 在符合国家产业政策前提下，对新建固定资产投资强度大、科技含量高、地方贡献大、带动能力强的重大项目，采取“一企一策”的方式进行奖励。</w:t>
      </w:r>
    </w:p>
    <w:p>
      <w:pPr>
        <w:spacing w:line="560" w:lineRule="exact"/>
        <w:ind w:firstLine="562" w:firstLineChars="200"/>
      </w:pPr>
      <w:r>
        <w:rPr>
          <w:rFonts w:hint="eastAsia"/>
          <w:b/>
          <w:bCs/>
        </w:rPr>
        <w:t>第十一条</w:t>
      </w:r>
      <w:r>
        <w:rPr>
          <w:rFonts w:hint="eastAsia"/>
        </w:rPr>
        <w:t xml:space="preserve"> 在项目引进落地过程中，对起到决定性作用的企业、商会、协会、第三方机构、个人给子奖励，项目落地投产后，按照新引进项目实际完成固定资产投资的 3%给子奖励，奖励最高不超过100万元。</w:t>
      </w:r>
    </w:p>
    <w:p>
      <w:pPr>
        <w:spacing w:line="560" w:lineRule="exact"/>
        <w:ind w:firstLine="562" w:firstLineChars="200"/>
      </w:pPr>
      <w:r>
        <w:rPr>
          <w:rFonts w:hint="eastAsia"/>
          <w:b/>
          <w:bCs/>
        </w:rPr>
        <w:t>第十二条</w:t>
      </w:r>
      <w:r>
        <w:rPr>
          <w:rFonts w:hint="eastAsia"/>
        </w:rPr>
        <w:t xml:space="preserve"> 对高层次人才创业团队在我市注册创办企业，在国内同行业达到领先水平，并在相关领域取得突出的创新成果，给子经费支持。对我市引进的高层次人才，在政策</w:t>
      </w:r>
      <w:bookmarkStart w:id="150" w:name="_GoBack"/>
      <w:bookmarkEnd w:id="150"/>
      <w:r>
        <w:rPr>
          <w:rFonts w:hint="eastAsia"/>
        </w:rPr>
        <w:t>支持、子女入学、就医、落户等服务保障方面，按照我市出合的人才引进政策执行。</w:t>
      </w:r>
    </w:p>
    <w:p>
      <w:pPr>
        <w:spacing w:line="560" w:lineRule="exact"/>
        <w:ind w:firstLine="562" w:firstLineChars="200"/>
      </w:pPr>
      <w:r>
        <w:rPr>
          <w:rFonts w:hint="eastAsia"/>
          <w:b/>
          <w:bCs/>
        </w:rPr>
        <w:t>第十三条</w:t>
      </w:r>
      <w:r>
        <w:rPr>
          <w:rFonts w:hint="eastAsia"/>
        </w:rPr>
        <w:t xml:space="preserve"> 为企业投资入驻提供优质服务和优良环境，对招商引资重点项目实施市本级和旗市区（开发区）两级领导包联，专人专班专项推进，提供项目前期手续帮办代办服务，跟踪解决项目建设相关问题。</w:t>
      </w:r>
    </w:p>
    <w:p>
      <w:pPr>
        <w:spacing w:line="560" w:lineRule="exact"/>
        <w:ind w:firstLine="562" w:firstLineChars="200"/>
      </w:pPr>
      <w:r>
        <w:rPr>
          <w:rFonts w:hint="eastAsia"/>
          <w:b/>
          <w:bCs/>
        </w:rPr>
        <w:t>第十四条</w:t>
      </w:r>
      <w:r>
        <w:rPr>
          <w:rFonts w:hint="eastAsia"/>
        </w:rPr>
        <w:t xml:space="preserve"> 同一企业满足本政策措施多项奖动条件的，可享受本政策措施中的多项奖励；符合我市其他奖励政策的，按照就高不重复原则给子奖励。已获得本政策措施奖历资金的企业，不得以同一个项目继续申报本级、上级其他财政专项资金的支持。</w:t>
      </w:r>
    </w:p>
    <w:p>
      <w:pPr>
        <w:spacing w:line="560" w:lineRule="exact"/>
        <w:ind w:firstLine="560" w:firstLineChars="200"/>
      </w:pPr>
      <w:r>
        <w:rPr>
          <w:rFonts w:hint="eastAsia"/>
        </w:rPr>
        <w:t>本政策措施不包含政府资金参与项目、政府审批的特许经营项目、采矿业、建筑业、房地产其础设施及光伏电站、风力发电等能源开发项目。具体政策措施执行由各旗市区、开发区初步审核后，报行业主管部门认定。满洲里市、扎赉诺尔区可参照本政策措施制定相应工作措施。</w:t>
      </w:r>
    </w:p>
    <w:p>
      <w:pPr>
        <w:spacing w:line="560" w:lineRule="exact"/>
        <w:ind w:firstLine="560" w:firstLineChars="200"/>
      </w:pPr>
      <w:r>
        <w:rPr>
          <w:rFonts w:hint="eastAsia"/>
        </w:rPr>
        <w:t>本政策措施自文件印发之日起执行，有效期3年，相关奖励政策措施的效期后延至政策兑现结束。</w:t>
      </w: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hint="eastAsia" w:ascii="仿宋_GB2312" w:hAnsi="仿宋_GB2312" w:cs="仿宋_GB2312"/>
          <w:b/>
          <w:bCs/>
          <w:lang w:eastAsia="zh-CN"/>
        </w:rPr>
      </w:pPr>
    </w:p>
    <w:p>
      <w:pPr>
        <w:spacing w:line="560" w:lineRule="exact"/>
        <w:jc w:val="both"/>
        <w:rPr>
          <w:rFonts w:ascii="仿宋_GB2312" w:hAnsi="仿宋_GB2312" w:cs="仿宋_GB2312"/>
          <w:b/>
          <w:bCs/>
        </w:rPr>
      </w:pPr>
      <w:r>
        <w:rPr>
          <w:rFonts w:hint="eastAsia" w:ascii="仿宋_GB2312" w:hAnsi="仿宋_GB2312" w:cs="仿宋_GB2312"/>
          <w:b/>
          <w:bCs/>
          <w:lang w:eastAsia="zh-CN"/>
        </w:rPr>
        <w:t>《</w:t>
      </w:r>
      <w:r>
        <w:rPr>
          <w:rFonts w:hint="eastAsia" w:ascii="仿宋_GB2312" w:hAnsi="仿宋_GB2312" w:cs="仿宋_GB2312"/>
          <w:b/>
          <w:bCs/>
        </w:rPr>
        <w:t>呼伦贝尔市人民政府支持旗市区重点产业发展的扶持意见 （试行）</w:t>
      </w:r>
      <w:r>
        <w:rPr>
          <w:rFonts w:hint="eastAsia" w:ascii="仿宋_GB2312" w:hAnsi="仿宋_GB2312" w:cs="仿宋_GB2312"/>
          <w:b/>
          <w:bCs/>
          <w:lang w:eastAsia="zh-CN"/>
        </w:rPr>
        <w:t>》</w:t>
      </w:r>
    </w:p>
    <w:p>
      <w:pPr>
        <w:spacing w:line="560" w:lineRule="exact"/>
        <w:jc w:val="center"/>
        <w:rPr>
          <w:rFonts w:ascii="仿宋_GB2312" w:hAnsi="仿宋_GB2312" w:cs="仿宋_GB2312"/>
        </w:rPr>
      </w:pPr>
      <w:r>
        <w:rPr>
          <w:rFonts w:hint="eastAsia" w:ascii="仿宋_GB2312" w:hAnsi="仿宋_GB2312" w:cs="仿宋_GB2312"/>
          <w:lang w:eastAsia="zh-CN"/>
        </w:rPr>
        <w:t>（</w:t>
      </w:r>
      <w:r>
        <w:rPr>
          <w:rFonts w:hint="eastAsia" w:ascii="仿宋_GB2312" w:hAnsi="仿宋_GB2312" w:cs="仿宋_GB2312"/>
        </w:rPr>
        <w:t>呼政字〔2020〕41号</w:t>
      </w:r>
      <w:r>
        <w:rPr>
          <w:rFonts w:hint="eastAsia" w:ascii="仿宋_GB2312" w:hAnsi="仿宋_GB2312" w:cs="仿宋_GB2312"/>
          <w:lang w:eastAsia="zh-CN"/>
        </w:rPr>
        <w:t>）</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一、扶持对象</w:t>
      </w:r>
    </w:p>
    <w:p>
      <w:pPr>
        <w:spacing w:line="560" w:lineRule="exact"/>
        <w:ind w:firstLine="560" w:firstLineChars="200"/>
        <w:rPr>
          <w:rFonts w:ascii="仿宋_GB2312" w:hAnsi="仿宋_GB2312" w:cs="仿宋_GB2312"/>
        </w:rPr>
      </w:pPr>
      <w:r>
        <w:rPr>
          <w:rFonts w:hint="eastAsia" w:ascii="仿宋_GB2312" w:hAnsi="仿宋_GB2312" w:cs="仿宋_GB2312"/>
        </w:rPr>
        <w:t>按照“以生态优先、绿色发展为导向的高质量发展新路子”要求，符合呼伦贝尔市重点产业发展方向，从事规模化乳制品加工、生物科技、文化旅游、装备制造、绿色农畜林产品加工、大数据、冰雪等重点产业的相关企业，具体要求如下：</w:t>
      </w:r>
    </w:p>
    <w:p>
      <w:pPr>
        <w:spacing w:line="560" w:lineRule="exact"/>
        <w:ind w:firstLine="560" w:firstLineChars="200"/>
        <w:rPr>
          <w:rFonts w:ascii="仿宋_GB2312" w:hAnsi="仿宋_GB2312" w:cs="仿宋_GB2312"/>
        </w:rPr>
      </w:pPr>
      <w:r>
        <w:rPr>
          <w:rFonts w:hint="eastAsia" w:ascii="仿宋_GB2312" w:hAnsi="仿宋_GB2312" w:cs="仿宋_GB2312"/>
        </w:rPr>
        <w:t>（一）规模化乳制品加工企业。支持引进母公司、自身、其关联公司在国内主板、境外知名证券交易所上市且业绩优良的公司，或在呼伦贝尔市投资额度达到20亿元以上的相关企业（在此扶持政策出台前，已在我市投产的乳品加工企业，需新增投资额度达20亿元以上）。</w:t>
      </w:r>
    </w:p>
    <w:p>
      <w:pPr>
        <w:spacing w:line="560" w:lineRule="exact"/>
        <w:ind w:firstLine="560" w:firstLineChars="200"/>
        <w:rPr>
          <w:rFonts w:ascii="仿宋_GB2312" w:hAnsi="仿宋_GB2312" w:cs="仿宋_GB2312"/>
        </w:rPr>
      </w:pPr>
      <w:r>
        <w:rPr>
          <w:rFonts w:hint="eastAsia" w:ascii="仿宋_GB2312" w:hAnsi="仿宋_GB2312" w:cs="仿宋_GB2312"/>
        </w:rPr>
        <w:t>（二）生物科技企业。在呼伦贝尔市行政区域内登记注册具有独立法人资格的从事生物科技产业的公司，并且在呼伦贝尔市投资额度达30亿元以上的相关企业（在此扶持政策出台前，已在我市投产的生物科技企业，需新增投资额度达30亿元以上）。</w:t>
      </w:r>
    </w:p>
    <w:p>
      <w:pPr>
        <w:spacing w:line="560" w:lineRule="exact"/>
        <w:ind w:firstLine="560" w:firstLineChars="200"/>
        <w:rPr>
          <w:rFonts w:ascii="仿宋_GB2312" w:hAnsi="仿宋_GB2312" w:cs="仿宋_GB2312"/>
        </w:rPr>
      </w:pPr>
      <w:r>
        <w:rPr>
          <w:rFonts w:hint="eastAsia" w:ascii="仿宋_GB2312" w:hAnsi="仿宋_GB2312" w:cs="仿宋_GB2312"/>
        </w:rPr>
        <w:t>（三）文化旅游企业。支持引进母公司、自身、其关联公司在国内主板、境外知名证券交易所上市且业绩优良的公司，并在呼伦贝尔市行政区域内登记注册具有独立法人资格的从事文化旅游产业的公司（在内蒙古自治区范围内将呼伦贝尔市作为唯一企业注册地）。</w:t>
      </w:r>
    </w:p>
    <w:p>
      <w:pPr>
        <w:spacing w:line="560" w:lineRule="exact"/>
        <w:ind w:firstLine="560" w:firstLineChars="200"/>
        <w:rPr>
          <w:rFonts w:ascii="仿宋_GB2312" w:hAnsi="仿宋_GB2312" w:cs="仿宋_GB2312"/>
        </w:rPr>
      </w:pPr>
      <w:r>
        <w:rPr>
          <w:rFonts w:hint="eastAsia" w:ascii="仿宋_GB2312" w:hAnsi="仿宋_GB2312" w:cs="仿宋_GB2312"/>
        </w:rPr>
        <w:t>（四）装备制造企业。支持引进母公司、自身、其关联公司在国内主板、境外知名证券交易所上市且业绩优良的公司，并在呼伦贝尔市行政区域内登记注册具有独立法人资格的从事装备制造的公司，或在呼伦贝尔市投资额度达到10亿元以上的企业。</w:t>
      </w:r>
    </w:p>
    <w:p>
      <w:pPr>
        <w:spacing w:line="560" w:lineRule="exact"/>
        <w:ind w:firstLine="560" w:firstLineChars="200"/>
        <w:rPr>
          <w:rFonts w:ascii="仿宋_GB2312" w:hAnsi="仿宋_GB2312" w:cs="仿宋_GB2312"/>
        </w:rPr>
      </w:pPr>
      <w:r>
        <w:rPr>
          <w:rFonts w:hint="eastAsia" w:ascii="仿宋_GB2312" w:hAnsi="仿宋_GB2312" w:cs="仿宋_GB2312"/>
        </w:rPr>
        <w:t>绿色农畜林产品加工、大数据、冰雪等重点产业,投资额度达到10亿元以上的相关企业享受同等扶持政策。</w:t>
      </w:r>
    </w:p>
    <w:p>
      <w:pPr>
        <w:spacing w:line="560" w:lineRule="exact"/>
        <w:ind w:firstLine="560" w:firstLineChars="200"/>
        <w:rPr>
          <w:rFonts w:ascii="仿宋_GB2312" w:hAnsi="仿宋_GB2312" w:cs="仿宋_GB2312"/>
        </w:rPr>
      </w:pPr>
      <w:r>
        <w:rPr>
          <w:rFonts w:hint="eastAsia" w:ascii="仿宋_GB2312" w:hAnsi="仿宋_GB2312" w:cs="仿宋_GB2312"/>
        </w:rPr>
        <w:t>以上规定的投资额度，原则上要在项目落地两年内完成投资总额，最长期限不得超过三年。</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二、扶持方式</w:t>
      </w:r>
    </w:p>
    <w:p>
      <w:pPr>
        <w:spacing w:line="560" w:lineRule="exact"/>
        <w:ind w:firstLine="560" w:firstLineChars="200"/>
        <w:rPr>
          <w:rFonts w:ascii="仿宋_GB2312" w:hAnsi="仿宋_GB2312" w:cs="仿宋_GB2312"/>
        </w:rPr>
      </w:pPr>
      <w:r>
        <w:rPr>
          <w:rFonts w:hint="eastAsia" w:ascii="仿宋_GB2312" w:hAnsi="仿宋_GB2312" w:cs="仿宋_GB2312"/>
        </w:rPr>
        <w:t>设立重点产业发展扶持资金，支持企业所在地政府发展重点产业。</w:t>
      </w:r>
    </w:p>
    <w:p>
      <w:pPr>
        <w:spacing w:line="560" w:lineRule="exact"/>
        <w:ind w:firstLine="560" w:firstLineChars="200"/>
        <w:rPr>
          <w:rFonts w:ascii="仿宋_GB2312" w:hAnsi="仿宋_GB2312" w:cs="仿宋_GB2312"/>
        </w:rPr>
      </w:pPr>
      <w:r>
        <w:rPr>
          <w:rFonts w:hint="eastAsia" w:ascii="仿宋_GB2312" w:hAnsi="仿宋_GB2312" w:cs="仿宋_GB2312"/>
        </w:rPr>
        <w:t>协调驻市各级金融机构，积极支持相关企业发展。</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三、扶持额度</w:t>
      </w:r>
    </w:p>
    <w:p>
      <w:pPr>
        <w:spacing w:line="560" w:lineRule="exact"/>
        <w:ind w:firstLine="560" w:firstLineChars="200"/>
        <w:rPr>
          <w:rFonts w:ascii="仿宋_GB2312" w:hAnsi="仿宋_GB2312" w:cs="仿宋_GB2312"/>
        </w:rPr>
      </w:pPr>
      <w:r>
        <w:rPr>
          <w:rFonts w:hint="eastAsia" w:ascii="仿宋_GB2312" w:hAnsi="仿宋_GB2312" w:cs="仿宋_GB2312"/>
        </w:rPr>
        <w:t>按照企业入驻后个人所得税新增市本级留成部分的80%和主营业务税收新增市本级留成部分的80%（入驻企业整合呼伦贝尔市现有企业，其税收额度不计入扶持资金的核算基数。呼伦贝尔市之外并购企业以及呼伦贝尔市境内企业通过收购、重组、运营等创造税收的增量部分作为扶持资金的核算基数），以扶持资金的形式支持企业所在地政府重点产业发展。</w:t>
      </w:r>
    </w:p>
    <w:p>
      <w:pPr>
        <w:spacing w:line="560" w:lineRule="exact"/>
        <w:ind w:firstLine="562" w:firstLineChars="200"/>
        <w:rPr>
          <w:rFonts w:ascii="仿宋_GB2312" w:hAnsi="仿宋_GB2312" w:cs="仿宋_GB2312"/>
        </w:rPr>
      </w:pPr>
      <w:r>
        <w:rPr>
          <w:rFonts w:hint="eastAsia" w:ascii="仿宋_GB2312" w:hAnsi="仿宋_GB2312" w:cs="仿宋_GB2312"/>
          <w:b/>
          <w:bCs/>
        </w:rPr>
        <w:t>四、扶持期限</w:t>
      </w:r>
      <w:r>
        <w:rPr>
          <w:rFonts w:hint="eastAsia" w:ascii="仿宋_GB2312" w:hAnsi="仿宋_GB2312" w:cs="仿宋_GB2312"/>
        </w:rPr>
        <w:t>：5年。</w:t>
      </w:r>
    </w:p>
    <w:p>
      <w:pPr>
        <w:spacing w:line="560" w:lineRule="exact"/>
        <w:ind w:firstLine="562" w:firstLineChars="200"/>
        <w:rPr>
          <w:rFonts w:ascii="仿宋_GB2312" w:hAnsi="仿宋_GB2312" w:cs="仿宋_GB2312"/>
        </w:rPr>
      </w:pPr>
      <w:r>
        <w:rPr>
          <w:rFonts w:hint="eastAsia" w:ascii="仿宋_GB2312" w:hAnsi="仿宋_GB2312" w:cs="仿宋_GB2312"/>
          <w:b/>
          <w:bCs/>
        </w:rPr>
        <w:t>五、兑现方式</w:t>
      </w:r>
    </w:p>
    <w:p>
      <w:pPr>
        <w:spacing w:line="560" w:lineRule="exact"/>
        <w:ind w:firstLine="560" w:firstLineChars="200"/>
        <w:rPr>
          <w:rFonts w:ascii="仿宋_GB2312" w:hAnsi="仿宋_GB2312" w:cs="仿宋_GB2312"/>
        </w:rPr>
      </w:pPr>
      <w:r>
        <w:rPr>
          <w:rFonts w:hint="eastAsia" w:ascii="仿宋_GB2312" w:hAnsi="仿宋_GB2312" w:cs="仿宋_GB2312"/>
        </w:rPr>
        <w:t>根据企业所在地政府上一年度绩效考核结果，呼伦贝尔市本级财政将测算后的扶持专项资金，于下一年度第一季度以转移支付形式拨付企业所在地政府，企业所在地政府按有关政策及流程支持重点产业发展。已出台的相关政策措施，与本扶持意见不一致的，按照“有利于企业原则”执行。</w:t>
      </w:r>
    </w:p>
    <w:p>
      <w:pPr>
        <w:spacing w:line="560" w:lineRule="exact"/>
        <w:ind w:firstLine="562" w:firstLineChars="200"/>
        <w:rPr>
          <w:rFonts w:ascii="仿宋_GB2312" w:hAnsi="仿宋_GB2312" w:cs="仿宋_GB2312"/>
          <w:b/>
          <w:bCs/>
        </w:rPr>
      </w:pPr>
      <w:r>
        <w:rPr>
          <w:rFonts w:hint="eastAsia" w:ascii="仿宋_GB2312" w:hAnsi="仿宋_GB2312" w:cs="仿宋_GB2312"/>
          <w:b/>
          <w:bCs/>
        </w:rPr>
        <w:t>六、保障机制</w:t>
      </w:r>
    </w:p>
    <w:p>
      <w:pPr>
        <w:spacing w:line="560" w:lineRule="exact"/>
        <w:ind w:firstLine="560" w:firstLineChars="200"/>
        <w:rPr>
          <w:rFonts w:ascii="仿宋_GB2312" w:hAnsi="仿宋_GB2312" w:cs="仿宋_GB2312"/>
        </w:rPr>
      </w:pPr>
      <w:r>
        <w:rPr>
          <w:rFonts w:hint="eastAsia" w:ascii="仿宋_GB2312" w:hAnsi="仿宋_GB2312" w:cs="仿宋_GB2312"/>
        </w:rPr>
        <w:t>（一）建立联席会议机制。市旗两级进一步加强对扶持工作的组织调度，协调相关部门、单位建立联席会议制度，定期会商，及时研究问题、提出对策，强化工作推进。</w:t>
      </w:r>
    </w:p>
    <w:p>
      <w:pPr>
        <w:spacing w:line="560" w:lineRule="exact"/>
        <w:ind w:firstLine="560" w:firstLineChars="200"/>
        <w:rPr>
          <w:rFonts w:ascii="仿宋_GB2312" w:hAnsi="仿宋_GB2312" w:cs="仿宋_GB2312"/>
        </w:rPr>
      </w:pPr>
      <w:r>
        <w:rPr>
          <w:rFonts w:hint="eastAsia" w:ascii="仿宋_GB2312" w:hAnsi="仿宋_GB2312" w:cs="仿宋_GB2312"/>
        </w:rPr>
        <w:t>（二）健全绩效考核机制。市本级统筹建立绩效考核机制，制定绩效考核相关办法，完善工作台账，同时加强对旗市区重点产业扶持工作的指导、督促。企业所在地政府组织开展重点产业扶持资金的绩效考核工作，将考核结果作为扶持依据，并将上一年度绩效考核结果于当年二月末前上报市财政局。</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七、其他</w:t>
      </w:r>
    </w:p>
    <w:p>
      <w:pPr>
        <w:spacing w:line="560" w:lineRule="exact"/>
        <w:ind w:firstLine="560" w:firstLineChars="200"/>
        <w:rPr>
          <w:rFonts w:ascii="仿宋_GB2312" w:hAnsi="仿宋_GB2312" w:cs="仿宋_GB2312"/>
        </w:rPr>
      </w:pPr>
      <w:r>
        <w:rPr>
          <w:rFonts w:hint="eastAsia" w:ascii="仿宋_GB2312" w:hAnsi="仿宋_GB2312" w:cs="仿宋_GB2312"/>
        </w:rPr>
        <w:t>(一)企业所在地政府及有关部门对享受扶持政策的企业进行监督管理，凡是企业在当年发生违法经营、失信行为等情况之一的，一律不享受该扶持政策。</w:t>
      </w:r>
    </w:p>
    <w:p>
      <w:pPr>
        <w:spacing w:line="560" w:lineRule="exact"/>
        <w:ind w:firstLine="560" w:firstLineChars="200"/>
        <w:rPr>
          <w:rFonts w:ascii="仿宋_GB2312" w:hAnsi="仿宋_GB2312" w:cs="仿宋_GB2312"/>
        </w:rPr>
      </w:pPr>
      <w:r>
        <w:rPr>
          <w:rFonts w:hint="eastAsia" w:ascii="仿宋_GB2312" w:hAnsi="仿宋_GB2312" w:cs="仿宋_GB2312"/>
        </w:rPr>
        <w:t>（二）本扶持意见由呼伦贝尔市财政局负责解释。</w:t>
      </w:r>
    </w:p>
    <w:p>
      <w:pPr>
        <w:spacing w:line="560" w:lineRule="exact"/>
        <w:ind w:firstLine="560" w:firstLineChars="200"/>
        <w:rPr>
          <w:rFonts w:ascii="仿宋_GB2312" w:hAnsi="仿宋_GB2312" w:cs="仿宋_GB2312"/>
        </w:rPr>
      </w:pPr>
      <w:r>
        <w:rPr>
          <w:rFonts w:hint="eastAsia" w:ascii="仿宋_GB2312" w:hAnsi="仿宋_GB2312" w:cs="仿宋_GB2312"/>
        </w:rPr>
        <w:t>（三）本扶持意见自发布之日起施行。</w:t>
      </w: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ascii="仿宋_GB2312" w:hAnsi="仿宋_GB2312" w:cs="仿宋_GB2312"/>
          <w:b/>
          <w:bCs/>
        </w:rPr>
      </w:pPr>
      <w:r>
        <w:rPr>
          <w:rFonts w:hint="eastAsia" w:ascii="仿宋_GB2312" w:hAnsi="仿宋_GB2312" w:cs="仿宋_GB2312"/>
          <w:b/>
          <w:bCs/>
          <w:lang w:eastAsia="zh-CN"/>
        </w:rPr>
        <w:t>《</w:t>
      </w:r>
      <w:r>
        <w:rPr>
          <w:rFonts w:hint="eastAsia" w:ascii="仿宋_GB2312" w:hAnsi="仿宋_GB2312" w:cs="仿宋_GB2312"/>
          <w:b/>
          <w:bCs/>
        </w:rPr>
        <w:t>呼伦贝尔市人民政府关于落实“科技兴蒙”行动</w:t>
      </w:r>
    </w:p>
    <w:p>
      <w:pPr>
        <w:spacing w:line="560" w:lineRule="exact"/>
        <w:jc w:val="center"/>
        <w:rPr>
          <w:rFonts w:ascii="仿宋_GB2312" w:hAnsi="仿宋_GB2312" w:cs="仿宋_GB2312"/>
          <w:b/>
          <w:bCs/>
        </w:rPr>
      </w:pPr>
      <w:r>
        <w:rPr>
          <w:rFonts w:hint="eastAsia" w:ascii="仿宋_GB2312" w:hAnsi="仿宋_GB2312" w:cs="仿宋_GB2312"/>
          <w:b/>
          <w:bCs/>
        </w:rPr>
        <w:t>促进科技创新若干政策措施</w:t>
      </w:r>
      <w:r>
        <w:rPr>
          <w:rFonts w:hint="eastAsia" w:ascii="仿宋_GB2312" w:hAnsi="仿宋_GB2312" w:cs="仿宋_GB2312"/>
          <w:b/>
          <w:bCs/>
          <w:lang w:eastAsia="zh-CN"/>
        </w:rPr>
        <w:t>》</w:t>
      </w:r>
    </w:p>
    <w:p>
      <w:pPr>
        <w:spacing w:line="560" w:lineRule="exact"/>
        <w:jc w:val="center"/>
        <w:rPr>
          <w:rFonts w:ascii="仿宋_GB2312" w:hAnsi="仿宋_GB2312" w:cs="仿宋_GB2312"/>
        </w:rPr>
      </w:pPr>
      <w:r>
        <w:rPr>
          <w:rFonts w:hint="eastAsia" w:ascii="仿宋_GB2312" w:hAnsi="仿宋_GB2312" w:cs="仿宋_GB2312"/>
          <w:lang w:eastAsia="zh-CN"/>
        </w:rPr>
        <w:t>（</w:t>
      </w:r>
      <w:r>
        <w:rPr>
          <w:rFonts w:hint="eastAsia" w:ascii="仿宋_GB2312" w:hAnsi="仿宋_GB2312" w:cs="仿宋_GB2312"/>
        </w:rPr>
        <w:t>呼政发〔2021〕22号</w:t>
      </w:r>
      <w:r>
        <w:rPr>
          <w:rFonts w:hint="eastAsia" w:ascii="仿宋_GB2312" w:hAnsi="仿宋_GB2312" w:cs="仿宋_GB2312"/>
          <w:lang w:eastAsia="zh-CN"/>
        </w:rPr>
        <w:t>）</w:t>
      </w:r>
    </w:p>
    <w:p>
      <w:pPr>
        <w:spacing w:line="560" w:lineRule="exact"/>
        <w:ind w:firstLine="560" w:firstLineChars="200"/>
        <w:rPr>
          <w:rFonts w:ascii="仿宋_GB2312" w:hAnsi="仿宋_GB2312" w:cs="仿宋_GB2312"/>
        </w:rPr>
      </w:pPr>
      <w:r>
        <w:rPr>
          <w:rFonts w:hint="eastAsia" w:ascii="仿宋_GB2312" w:hAnsi="仿宋_GB2312" w:cs="仿宋_GB2312"/>
        </w:rPr>
        <w:t>为全面贯彻落实党的十九大和十九届二中、三中、四中、五中全会精神，深入实施创新驱动发展战略，落实“科技兴蒙”行动重大举措，进一步优化科技创新环境，促进创新链、产业链、人才链、政策链、资金链深度融合，激发全社会创新活力，充分发挥科技创新在推动高质量发展和现代化呼伦贝尔建设中的重要作用，制定如下政策措施。</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一、大力培育科技创新主体</w:t>
      </w:r>
    </w:p>
    <w:p>
      <w:pPr>
        <w:spacing w:line="560" w:lineRule="exact"/>
        <w:ind w:firstLine="562" w:firstLineChars="200"/>
        <w:rPr>
          <w:rFonts w:ascii="仿宋_GB2312" w:hAnsi="仿宋_GB2312" w:cs="仿宋_GB2312"/>
        </w:rPr>
      </w:pPr>
      <w:r>
        <w:rPr>
          <w:rFonts w:hint="eastAsia" w:ascii="仿宋_GB2312" w:hAnsi="仿宋_GB2312" w:cs="仿宋_GB2312"/>
          <w:b/>
          <w:bCs/>
        </w:rPr>
        <w:t>（一）推进重点领域技术创新。</w:t>
      </w:r>
      <w:r>
        <w:rPr>
          <w:rFonts w:hint="eastAsia" w:ascii="仿宋_GB2312" w:hAnsi="仿宋_GB2312" w:cs="仿宋_GB2312"/>
        </w:rPr>
        <w:t>围绕生态环境、绿色农牧业、生物科技、装备制造、大数据、新兴产业等领域，着力构建以企业为主体、市场为导向、产学研相结合的技术创新体系。引导企业设立创新计划，建立创新平台，组织攻关团队，提高科研投入。着力支持和培育一批具有自主知识产权、自主品牌和持续创新能力的创新主体。积极争取国家、自治区重大项目并予以配套支持。</w:t>
      </w:r>
    </w:p>
    <w:p>
      <w:pPr>
        <w:spacing w:line="560" w:lineRule="exact"/>
        <w:ind w:firstLine="562" w:firstLineChars="200"/>
        <w:rPr>
          <w:rFonts w:ascii="仿宋_GB2312" w:hAnsi="仿宋_GB2312" w:cs="仿宋_GB2312"/>
        </w:rPr>
      </w:pPr>
      <w:r>
        <w:rPr>
          <w:rFonts w:hint="eastAsia" w:ascii="仿宋_GB2312" w:hAnsi="仿宋_GB2312" w:cs="仿宋_GB2312"/>
          <w:b/>
          <w:bCs/>
        </w:rPr>
        <w:t>（二）鼓励企业加大研发投入。</w:t>
      </w:r>
      <w:r>
        <w:rPr>
          <w:rFonts w:hint="eastAsia" w:ascii="仿宋_GB2312" w:hAnsi="仿宋_GB2312" w:cs="仿宋_GB2312"/>
        </w:rPr>
        <w:t>在企业享受国家相关税费优惠政策同时，给予企业研发投入资金后补助，企业研发投入100万元以下的按5%给予补助，企业研发投入100万元至1000万元的按超额累进3%给予补助，企业研发投入1000万元以上的按超额累进2%给予补助，单个企业每年最高补助500万元用于技术研发（自治区后续如出台相关政策，按照最优政策执行）。</w:t>
      </w:r>
    </w:p>
    <w:p>
      <w:pPr>
        <w:spacing w:line="560" w:lineRule="exact"/>
        <w:ind w:firstLine="562" w:firstLineChars="200"/>
        <w:rPr>
          <w:rFonts w:ascii="仿宋_GB2312" w:hAnsi="仿宋_GB2312" w:cs="仿宋_GB2312"/>
        </w:rPr>
      </w:pPr>
      <w:r>
        <w:rPr>
          <w:rFonts w:hint="eastAsia" w:ascii="仿宋_GB2312" w:hAnsi="仿宋_GB2312" w:cs="仿宋_GB2312"/>
          <w:b/>
          <w:bCs/>
        </w:rPr>
        <w:t>（三）培育科技型企业。</w:t>
      </w:r>
      <w:r>
        <w:rPr>
          <w:rFonts w:hint="eastAsia" w:ascii="仿宋_GB2312" w:hAnsi="仿宋_GB2312" w:cs="仿宋_GB2312"/>
        </w:rPr>
        <w:t>完善科技型企业和高新技术企业培育机制，形成科技型中小企业、高新技术企业梯次培育体系。对首次获批国家高新技术企业的市内企业和整体迁入我市的国家高新技术企业，一次性给予50万元经费支持。对首次获批国家技术创新示范企业的市内企业，一次性给予50万元经费支持。对连续3年认定为国家科技型中小企业的企业，一次性给予10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（四）加快创建国家级、自治区级创新平台。</w:t>
      </w:r>
      <w:r>
        <w:rPr>
          <w:rFonts w:hint="eastAsia" w:ascii="仿宋_GB2312" w:hAnsi="仿宋_GB2312" w:cs="仿宋_GB2312"/>
        </w:rPr>
        <w:t>对新认定的国家级、自治区级重点实验室、企业研究开发中心、技术创新中心、企业技术中心、工程研究中心、制造业创新中心，分别一次性给予100万元、50万元经费补助。对新认定的国家级、自治区级科技企业孵化器、众创空间、星创天地等孵化机构，分别一次性给予50万元、20万元的经费支持。对批准建设的自治区技术创新中心（分中心），按自治区支持经费1:1给予配套支持。对批准建设的国家级、自治区级野外科学观测研究站、临床医学研究中心、科技资源共享服务平台、生态产品价值实现创新平台等，分别一次性给予100万元和50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（五）加强创新载体建设。</w:t>
      </w:r>
      <w:r>
        <w:rPr>
          <w:rFonts w:hint="eastAsia" w:ascii="仿宋_GB2312" w:hAnsi="仿宋_GB2312" w:cs="仿宋_GB2312"/>
        </w:rPr>
        <w:t>对新获批的国家级、自治区级高新技术产业开发区，按自治区支持经费1:1给予配套支持。对新获批的国家级、自治区级高新技术特色工业产业化基地、农业科技园区，分别一次性给予100万元、50万元经费支持。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（六）实施知识产权保护和运用工程。</w:t>
      </w:r>
      <w:r>
        <w:rPr>
          <w:rFonts w:hint="eastAsia" w:ascii="仿宋_GB2312" w:hAnsi="仿宋_GB2312" w:cs="仿宋_GB2312"/>
        </w:rPr>
        <w:t>对新认定的国家知识产权示范企业及优势企业、自治区知识产权优势企业，且通过《企业知识产权管理规范》标准认证的，分别一次性给予20万元、15万元和10万元经费支持。对新获得地理标志商标注册或农产品地理标志登记的，一次性给予10万元的经费补助。对新获得发明专利授权的按自治区发明专利费用资助给予1:1配套支持。</w:t>
      </w:r>
    </w:p>
    <w:p>
      <w:pPr>
        <w:spacing w:line="560" w:lineRule="exact"/>
        <w:ind w:firstLine="562" w:firstLineChars="200"/>
        <w:rPr>
          <w:rFonts w:ascii="仿宋_GB2312" w:hAnsi="仿宋_GB2312" w:cs="仿宋_GB2312"/>
        </w:rPr>
      </w:pPr>
      <w:r>
        <w:rPr>
          <w:rFonts w:hint="eastAsia" w:ascii="仿宋_GB2312" w:hAnsi="仿宋_GB2312" w:cs="仿宋_GB2312"/>
          <w:b/>
          <w:bCs/>
        </w:rPr>
        <w:t>（七）推动科技与金融深度融合。</w:t>
      </w:r>
      <w:r>
        <w:rPr>
          <w:rFonts w:hint="eastAsia" w:ascii="仿宋_GB2312" w:hAnsi="仿宋_GB2312" w:cs="仿宋_GB2312"/>
        </w:rPr>
        <w:t>鼓励金融机构创新金融产品，优化信贷流程，对拥有自主知识产权的科技型企业，开展股权、专利权、商标权质押贷款。引导金融机构加大对科技型企业的信贷投放，降低融资成本，有效缓解科技型企业融资难、融资贵问题。对我市IPO上市的科技型企业一次性给予200万元经费支持；对在新三板成功挂牌的企业一次性给予50万元经费支持；对在内蒙古股权交易中心孵化板或科创专板优选层成功挂牌的企业一次性给予10万元经费支持。</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二、健全科技成果转化机制</w:t>
      </w:r>
    </w:p>
    <w:p>
      <w:pPr>
        <w:spacing w:line="560" w:lineRule="exact"/>
        <w:ind w:firstLine="562" w:firstLineChars="200"/>
        <w:rPr>
          <w:rFonts w:ascii="仿宋_GB2312" w:hAnsi="仿宋_GB2312" w:cs="仿宋_GB2312"/>
        </w:rPr>
      </w:pPr>
      <w:r>
        <w:rPr>
          <w:rFonts w:hint="eastAsia" w:ascii="仿宋_GB2312" w:hAnsi="仿宋_GB2312" w:cs="仿宋_GB2312"/>
          <w:b/>
          <w:bCs/>
        </w:rPr>
        <w:t>（八）建设科技成果转化平台。</w:t>
      </w:r>
      <w:r>
        <w:rPr>
          <w:rFonts w:hint="eastAsia" w:ascii="仿宋_GB2312" w:hAnsi="仿宋_GB2312" w:cs="仿宋_GB2312"/>
        </w:rPr>
        <w:t>通过研发合作、购买和引进、技术转让、技术许可、作价投资等多种形式，推动科技成果与产业、企业需求有效对接，实现科技成果的市场价值，推进传统产业改造升级，引导企业通过科技创新降低能耗，加快新兴产业优化布局。推进技术转移转化机构建设，加大对绿色农产业、生态产业、碳汇产业等科技成果交易平台支持力度，平台年度完成科技成果交易20项（含）以上且交易额1000万元（含）以上，经连续两年考核达标的，给予20万元运营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（九）加强技术转移机构建设。</w:t>
      </w:r>
      <w:r>
        <w:rPr>
          <w:rFonts w:hint="eastAsia" w:ascii="仿宋_GB2312" w:hAnsi="仿宋_GB2312" w:cs="仿宋_GB2312"/>
        </w:rPr>
        <w:t>推进科技大市场建设，支持旗市区或相邻地区创建科技大市场，给予经费支持。鼓励科技成果转移转化示范区、示范基地、专业化技术研发与中试公共服务平台建设，对新获批的国家级和自治区级科技成果转移转化示范区分别一次性给予100万元、50万元经费支持。对新认定的国家级、自治区级技术转移服务机构、人才培养基地，分别一次性给予50万元和30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（十）鼓励企事业单位通过技术市场进行技术交易活动。</w:t>
      </w:r>
      <w:r>
        <w:rPr>
          <w:rFonts w:hint="eastAsia" w:ascii="仿宋_GB2312" w:hAnsi="仿宋_GB2312" w:cs="仿宋_GB2312"/>
        </w:rPr>
        <w:t>对注册和纳税均在我市的企事业单位，按自治区技术合同认定登记机构核定技术交易额5%给予补贴，单个技术合同最高补贴50万元，每个企业最高补贴200万元。</w:t>
      </w:r>
    </w:p>
    <w:p>
      <w:pPr>
        <w:spacing w:line="560" w:lineRule="exact"/>
        <w:ind w:firstLine="562" w:firstLineChars="200"/>
        <w:rPr>
          <w:rFonts w:ascii="仿宋_GB2312" w:hAnsi="仿宋_GB2312" w:cs="仿宋_GB2312"/>
        </w:rPr>
      </w:pPr>
      <w:r>
        <w:rPr>
          <w:rFonts w:hint="eastAsia" w:ascii="仿宋_GB2312" w:hAnsi="仿宋_GB2312" w:cs="仿宋_GB2312"/>
          <w:b/>
          <w:bCs/>
        </w:rPr>
        <w:t>（十一）鼓励科技成果在我市落地转化形成产业。</w:t>
      </w:r>
      <w:r>
        <w:rPr>
          <w:rFonts w:hint="eastAsia" w:ascii="仿宋_GB2312" w:hAnsi="仿宋_GB2312" w:cs="仿宋_GB2312"/>
        </w:rPr>
        <w:t>对在我市注册具有独立法人资格并注入核心技术，将科技成果在我市落地转化的企业，形成产业规模，带动效益明显，通过“一事一议”，一次性给予最高1000万元经费支持。</w:t>
      </w:r>
    </w:p>
    <w:p>
      <w:pPr>
        <w:spacing w:line="560" w:lineRule="exact"/>
        <w:ind w:firstLine="562" w:firstLineChars="200"/>
        <w:rPr>
          <w:rFonts w:ascii="仿宋_GB2312" w:hAnsi="仿宋_GB2312" w:cs="仿宋_GB2312"/>
          <w:b/>
          <w:bCs/>
        </w:rPr>
      </w:pPr>
      <w:r>
        <w:rPr>
          <w:rFonts w:hint="eastAsia" w:ascii="仿宋_GB2312" w:hAnsi="仿宋_GB2312" w:cs="仿宋_GB2312"/>
          <w:b/>
          <w:bCs/>
        </w:rPr>
        <w:t>三、构建开放合作格局</w:t>
      </w:r>
    </w:p>
    <w:p>
      <w:pPr>
        <w:spacing w:line="560" w:lineRule="exact"/>
        <w:ind w:firstLine="562" w:firstLineChars="200"/>
        <w:rPr>
          <w:rFonts w:ascii="仿宋_GB2312" w:hAnsi="仿宋_GB2312" w:cs="仿宋_GB2312"/>
        </w:rPr>
      </w:pPr>
      <w:r>
        <w:rPr>
          <w:rFonts w:hint="eastAsia" w:ascii="仿宋_GB2312" w:hAnsi="仿宋_GB2312" w:cs="仿宋_GB2312"/>
          <w:b/>
          <w:bCs/>
        </w:rPr>
        <w:t>（十二）建立协同创新机制。</w:t>
      </w:r>
      <w:r>
        <w:rPr>
          <w:rFonts w:hint="eastAsia" w:ascii="仿宋_GB2312" w:hAnsi="仿宋_GB2312" w:cs="仿宋_GB2312"/>
        </w:rPr>
        <w:t>落实自治区“4+8+N”科技合作机制，加强与发达地区和知名高校、重点科研院所的科技合作，深化院地合作水平，创新合作模式，务实推进联合攻关、成果转化、平台建设、人才培养等合作。支持产学研合作，对新组建的国家级、自治区级产业技术创新战略联盟，分别一次性给予盟主企业50万元、30万元经费支持。对批准新建的院士专家工作站一次性给予50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（十三）加强国际科技合作交流。</w:t>
      </w:r>
      <w:r>
        <w:rPr>
          <w:rFonts w:hint="eastAsia" w:ascii="仿宋_GB2312" w:hAnsi="仿宋_GB2312" w:cs="仿宋_GB2312"/>
        </w:rPr>
        <w:t>推进与发达国家以及蒙古国、俄罗斯等“一带一路”沿线国家和地区的科技合作。加大对国家级国际科技合作基地、引才引智示范基地等的支持力度，对新获批的国家级国际科技合作基地一次性给予100万元经费支持。对新获批的国家级、自治区级引才引智示范基地，分别一次性给予100万元、50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（十四）支持与国际知名高校、科研院所、企业开展定向合作，培养具有国际视野的高层次科技人才。</w:t>
      </w:r>
      <w:r>
        <w:rPr>
          <w:rFonts w:hint="eastAsia" w:ascii="仿宋_GB2312" w:hAnsi="仿宋_GB2312" w:cs="仿宋_GB2312"/>
        </w:rPr>
        <w:t>推动产教融合、校企联合，培养一批实用型技能人才，大力培养创新型企业家。对世界500强和国内100强企业来我市设立独立法人研发机构，经认定并开展研发活动投入研发资金达到2000万元以上，通过“一事一议”，一次性给予最高100万元经费支持。</w:t>
      </w:r>
    </w:p>
    <w:p>
      <w:pPr>
        <w:spacing w:line="560" w:lineRule="exact"/>
        <w:ind w:firstLine="562" w:firstLineChars="200"/>
        <w:rPr>
          <w:rFonts w:ascii="仿宋_GB2312" w:hAnsi="仿宋_GB2312" w:cs="仿宋_GB2312"/>
          <w:b/>
          <w:bCs/>
        </w:rPr>
      </w:pPr>
      <w:r>
        <w:rPr>
          <w:rFonts w:hint="eastAsia" w:ascii="仿宋_GB2312" w:hAnsi="仿宋_GB2312" w:cs="仿宋_GB2312"/>
          <w:b/>
          <w:bCs/>
        </w:rPr>
        <w:t>四、加快引进和培养科技创新人才</w:t>
      </w:r>
    </w:p>
    <w:p>
      <w:pPr>
        <w:spacing w:line="560" w:lineRule="exact"/>
        <w:ind w:firstLine="562" w:firstLineChars="200"/>
        <w:rPr>
          <w:rFonts w:ascii="仿宋_GB2312" w:hAnsi="仿宋_GB2312" w:cs="仿宋_GB2312"/>
        </w:rPr>
      </w:pPr>
      <w:r>
        <w:rPr>
          <w:rFonts w:hint="eastAsia" w:ascii="仿宋_GB2312" w:hAnsi="仿宋_GB2312" w:cs="仿宋_GB2312"/>
          <w:b/>
          <w:bCs/>
        </w:rPr>
        <w:t>（十五）实施科技领军人才和创新团队引进计划。</w:t>
      </w:r>
      <w:r>
        <w:rPr>
          <w:rFonts w:hint="eastAsia" w:ascii="仿宋_GB2312" w:hAnsi="仿宋_GB2312" w:cs="仿宋_GB2312"/>
        </w:rPr>
        <w:t>围绕重点领域和优势特色产业，面向国内外引进能够统领相关学科、行业产业的科技领军人才和创新团队，以项目目标完成情况及形成科技成果为主要衡量标准，通过“一事一议”，一次性给予最高300万元经费支持。</w:t>
      </w:r>
    </w:p>
    <w:p>
      <w:pPr>
        <w:spacing w:line="560" w:lineRule="exact"/>
        <w:ind w:firstLine="562" w:firstLineChars="200"/>
        <w:rPr>
          <w:rFonts w:ascii="仿宋_GB2312" w:hAnsi="仿宋_GB2312" w:cs="仿宋_GB2312"/>
        </w:rPr>
      </w:pPr>
      <w:r>
        <w:rPr>
          <w:rFonts w:hint="eastAsia" w:ascii="仿宋_GB2312" w:hAnsi="仿宋_GB2312" w:cs="仿宋_GB2312"/>
          <w:b/>
          <w:bCs/>
        </w:rPr>
        <w:t>（十六）实施高层次人才创业团队引进计划。</w:t>
      </w:r>
      <w:r>
        <w:rPr>
          <w:rFonts w:hint="eastAsia" w:ascii="仿宋_GB2312" w:hAnsi="仿宋_GB2312" w:cs="仿宋_GB2312"/>
        </w:rPr>
        <w:t>对高层次人才创业团队在我市注册创办企业，在国内同行中达到领先水平，并在相关领域取得突出的创新成果，通过“一事一议”，一次性给予最高100万元经费支持。对我市刚性引进的高层次人才，按照《呼伦贝尔市人才引进培育实施办法（试行）》（呼党发〔2019〕4号）给予待遇保障。</w:t>
      </w:r>
    </w:p>
    <w:p>
      <w:pPr>
        <w:spacing w:line="560" w:lineRule="exact"/>
        <w:ind w:firstLine="562" w:firstLineChars="200"/>
        <w:rPr>
          <w:rFonts w:ascii="仿宋_GB2312" w:hAnsi="仿宋_GB2312" w:cs="仿宋_GB2312"/>
        </w:rPr>
      </w:pPr>
      <w:r>
        <w:rPr>
          <w:rFonts w:hint="eastAsia" w:ascii="仿宋_GB2312" w:hAnsi="仿宋_GB2312" w:cs="仿宋_GB2312"/>
          <w:b/>
          <w:bCs/>
        </w:rPr>
        <w:t>（十七）强化科技人才激励。</w:t>
      </w:r>
      <w:r>
        <w:rPr>
          <w:rFonts w:hint="eastAsia" w:ascii="仿宋_GB2312" w:hAnsi="仿宋_GB2312" w:cs="仿宋_GB2312"/>
        </w:rPr>
        <w:t>对我市获得国家、自治区科学技术奖的第一完成单位及相关人员，按国家、自治区奖金额度1:5给予经费支持。推进科技服务人员农村牧区创业行动，每年设立专项资金100万元，支持专家、科技特派员深入基层开展科技服务。</w:t>
      </w:r>
    </w:p>
    <w:p>
      <w:pPr>
        <w:spacing w:line="560" w:lineRule="exact"/>
        <w:ind w:firstLine="562" w:firstLineChars="200"/>
        <w:rPr>
          <w:rFonts w:ascii="仿宋_GB2312" w:hAnsi="仿宋_GB2312" w:cs="仿宋_GB2312"/>
          <w:b/>
          <w:bCs/>
        </w:rPr>
      </w:pPr>
      <w:r>
        <w:rPr>
          <w:rFonts w:hint="eastAsia" w:ascii="仿宋_GB2312" w:hAnsi="仿宋_GB2312" w:cs="仿宋_GB2312"/>
          <w:b/>
          <w:bCs/>
        </w:rPr>
        <w:t>五、保障措施</w:t>
      </w:r>
    </w:p>
    <w:p>
      <w:pPr>
        <w:spacing w:line="560" w:lineRule="exact"/>
        <w:ind w:firstLine="562" w:firstLineChars="200"/>
        <w:rPr>
          <w:rFonts w:ascii="仿宋_GB2312" w:hAnsi="仿宋_GB2312" w:cs="仿宋_GB2312"/>
        </w:rPr>
      </w:pPr>
      <w:r>
        <w:rPr>
          <w:rFonts w:hint="eastAsia" w:ascii="仿宋_GB2312" w:hAnsi="仿宋_GB2312" w:cs="仿宋_GB2312"/>
          <w:b/>
          <w:bCs/>
        </w:rPr>
        <w:t>（十八）加强组织领导。</w:t>
      </w:r>
      <w:r>
        <w:rPr>
          <w:rFonts w:hint="eastAsia" w:ascii="仿宋_GB2312" w:hAnsi="仿宋_GB2312" w:cs="仿宋_GB2312"/>
        </w:rPr>
        <w:t>各旗市区、各有关部门要把科技创新工作纳入重要的议事日程，不断强化组织保障，优化体制机制，打造高水平科技管理干部队伍，加强政策落实，不断提高科技服务水平，努力营造良好的创新环境。</w:t>
      </w:r>
    </w:p>
    <w:p>
      <w:pPr>
        <w:spacing w:line="560" w:lineRule="exact"/>
        <w:ind w:firstLine="562" w:firstLineChars="200"/>
        <w:rPr>
          <w:rFonts w:ascii="仿宋_GB2312" w:hAnsi="仿宋_GB2312" w:cs="仿宋_GB2312"/>
        </w:rPr>
      </w:pPr>
      <w:r>
        <w:rPr>
          <w:rFonts w:hint="eastAsia" w:ascii="仿宋_GB2312" w:hAnsi="仿宋_GB2312" w:cs="仿宋_GB2312"/>
          <w:b/>
          <w:bCs/>
        </w:rPr>
        <w:t>（十九）强化创新投入。</w:t>
      </w:r>
      <w:r>
        <w:rPr>
          <w:rFonts w:hint="eastAsia" w:ascii="仿宋_GB2312" w:hAnsi="仿宋_GB2312" w:cs="仿宋_GB2312"/>
        </w:rPr>
        <w:t>各旗市区政府要建立优先投入和稳定增长机制，加大科技投入力度，实施研发投入攻坚行动，逐年提高财政科学技术支出占一般公共预算支出的比重。整合各部门管理的科技资金，提高资金使用效益。发挥财政资金杠杆作用，引导企业加大研发投入，带动社会和民间资本投入。</w:t>
      </w:r>
    </w:p>
    <w:p>
      <w:pPr>
        <w:spacing w:line="560" w:lineRule="exact"/>
        <w:ind w:firstLine="562" w:firstLineChars="200"/>
        <w:rPr>
          <w:rFonts w:ascii="仿宋_GB2312" w:hAnsi="仿宋_GB2312" w:cs="仿宋_GB2312"/>
        </w:rPr>
      </w:pPr>
      <w:r>
        <w:rPr>
          <w:rFonts w:hint="eastAsia" w:ascii="仿宋_GB2312" w:hAnsi="仿宋_GB2312" w:cs="仿宋_GB2312"/>
          <w:b/>
          <w:bCs/>
        </w:rPr>
        <w:t>（二十）加强督查评估。</w:t>
      </w:r>
      <w:r>
        <w:rPr>
          <w:rFonts w:hint="eastAsia" w:ascii="仿宋_GB2312" w:hAnsi="仿宋_GB2312" w:cs="仿宋_GB2312"/>
        </w:rPr>
        <w:t>加强对各地区各有关部门推进科技创新工作情况的督促检查。对相关政策措施落实情况开展评估，及时调整完善。各旗市区政府每年年底前，要向市委、市政府报告落实“科技兴蒙”行动、加强科技投入等情况。</w:t>
      </w:r>
    </w:p>
    <w:p>
      <w:pPr>
        <w:spacing w:line="560" w:lineRule="exact"/>
        <w:ind w:firstLine="562" w:firstLineChars="200"/>
        <w:rPr>
          <w:rFonts w:ascii="仿宋_GB2312" w:hAnsi="仿宋_GB2312" w:cs="仿宋_GB2312"/>
          <w:b/>
          <w:bCs/>
        </w:rPr>
      </w:pPr>
      <w:r>
        <w:rPr>
          <w:rFonts w:hint="eastAsia" w:ascii="仿宋_GB2312" w:hAnsi="仿宋_GB2312" w:cs="仿宋_GB2312"/>
          <w:b/>
          <w:bCs/>
        </w:rPr>
        <w:t>六、其他事项</w:t>
      </w:r>
    </w:p>
    <w:p>
      <w:pPr>
        <w:spacing w:line="560" w:lineRule="exact"/>
        <w:ind w:firstLine="560" w:firstLineChars="200"/>
        <w:rPr>
          <w:rFonts w:ascii="仿宋_GB2312" w:hAnsi="仿宋_GB2312" w:cs="仿宋_GB2312"/>
        </w:rPr>
      </w:pPr>
      <w:r>
        <w:rPr>
          <w:rFonts w:hint="eastAsia" w:ascii="仿宋_GB2312" w:hAnsi="仿宋_GB2312" w:cs="仿宋_GB2312"/>
        </w:rPr>
        <w:t>本政策措施自发布之日起施行，《呼伦贝尔市人民政府关于促进科技创新若干意见》（呼政发〔2016〕161号）同时废止。同一层级不重复支持补助同一事项。本政策措施由市科学技术局解释，市科学技术局会同有关部门制定配套实施细则。</w:t>
      </w: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cs="仿宋_GB2312"/>
          <w:b/>
          <w:bCs/>
          <w:lang w:eastAsia="zh-CN"/>
        </w:rPr>
      </w:pPr>
    </w:p>
    <w:p>
      <w:pPr>
        <w:spacing w:line="560" w:lineRule="exact"/>
        <w:jc w:val="center"/>
        <w:rPr>
          <w:rFonts w:hint="eastAsia" w:ascii="仿宋_GB2312" w:hAnsi="仿宋_GB2312" w:eastAsia="仿宋_GB2312" w:cs="仿宋_GB2312"/>
          <w:b/>
          <w:bCs/>
          <w:lang w:eastAsia="zh-CN"/>
        </w:rPr>
      </w:pPr>
      <w:r>
        <w:rPr>
          <w:rFonts w:hint="eastAsia" w:ascii="仿宋_GB2312" w:hAnsi="仿宋_GB2312" w:cs="仿宋_GB2312"/>
          <w:b/>
          <w:bCs/>
          <w:lang w:eastAsia="zh-CN"/>
        </w:rPr>
        <w:t>《</w:t>
      </w:r>
      <w:r>
        <w:rPr>
          <w:rFonts w:hint="eastAsia" w:ascii="仿宋_GB2312" w:hAnsi="仿宋_GB2312" w:cs="仿宋_GB2312"/>
          <w:b/>
          <w:bCs/>
        </w:rPr>
        <w:t>呼伦贝尔市鼓励企业上市挂牌奖补办法</w:t>
      </w:r>
      <w:r>
        <w:rPr>
          <w:rFonts w:hint="eastAsia" w:ascii="仿宋_GB2312" w:hAnsi="仿宋_GB2312" w:cs="仿宋_GB2312"/>
          <w:b/>
          <w:bCs/>
          <w:lang w:eastAsia="zh-CN"/>
        </w:rPr>
        <w:t>》</w:t>
      </w:r>
    </w:p>
    <w:p>
      <w:pPr>
        <w:spacing w:line="560" w:lineRule="exact"/>
        <w:jc w:val="center"/>
        <w:rPr>
          <w:rFonts w:ascii="仿宋_GB2312" w:hAnsi="仿宋_GB2312" w:cs="仿宋_GB2312"/>
        </w:rPr>
      </w:pPr>
      <w:r>
        <w:rPr>
          <w:rFonts w:hint="eastAsia" w:ascii="仿宋_GB2312" w:hAnsi="仿宋_GB2312" w:cs="仿宋_GB2312"/>
          <w:lang w:eastAsia="zh-CN"/>
        </w:rPr>
        <w:t>（</w:t>
      </w:r>
      <w:r>
        <w:rPr>
          <w:rFonts w:hint="eastAsia" w:ascii="仿宋_GB2312" w:hAnsi="仿宋_GB2312" w:cs="仿宋_GB2312"/>
        </w:rPr>
        <w:t>呼政办发〔2022〕8号</w:t>
      </w:r>
      <w:r>
        <w:rPr>
          <w:rFonts w:hint="eastAsia" w:ascii="仿宋_GB2312" w:hAnsi="仿宋_GB2312" w:cs="仿宋_GB2312"/>
          <w:lang w:eastAsia="zh-CN"/>
        </w:rPr>
        <w:t>）</w:t>
      </w:r>
      <w:r>
        <w:rPr>
          <w:rFonts w:hint="eastAsia" w:ascii="仿宋_GB2312" w:hAnsi="仿宋_GB2312" w:cs="仿宋_GB2312"/>
        </w:rPr>
        <w:t>（摘要）</w:t>
      </w:r>
    </w:p>
    <w:p>
      <w:pPr>
        <w:spacing w:line="560" w:lineRule="exact"/>
        <w:ind w:firstLine="562" w:firstLineChars="200"/>
        <w:rPr>
          <w:rFonts w:ascii="仿宋_GB2312" w:hAnsi="仿宋_GB2312" w:cs="仿宋_GB2312"/>
        </w:rPr>
      </w:pPr>
      <w:r>
        <w:rPr>
          <w:rFonts w:hint="eastAsia" w:ascii="仿宋_GB2312" w:hAnsi="仿宋_GB2312" w:cs="仿宋_GB2312"/>
          <w:b/>
          <w:bCs/>
        </w:rPr>
        <w:t>第一条 </w:t>
      </w:r>
      <w:r>
        <w:rPr>
          <w:rFonts w:hint="eastAsia" w:ascii="仿宋_GB2312" w:hAnsi="仿宋_GB2312" w:cs="仿宋_GB2312"/>
        </w:rPr>
        <w:t>本办法适用于呼伦贝尔市上市挂牌相关企业。</w:t>
      </w:r>
    </w:p>
    <w:p>
      <w:pPr>
        <w:spacing w:line="560" w:lineRule="exact"/>
        <w:ind w:firstLine="562" w:firstLineChars="200"/>
        <w:rPr>
          <w:rFonts w:ascii="仿宋_GB2312" w:hAnsi="仿宋_GB2312" w:cs="仿宋_GB2312"/>
        </w:rPr>
      </w:pPr>
      <w:r>
        <w:rPr>
          <w:rFonts w:hint="eastAsia" w:ascii="仿宋_GB2312" w:hAnsi="仿宋_GB2312" w:cs="仿宋_GB2312"/>
          <w:b/>
          <w:bCs/>
        </w:rPr>
        <w:t>第二条</w:t>
      </w:r>
      <w:r>
        <w:rPr>
          <w:rFonts w:hint="eastAsia" w:ascii="仿宋_GB2312" w:hAnsi="仿宋_GB2312" w:cs="仿宋_GB2312"/>
        </w:rPr>
        <w:t> 本办法中“上市”是指企业在上海证券交易所、深圳证券交易所、北京证券交易所、香港联交所、纽约证券交易所和纳斯达克证券交易所首发上市。“挂牌”是指企业在新三板和内蒙古股权交易中心天骏板、孵化板挂牌。</w:t>
      </w:r>
    </w:p>
    <w:p>
      <w:pPr>
        <w:spacing w:line="560" w:lineRule="exact"/>
        <w:ind w:firstLine="562" w:firstLineChars="200"/>
        <w:rPr>
          <w:rFonts w:ascii="仿宋_GB2312" w:hAnsi="仿宋_GB2312" w:cs="仿宋_GB2312"/>
        </w:rPr>
      </w:pPr>
      <w:r>
        <w:rPr>
          <w:rFonts w:hint="eastAsia" w:ascii="仿宋_GB2312" w:hAnsi="仿宋_GB2312" w:cs="仿宋_GB2312"/>
          <w:b/>
          <w:bCs/>
        </w:rPr>
        <w:t>第三条</w:t>
      </w:r>
      <w:r>
        <w:rPr>
          <w:rFonts w:hint="eastAsia" w:ascii="仿宋_GB2312" w:hAnsi="仿宋_GB2312" w:cs="仿宋_GB2312"/>
        </w:rPr>
        <w:t> 对在沪深北交易所首发上市的企业，市本级给予1000万元奖补。</w:t>
      </w:r>
    </w:p>
    <w:p>
      <w:pPr>
        <w:spacing w:line="560" w:lineRule="exact"/>
        <w:ind w:firstLine="560" w:firstLineChars="200"/>
        <w:rPr>
          <w:rFonts w:ascii="仿宋_GB2312" w:hAnsi="仿宋_GB2312" w:cs="仿宋_GB2312"/>
        </w:rPr>
      </w:pPr>
      <w:r>
        <w:rPr>
          <w:rFonts w:hint="eastAsia" w:ascii="仿宋_GB2312" w:hAnsi="仿宋_GB2312" w:cs="仿宋_GB2312"/>
        </w:rPr>
        <w:t>（一）对完成企业股份制改制并在内蒙古证监局办理上市辅导备案的企业，给予200万元奖补；</w:t>
      </w:r>
    </w:p>
    <w:p>
      <w:pPr>
        <w:spacing w:line="560" w:lineRule="exact"/>
        <w:ind w:firstLine="560" w:firstLineChars="200"/>
        <w:rPr>
          <w:rFonts w:ascii="仿宋_GB2312" w:hAnsi="仿宋_GB2312" w:cs="仿宋_GB2312"/>
        </w:rPr>
      </w:pPr>
      <w:r>
        <w:rPr>
          <w:rFonts w:hint="eastAsia" w:ascii="仿宋_GB2312" w:hAnsi="仿宋_GB2312" w:cs="仿宋_GB2312"/>
        </w:rPr>
        <w:t>（二）对向中国证监会、沪深北证券交易所提交上市申报材料并获得受理的企业，给予300万元奖补；</w:t>
      </w:r>
    </w:p>
    <w:p>
      <w:pPr>
        <w:spacing w:line="560" w:lineRule="exact"/>
        <w:ind w:firstLine="560" w:firstLineChars="200"/>
        <w:rPr>
          <w:rFonts w:ascii="仿宋_GB2312" w:hAnsi="仿宋_GB2312" w:cs="仿宋_GB2312"/>
        </w:rPr>
      </w:pPr>
      <w:r>
        <w:rPr>
          <w:rFonts w:hint="eastAsia" w:ascii="仿宋_GB2312" w:hAnsi="仿宋_GB2312" w:cs="仿宋_GB2312"/>
        </w:rPr>
        <w:t>（三）对在沪深北证券交易所实现首发上市的企业，给予500万元奖补。</w:t>
      </w:r>
    </w:p>
    <w:p>
      <w:pPr>
        <w:spacing w:line="560" w:lineRule="exact"/>
        <w:ind w:firstLine="562" w:firstLineChars="200"/>
        <w:rPr>
          <w:rFonts w:ascii="仿宋_GB2312" w:hAnsi="仿宋_GB2312" w:cs="仿宋_GB2312"/>
        </w:rPr>
      </w:pPr>
      <w:r>
        <w:rPr>
          <w:rFonts w:hint="eastAsia" w:ascii="仿宋_GB2312" w:hAnsi="仿宋_GB2312" w:cs="仿宋_GB2312"/>
          <w:b/>
          <w:bCs/>
        </w:rPr>
        <w:t>第四条</w:t>
      </w:r>
      <w:r>
        <w:rPr>
          <w:rFonts w:hint="eastAsia" w:ascii="仿宋_GB2312" w:hAnsi="仿宋_GB2312" w:cs="仿宋_GB2312"/>
        </w:rPr>
        <w:t> 对在香港联交所、纽约证券交易所、纳斯达克证券交易所首发上市的企业，市本级给予一次性500万元奖补。</w:t>
      </w:r>
    </w:p>
    <w:p>
      <w:pPr>
        <w:spacing w:line="560" w:lineRule="exact"/>
        <w:ind w:firstLine="562" w:firstLineChars="200"/>
        <w:rPr>
          <w:rFonts w:ascii="仿宋_GB2312" w:hAnsi="仿宋_GB2312" w:cs="仿宋_GB2312"/>
        </w:rPr>
      </w:pPr>
      <w:r>
        <w:rPr>
          <w:rFonts w:hint="eastAsia" w:ascii="仿宋_GB2312" w:hAnsi="仿宋_GB2312" w:cs="仿宋_GB2312"/>
          <w:b/>
          <w:bCs/>
        </w:rPr>
        <w:t>第五条</w:t>
      </w:r>
      <w:r>
        <w:rPr>
          <w:rFonts w:hint="eastAsia" w:ascii="仿宋_GB2312" w:hAnsi="仿宋_GB2312" w:cs="仿宋_GB2312"/>
        </w:rPr>
        <w:t> 对在新三板成功挂牌的企业市本级一次性给予100万元奖补；对晋层新三板创新层的企业市本级再次给予100万元奖补（直接进入新三板创新层挂牌企业市本级一次性给予200万元奖补）；</w:t>
      </w:r>
    </w:p>
    <w:p>
      <w:pPr>
        <w:spacing w:line="560" w:lineRule="exact"/>
        <w:ind w:firstLine="562" w:firstLineChars="200"/>
        <w:rPr>
          <w:rFonts w:ascii="仿宋_GB2312" w:hAnsi="仿宋_GB2312" w:cs="仿宋_GB2312"/>
        </w:rPr>
      </w:pPr>
      <w:r>
        <w:rPr>
          <w:rFonts w:hint="eastAsia" w:ascii="仿宋_GB2312" w:hAnsi="仿宋_GB2312" w:cs="仿宋_GB2312"/>
          <w:b/>
          <w:bCs/>
        </w:rPr>
        <w:t>第六条</w:t>
      </w:r>
      <w:r>
        <w:rPr>
          <w:rFonts w:hint="eastAsia" w:ascii="仿宋_GB2312" w:hAnsi="仿宋_GB2312" w:cs="仿宋_GB2312"/>
        </w:rPr>
        <w:t> 对在内蒙古股权交易中心天骏板成功挂牌的企业，市本级给予一次性30万元奖补；对在内蒙古股权交易中心孵化板成功挂牌的企业，市本级给予一次性10万元奖补；</w:t>
      </w:r>
    </w:p>
    <w:p>
      <w:pPr>
        <w:spacing w:line="560" w:lineRule="exact"/>
        <w:ind w:firstLine="562" w:firstLineChars="200"/>
        <w:rPr>
          <w:rFonts w:ascii="仿宋_GB2312" w:hAnsi="仿宋_GB2312" w:cs="仿宋_GB2312"/>
        </w:rPr>
      </w:pPr>
      <w:r>
        <w:rPr>
          <w:rFonts w:hint="eastAsia" w:ascii="仿宋_GB2312" w:hAnsi="仿宋_GB2312" w:cs="仿宋_GB2312"/>
          <w:b/>
          <w:bCs/>
        </w:rPr>
        <w:t>第七条</w:t>
      </w:r>
      <w:r>
        <w:rPr>
          <w:rFonts w:hint="eastAsia" w:ascii="仿宋_GB2312" w:hAnsi="仿宋_GB2312" w:cs="仿宋_GB2312"/>
        </w:rPr>
        <w:t> 市内企业在上市挂牌推进过程中如已享受前期政策补助，按照“就高不重复”的原则，最高累计市本级补助不超过1000万元。</w:t>
      </w:r>
    </w:p>
    <w:p>
      <w:pPr>
        <w:spacing w:line="560" w:lineRule="exact"/>
        <w:ind w:firstLine="562" w:firstLineChars="200"/>
        <w:rPr>
          <w:rFonts w:ascii="仿宋_GB2312" w:hAnsi="仿宋_GB2312" w:cs="仿宋_GB2312"/>
        </w:rPr>
      </w:pPr>
      <w:r>
        <w:rPr>
          <w:rFonts w:hint="eastAsia" w:ascii="仿宋_GB2312" w:hAnsi="仿宋_GB2312" w:cs="仿宋_GB2312"/>
          <w:b/>
          <w:bCs/>
        </w:rPr>
        <w:t>第八条</w:t>
      </w:r>
      <w:r>
        <w:rPr>
          <w:rFonts w:hint="eastAsia" w:ascii="仿宋_GB2312" w:hAnsi="仿宋_GB2312" w:cs="仿宋_GB2312"/>
        </w:rPr>
        <w:t> 本办法由呼伦贝尔市人民政府金融工作办公室、市财政局负责组织实施。实施过程中如有问题，由呼伦贝尔市人民政府金融工作办公室负责解释。</w:t>
      </w:r>
    </w:p>
    <w:p>
      <w:pPr>
        <w:spacing w:line="560" w:lineRule="exact"/>
        <w:ind w:firstLine="562" w:firstLineChars="200"/>
        <w:rPr>
          <w:rFonts w:ascii="仿宋_GB2312" w:hAnsi="仿宋_GB2312" w:cs="仿宋_GB2312"/>
        </w:rPr>
      </w:pPr>
      <w:r>
        <w:rPr>
          <w:rFonts w:hint="eastAsia" w:ascii="仿宋_GB2312" w:hAnsi="仿宋_GB2312" w:cs="仿宋_GB2312"/>
          <w:b/>
          <w:bCs/>
        </w:rPr>
        <w:t>第九条</w:t>
      </w:r>
      <w:r>
        <w:rPr>
          <w:rFonts w:hint="eastAsia" w:ascii="仿宋_GB2312" w:hAnsi="仿宋_GB2312" w:cs="仿宋_GB2312"/>
        </w:rPr>
        <w:t> 本办法自印发之日起施行，有效期至2025年12月31日，我市此前确定的相关奖补标准与本办法不一致的，以本办法为准。</w:t>
      </w:r>
    </w:p>
    <w:p>
      <w:pPr>
        <w:spacing w:line="560" w:lineRule="exact"/>
        <w:ind w:firstLine="560" w:firstLineChars="200"/>
        <w:rPr>
          <w:rFonts w:ascii="仿宋_GB2312" w:hAnsi="仿宋_GB2312" w:cs="仿宋_GB2312"/>
        </w:rPr>
      </w:pP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F9A3A95-C497-4023-ABDC-C15E101B816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2" w:fontKey="{31B4AE7A-0F66-4354-8D6E-A0108F01142C}"/>
  </w:font>
  <w:font w:name="方正粗黑宋简体">
    <w:altName w:val="宋体"/>
    <w:panose1 w:val="00000000000000000000"/>
    <w:charset w:val="86"/>
    <w:family w:val="auto"/>
    <w:pitch w:val="default"/>
    <w:sig w:usb0="00000000" w:usb1="00000000" w:usb2="00000012" w:usb3="00000000" w:csb0="00040001" w:csb1="00000000"/>
  </w:font>
  <w:font w:name="楷体_GB2312">
    <w:altName w:val="楷体"/>
    <w:panose1 w:val="00000000000000000000"/>
    <w:charset w:val="86"/>
    <w:family w:val="modern"/>
    <w:pitch w:val="default"/>
    <w:sig w:usb0="00000000" w:usb1="00000000" w:usb2="00000000" w:usb3="00000000" w:csb0="00040000" w:csb1="00000000"/>
    <w:embedRegular r:id="rId3" w:fontKey="{E2C8E8EE-B33A-4BF4-8AF5-92A65B8FD201}"/>
  </w:font>
  <w:font w:name="楷体">
    <w:panose1 w:val="02010609060101010101"/>
    <w:charset w:val="86"/>
    <w:family w:val="modern"/>
    <w:pitch w:val="default"/>
    <w:sig w:usb0="800002BF" w:usb1="38CF7CFA" w:usb2="00000016" w:usb3="00000000" w:csb0="00040001" w:csb1="00000000"/>
    <w:embedRegular r:id="rId4" w:fontKey="{72BCEE9E-48B4-4AAB-9A0B-A3B73814AB35}"/>
  </w:font>
  <w:font w:name="方正小标宋简体">
    <w:panose1 w:val="02000000000000000000"/>
    <w:charset w:val="86"/>
    <w:family w:val="auto"/>
    <w:pitch w:val="default"/>
    <w:sig w:usb0="00000001" w:usb1="08000000" w:usb2="00000000" w:usb3="00000000" w:csb0="00040000" w:csb1="00000000"/>
    <w:embedRegular r:id="rId5" w:fontKey="{86ACE44E-6E09-44D8-8C17-9BB234288D24}"/>
  </w:font>
  <w:font w:name="仿宋">
    <w:panose1 w:val="02010609060101010101"/>
    <w:charset w:val="86"/>
    <w:family w:val="modern"/>
    <w:pitch w:val="default"/>
    <w:sig w:usb0="800002BF" w:usb1="38CF7CFA" w:usb2="00000016" w:usb3="00000000" w:csb0="00040001" w:csb1="00000000"/>
    <w:embedRegular r:id="rId6" w:fontKey="{AB24E420-AAAB-4E7A-B0F2-AFD803A91B9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4A9CF"/>
    <w:multiLevelType w:val="singleLevel"/>
    <w:tmpl w:val="8F94A9CF"/>
    <w:lvl w:ilvl="0" w:tentative="0">
      <w:start w:val="1"/>
      <w:numFmt w:val="chineseCounting"/>
      <w:suff w:val="nothing"/>
      <w:lvlText w:val="%1、"/>
      <w:lvlJc w:val="left"/>
      <w:rPr>
        <w:rFonts w:hint="eastAsia"/>
      </w:rPr>
    </w:lvl>
  </w:abstractNum>
  <w:abstractNum w:abstractNumId="1">
    <w:nsid w:val="D5C1B616"/>
    <w:multiLevelType w:val="singleLevel"/>
    <w:tmpl w:val="D5C1B616"/>
    <w:lvl w:ilvl="0" w:tentative="0">
      <w:start w:val="1"/>
      <w:numFmt w:val="chineseCounting"/>
      <w:suff w:val="nothing"/>
      <w:lvlText w:val="%1、"/>
      <w:lvlJc w:val="left"/>
      <w:rPr>
        <w:rFonts w:hint="eastAsia"/>
      </w:rPr>
    </w:lvl>
  </w:abstractNum>
  <w:abstractNum w:abstractNumId="2">
    <w:nsid w:val="EBCE0581"/>
    <w:multiLevelType w:val="singleLevel"/>
    <w:tmpl w:val="EBCE0581"/>
    <w:lvl w:ilvl="0" w:tentative="0">
      <w:start w:val="2"/>
      <w:numFmt w:val="chineseCounting"/>
      <w:suff w:val="nothing"/>
      <w:lvlText w:val="（%1）"/>
      <w:lvlJc w:val="left"/>
      <w:rPr>
        <w:rFonts w:hint="eastAsia"/>
      </w:rPr>
    </w:lvl>
  </w:abstractNum>
  <w:abstractNum w:abstractNumId="3">
    <w:nsid w:val="1A1C6C18"/>
    <w:multiLevelType w:val="singleLevel"/>
    <w:tmpl w:val="1A1C6C18"/>
    <w:lvl w:ilvl="0" w:tentative="0">
      <w:start w:val="1"/>
      <w:numFmt w:val="chineseCounting"/>
      <w:suff w:val="space"/>
      <w:lvlText w:val="第%1条"/>
      <w:lvlJc w:val="left"/>
      <w:rPr>
        <w:rFonts w:hint="eastAsia"/>
      </w:rPr>
    </w:lvl>
  </w:abstractNum>
  <w:abstractNum w:abstractNumId="4">
    <w:nsid w:val="32705AC9"/>
    <w:multiLevelType w:val="singleLevel"/>
    <w:tmpl w:val="32705AC9"/>
    <w:lvl w:ilvl="0" w:tentative="0">
      <w:start w:val="1"/>
      <w:numFmt w:val="chineseCounting"/>
      <w:suff w:val="space"/>
      <w:lvlText w:val="第%1条"/>
      <w:lvlJc w:val="left"/>
      <w:rPr>
        <w:rFonts w:hint="eastAsia"/>
      </w:rPr>
    </w:lvl>
  </w:abstractNum>
  <w:abstractNum w:abstractNumId="5">
    <w:nsid w:val="5E4F7204"/>
    <w:multiLevelType w:val="singleLevel"/>
    <w:tmpl w:val="5E4F7204"/>
    <w:lvl w:ilvl="0" w:tentative="0">
      <w:start w:val="2"/>
      <w:numFmt w:val="chineseCounting"/>
      <w:suff w:val="nothing"/>
      <w:lvlText w:val="（%1）"/>
      <w:lvlJc w:val="left"/>
      <w:rPr>
        <w:rFonts w:hint="eastAsia"/>
      </w:rPr>
    </w:lvl>
  </w:abstractNum>
  <w:abstractNum w:abstractNumId="6">
    <w:nsid w:val="738ED6E8"/>
    <w:multiLevelType w:val="singleLevel"/>
    <w:tmpl w:val="738ED6E8"/>
    <w:lvl w:ilvl="0" w:tentative="0">
      <w:start w:val="2"/>
      <w:numFmt w:val="chineseCounting"/>
      <w:suff w:val="nothing"/>
      <w:lvlText w:val="（%1）"/>
      <w:lvlJc w:val="left"/>
      <w:rPr>
        <w:rFonts w:hint="eastAsia"/>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VmMTNkYzc0MmZlMjBiN2NlMmE0NjZmYmViYmQ2ZWIifQ=="/>
  </w:docVars>
  <w:rsids>
    <w:rsidRoot w:val="4A543D6D"/>
    <w:rsid w:val="001A79CA"/>
    <w:rsid w:val="00372E9A"/>
    <w:rsid w:val="00621668"/>
    <w:rsid w:val="00752A6A"/>
    <w:rsid w:val="007D2137"/>
    <w:rsid w:val="01C14F90"/>
    <w:rsid w:val="020716AE"/>
    <w:rsid w:val="055C2A81"/>
    <w:rsid w:val="06AD5328"/>
    <w:rsid w:val="0B100D25"/>
    <w:rsid w:val="0CC65F24"/>
    <w:rsid w:val="113B1B14"/>
    <w:rsid w:val="12971B2C"/>
    <w:rsid w:val="1DDC67E7"/>
    <w:rsid w:val="1DDD5746"/>
    <w:rsid w:val="1DE75F4B"/>
    <w:rsid w:val="1E582B65"/>
    <w:rsid w:val="21FE0C14"/>
    <w:rsid w:val="22156E7A"/>
    <w:rsid w:val="23C074B5"/>
    <w:rsid w:val="246E24F9"/>
    <w:rsid w:val="281E2514"/>
    <w:rsid w:val="292D3DDA"/>
    <w:rsid w:val="298F4F7D"/>
    <w:rsid w:val="2ACB3B4E"/>
    <w:rsid w:val="2B9E1EE8"/>
    <w:rsid w:val="2DCE28FC"/>
    <w:rsid w:val="31D413BE"/>
    <w:rsid w:val="33713745"/>
    <w:rsid w:val="33FB5DDB"/>
    <w:rsid w:val="342C7F98"/>
    <w:rsid w:val="3561119D"/>
    <w:rsid w:val="39967482"/>
    <w:rsid w:val="3CCD63AD"/>
    <w:rsid w:val="3D7A7A25"/>
    <w:rsid w:val="41195D72"/>
    <w:rsid w:val="42161C37"/>
    <w:rsid w:val="441F7EFA"/>
    <w:rsid w:val="457A3A0A"/>
    <w:rsid w:val="45A163C9"/>
    <w:rsid w:val="46536944"/>
    <w:rsid w:val="466B58CB"/>
    <w:rsid w:val="4A11000E"/>
    <w:rsid w:val="4A543D6D"/>
    <w:rsid w:val="4AC960E9"/>
    <w:rsid w:val="4B212E95"/>
    <w:rsid w:val="4BFC6CE8"/>
    <w:rsid w:val="4C2A0E0A"/>
    <w:rsid w:val="4DA709CE"/>
    <w:rsid w:val="50B500CA"/>
    <w:rsid w:val="51E56F13"/>
    <w:rsid w:val="57160D63"/>
    <w:rsid w:val="5A9D3D10"/>
    <w:rsid w:val="5B127F0A"/>
    <w:rsid w:val="5FF0037E"/>
    <w:rsid w:val="607D66FA"/>
    <w:rsid w:val="627A366F"/>
    <w:rsid w:val="651100E5"/>
    <w:rsid w:val="67F26828"/>
    <w:rsid w:val="68816927"/>
    <w:rsid w:val="69FE33CB"/>
    <w:rsid w:val="6D437B25"/>
    <w:rsid w:val="726510EE"/>
    <w:rsid w:val="72C10E8D"/>
    <w:rsid w:val="76421559"/>
    <w:rsid w:val="78FE4027"/>
    <w:rsid w:val="79E8095B"/>
    <w:rsid w:val="7BC26F87"/>
    <w:rsid w:val="7DC55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jc w:val="both"/>
    </w:pPr>
    <w:rPr>
      <w:rFonts w:ascii="Times New Roman" w:hAnsi="Times New Roman" w:eastAsia="仿宋_GB2312" w:cs="Times New Roman"/>
      <w:kern w:val="2"/>
      <w:sz w:val="28"/>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方正粗黑宋简体"/>
      <w:kern w:val="44"/>
      <w:sz w:val="44"/>
    </w:rPr>
  </w:style>
  <w:style w:type="paragraph" w:styleId="4">
    <w:name w:val="heading 2"/>
    <w:basedOn w:val="1"/>
    <w:next w:val="1"/>
    <w:unhideWhenUsed/>
    <w:qFormat/>
    <w:uiPriority w:val="0"/>
    <w:pPr>
      <w:keepNext/>
      <w:keepLines/>
      <w:outlineLvl w:val="1"/>
    </w:pPr>
    <w:rPr>
      <w:rFonts w:ascii="Arial" w:hAnsi="Arial" w:eastAsia="黑体"/>
      <w:sz w:val="32"/>
    </w:rPr>
  </w:style>
  <w:style w:type="paragraph" w:styleId="5">
    <w:name w:val="heading 3"/>
    <w:basedOn w:val="1"/>
    <w:next w:val="1"/>
    <w:unhideWhenUsed/>
    <w:qFormat/>
    <w:uiPriority w:val="0"/>
    <w:pPr>
      <w:keepNext/>
      <w:keepLines/>
      <w:ind w:firstLine="420" w:firstLineChars="200"/>
      <w:outlineLvl w:val="2"/>
    </w:pPr>
    <w:rPr>
      <w:rFonts w:eastAsia="楷体_GB2312"/>
      <w:b/>
      <w:sz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spacing w:line="576" w:lineRule="exact"/>
      <w:ind w:left="420" w:leftChars="200" w:firstLine="596" w:firstLineChars="200"/>
    </w:pPr>
    <w:rPr>
      <w:rFonts w:ascii="Calibri" w:hAnsi="Calibri"/>
      <w:color w:val="000000"/>
      <w:spacing w:val="-11"/>
      <w:kern w:val="0"/>
      <w:sz w:val="32"/>
      <w:szCs w:val="32"/>
    </w:rPr>
  </w:style>
  <w:style w:type="paragraph" w:styleId="6">
    <w:name w:val="Body Text"/>
    <w:basedOn w:val="1"/>
    <w:qFormat/>
    <w:uiPriority w:val="1"/>
    <w:pPr>
      <w:spacing w:before="203"/>
      <w:ind w:left="115" w:hanging="526"/>
    </w:pPr>
    <w:rPr>
      <w:rFonts w:ascii="宋体" w:hAnsi="宋体" w:eastAsia="宋体" w:cs="宋体"/>
      <w:sz w:val="30"/>
      <w:szCs w:val="30"/>
      <w:lang w:val="zh-CN" w:bidi="zh-CN"/>
    </w:r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Normal (Web)"/>
    <w:basedOn w:val="1"/>
    <w:qFormat/>
    <w:uiPriority w:val="0"/>
    <w:pPr>
      <w:spacing w:before="100" w:beforeAutospacing="1" w:after="100" w:afterAutospacing="1"/>
      <w:jc w:val="left"/>
    </w:pPr>
    <w:rPr>
      <w:kern w:val="0"/>
      <w:sz w:val="24"/>
    </w:rPr>
  </w:style>
  <w:style w:type="character" w:styleId="15">
    <w:name w:val="Strong"/>
    <w:basedOn w:val="14"/>
    <w:qFormat/>
    <w:uiPriority w:val="0"/>
    <w:rPr>
      <w:b/>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35218</Words>
  <Characters>36532</Characters>
  <Lines>286</Lines>
  <Paragraphs>80</Paragraphs>
  <TotalTime>69</TotalTime>
  <ScaleCrop>false</ScaleCrop>
  <LinksUpToDate>false</LinksUpToDate>
  <CharactersWithSpaces>36830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2022-04-23T04:21:00Z</dcterms:created>
  <dc:creator>还我棒棒糖จุ๊บ</dc:creator>
  <cp:lastModifiedBy>凯龙</cp:lastModifiedBy>
  <cp:lastPrinted>2023-05-11T01:46:00Z</cp:lastPrinted>
  <dcterms:modified xsi:type="dcterms:W3CDTF">2023-05-11T01:56:21Z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2E10703844D1489EBA3E829FA870E529</vt:lpwstr>
  </property>
</Properties>
</file>