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 w:val="0"/>
          <w:bCs w:val="0"/>
          <w:kern w:val="0"/>
          <w:sz w:val="44"/>
          <w:szCs w:val="44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44"/>
          <w:szCs w:val="44"/>
        </w:rPr>
        <w:t>关于</w:t>
      </w:r>
      <w:r>
        <w:rPr>
          <w:rFonts w:hint="eastAsia" w:ascii="宋体" w:hAnsi="宋体" w:eastAsia="宋体" w:cs="宋体"/>
          <w:b w:val="0"/>
          <w:bCs w:val="0"/>
          <w:kern w:val="0"/>
          <w:sz w:val="44"/>
          <w:szCs w:val="44"/>
          <w:lang w:val="en-US" w:eastAsia="zh-CN"/>
        </w:rPr>
        <w:t>2022</w:t>
      </w:r>
      <w:r>
        <w:rPr>
          <w:rFonts w:hint="eastAsia" w:ascii="宋体" w:hAnsi="宋体" w:eastAsia="宋体" w:cs="宋体"/>
          <w:b w:val="0"/>
          <w:bCs w:val="0"/>
          <w:kern w:val="0"/>
          <w:sz w:val="44"/>
          <w:szCs w:val="44"/>
        </w:rPr>
        <w:t>年</w:t>
      </w:r>
      <w:r>
        <w:rPr>
          <w:rFonts w:hint="eastAsia" w:ascii="宋体" w:hAnsi="宋体" w:eastAsia="宋体" w:cs="宋体"/>
          <w:b w:val="0"/>
          <w:bCs w:val="0"/>
          <w:kern w:val="0"/>
          <w:sz w:val="44"/>
          <w:szCs w:val="44"/>
          <w:lang w:eastAsia="zh-CN"/>
        </w:rPr>
        <w:t>度莫旗</w:t>
      </w:r>
      <w:r>
        <w:rPr>
          <w:rFonts w:hint="eastAsia" w:ascii="宋体" w:hAnsi="宋体" w:eastAsia="宋体" w:cs="宋体"/>
          <w:b w:val="0"/>
          <w:bCs w:val="0"/>
          <w:kern w:val="0"/>
          <w:sz w:val="44"/>
          <w:szCs w:val="44"/>
        </w:rPr>
        <w:t>本级</w:t>
      </w:r>
    </w:p>
    <w:p>
      <w:pPr>
        <w:jc w:val="center"/>
        <w:rPr>
          <w:rFonts w:hint="eastAsia" w:ascii="宋体" w:hAnsi="宋体" w:eastAsia="宋体" w:cs="宋体"/>
          <w:b w:val="0"/>
          <w:bCs w:val="0"/>
          <w:kern w:val="0"/>
          <w:sz w:val="44"/>
          <w:szCs w:val="44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44"/>
          <w:szCs w:val="44"/>
        </w:rPr>
        <w:t>一般公共预算收入决算</w:t>
      </w:r>
      <w:r>
        <w:rPr>
          <w:rFonts w:hint="eastAsia" w:ascii="宋体" w:hAnsi="宋体" w:eastAsia="宋体" w:cs="宋体"/>
          <w:b w:val="0"/>
          <w:bCs w:val="0"/>
          <w:kern w:val="0"/>
          <w:sz w:val="44"/>
          <w:szCs w:val="44"/>
          <w:lang w:eastAsia="zh-CN"/>
        </w:rPr>
        <w:t>情况</w:t>
      </w:r>
      <w:r>
        <w:rPr>
          <w:rFonts w:hint="eastAsia" w:ascii="宋体" w:hAnsi="宋体" w:eastAsia="宋体" w:cs="宋体"/>
          <w:b w:val="0"/>
          <w:bCs w:val="0"/>
          <w:kern w:val="0"/>
          <w:sz w:val="44"/>
          <w:szCs w:val="44"/>
        </w:rPr>
        <w:t>的说明</w:t>
      </w:r>
    </w:p>
    <w:p>
      <w:pPr>
        <w:jc w:val="center"/>
        <w:rPr>
          <w:rFonts w:hint="eastAsia" w:ascii="宋体" w:hAnsi="宋体" w:eastAsia="宋体" w:cs="宋体"/>
          <w:b w:val="0"/>
          <w:bCs w:val="0"/>
          <w:kern w:val="0"/>
          <w:sz w:val="36"/>
          <w:szCs w:val="36"/>
        </w:rPr>
      </w:pPr>
    </w:p>
    <w:p>
      <w:pPr>
        <w:numPr>
          <w:ilvl w:val="0"/>
          <w:numId w:val="0"/>
        </w:num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</w:pPr>
      <w:bookmarkStart w:id="0" w:name="非税收入完成情况及结构简析"/>
      <w:r>
        <w:rPr>
          <w:rFonts w:hint="eastAsia" w:ascii="宋体" w:hAnsi="宋体" w:eastAsia="宋体" w:cs="宋体"/>
          <w:sz w:val="32"/>
          <w:szCs w:val="32"/>
          <w:highlight w:val="none"/>
          <w:lang w:eastAsia="zh-CN"/>
        </w:rPr>
        <w:t>20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22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>年，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全旗地方财政总收入（新口径）完成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45,463万元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，同比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增加11,629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万元，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增长34.37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%。其中：</w:t>
      </w: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zh-CN"/>
        </w:rPr>
        <w:t>公共财政预算收入完成</w:t>
      </w: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en-US" w:eastAsia="zh-CN"/>
        </w:rPr>
        <w:t>35,780</w:t>
      </w: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zh-CN"/>
        </w:rPr>
        <w:t>万元，同比</w:t>
      </w: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en-US" w:eastAsia="zh-CN"/>
        </w:rPr>
        <w:t>增长16,492</w:t>
      </w: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zh-CN"/>
        </w:rPr>
        <w:t>万元，</w:t>
      </w: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en-US" w:eastAsia="zh-CN"/>
        </w:rPr>
        <w:t>增长85.5</w:t>
      </w: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zh-CN"/>
        </w:rPr>
        <w:t>%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；上划中央收入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 w:eastAsia="zh-CN"/>
        </w:rPr>
        <w:t>完成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 w:eastAsia="zh-CN"/>
        </w:rPr>
        <w:t>,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752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 w:eastAsia="zh-CN"/>
        </w:rPr>
        <w:t>万元，同比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减少2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 w:eastAsia="zh-CN"/>
        </w:rPr>
        <w:t>,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923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 w:eastAsia="zh-CN"/>
        </w:rPr>
        <w:t>万元，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下降33.69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 w:eastAsia="zh-CN"/>
        </w:rPr>
        <w:t>%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;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；上划省级收入完成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935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万元，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 w:eastAsia="zh-CN"/>
        </w:rPr>
        <w:t>同比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减少1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 w:eastAsia="zh-CN"/>
        </w:rPr>
        <w:t>,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584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 w:eastAsia="zh-CN"/>
        </w:rPr>
        <w:t>万元，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下降62.88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 w:eastAsia="zh-CN"/>
        </w:rPr>
        <w:t>%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；上划市级收入完成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3,096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万元，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 w:eastAsia="zh-CN"/>
        </w:rPr>
        <w:t>同比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减少256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 w:eastAsia="zh-CN"/>
        </w:rPr>
        <w:t>万元，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下降7.6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 w:eastAsia="zh-CN"/>
        </w:rPr>
        <w:t>%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。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财政收入结构情况是：</w:t>
      </w:r>
      <w:r>
        <w:rPr>
          <w:rFonts w:hint="eastAsia" w:ascii="宋体" w:hAnsi="宋体" w:eastAsia="宋体" w:cs="宋体"/>
          <w:sz w:val="32"/>
          <w:szCs w:val="32"/>
        </w:rPr>
        <w:t>税收收入完成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9,704</w:t>
      </w:r>
      <w:r>
        <w:rPr>
          <w:rFonts w:hint="eastAsia" w:ascii="宋体" w:hAnsi="宋体" w:eastAsia="宋体" w:cs="宋体"/>
          <w:sz w:val="32"/>
          <w:szCs w:val="32"/>
        </w:rPr>
        <w:t>万元，同比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减少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118</w:t>
      </w:r>
      <w:r>
        <w:rPr>
          <w:rFonts w:hint="eastAsia" w:ascii="宋体" w:hAnsi="宋体" w:eastAsia="宋体" w:cs="宋体"/>
          <w:sz w:val="32"/>
          <w:szCs w:val="32"/>
        </w:rPr>
        <w:t>万元，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下降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1.2</w:t>
      </w:r>
      <w:r>
        <w:rPr>
          <w:rFonts w:hint="eastAsia" w:ascii="宋体" w:hAnsi="宋体" w:eastAsia="宋体" w:cs="宋体"/>
          <w:sz w:val="32"/>
          <w:szCs w:val="32"/>
        </w:rPr>
        <w:t>%；非税收入完成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26,076</w:t>
      </w:r>
      <w:r>
        <w:rPr>
          <w:rFonts w:hint="eastAsia" w:ascii="宋体" w:hAnsi="宋体" w:eastAsia="宋体" w:cs="宋体"/>
          <w:sz w:val="32"/>
          <w:szCs w:val="32"/>
        </w:rPr>
        <w:t>万元，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同比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增加16,610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万元，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增长175.47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%</w:t>
      </w:r>
      <w:r>
        <w:rPr>
          <w:rFonts w:hint="eastAsia" w:ascii="宋体" w:hAnsi="宋体" w:eastAsia="宋体" w:cs="宋体"/>
          <w:sz w:val="32"/>
          <w:szCs w:val="32"/>
        </w:rPr>
        <w:t>。</w:t>
      </w:r>
    </w:p>
    <w:bookmarkEnd w:id="0"/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1.增值税完成1,167万元，同比减少919万元，下降44.06%。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2.企业所得税完成514万元，同比减少13万元，下降2.47%。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3.个人所得税完成341万元，同比增加43万元，增长14.43%。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4.资源税完成167万元，同比增加81万元，增长94.19%。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5.城市维护建设税完成209万元，同比减少82万元，下降28.18%。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6.房产税完成204万元，同比减少2万，下降0.97%。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7.印花税完成241万元，同比减少3万元，下降1.23%。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8.城镇土地使用税完成180万元，同比减少49万元，下降21.40%。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9.土地增值税完成1,669万元，同比减少525万元，下降23.93%。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10.车船使用税完成726万元，同比增加76万元，增长11.69%。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11.耕地占用税完成1,742万元，同比增加1,352万元，增长346.67%。</w:t>
      </w:r>
    </w:p>
    <w:p>
      <w:pPr>
        <w:spacing w:line="360" w:lineRule="auto"/>
        <w:ind w:left="638" w:leftChars="304" w:firstLine="0" w:firstLineChars="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12.契税完成2,519万元，同比减少75万元，下降2.89%。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13.环境保护税完成24万元，同比减少3万元，下降11.11%。</w:t>
      </w:r>
    </w:p>
    <w:p>
      <w:pPr>
        <w:numPr>
          <w:ilvl w:val="0"/>
          <w:numId w:val="0"/>
        </w:numPr>
        <w:spacing w:line="360" w:lineRule="auto"/>
        <w:ind w:firstLine="960" w:firstLineChars="300"/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zh-CN" w:eastAsia="zh-CN"/>
        </w:rPr>
        <w:t>20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2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zh-CN" w:eastAsia="zh-CN"/>
        </w:rPr>
        <w:t>年，我旗努力克服经济增长速度放缓、政策性减收等不利因素影响，旗委、旗政府高度重视，定期召开财政、税务等部门的收入分析联席会议，紧紧围绕财政收入这个目标，分析收入征管中存在的困难和问题。并通过层层分解任务，强化对重点行业、重点税源监控，加大征管力度。对非税收入采取落实责任、定期通报、定期调度、深入单位督导等措施，确保了应收尽收，有力推进了税费征收，为全旗经济和社会事业发展提供了财力保障。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财政部门多次协调征收部门召开收入联席会、协调会，加大了税收征管力度，税务部门对金融行业部门开展了税务清查工作，加强了陈欠税款的清理，实现了税收一定程度的增长。财政部门对非税收入进行密切跟踪管理，做到应收尽收，收入及时足额缴库。</w:t>
      </w:r>
    </w:p>
    <w:p>
      <w:pPr>
        <w:pStyle w:val="2"/>
        <w:spacing w:line="560" w:lineRule="exact"/>
        <w:ind w:firstLine="640" w:firstLineChars="200"/>
        <w:jc w:val="both"/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增减因素分析：</w:t>
      </w:r>
    </w:p>
    <w:p>
      <w:pPr>
        <w:pStyle w:val="2"/>
        <w:numPr>
          <w:ilvl w:val="0"/>
          <w:numId w:val="1"/>
        </w:numPr>
        <w:spacing w:line="560" w:lineRule="exact"/>
        <w:ind w:firstLine="640" w:firstLineChars="200"/>
        <w:jc w:val="both"/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减收因素：</w:t>
      </w:r>
    </w:p>
    <w:p>
      <w:pPr>
        <w:pStyle w:val="2"/>
        <w:numPr>
          <w:ilvl w:val="0"/>
          <w:numId w:val="0"/>
        </w:numPr>
        <w:spacing w:line="560" w:lineRule="exact"/>
        <w:ind w:firstLine="640" w:firstLineChars="200"/>
        <w:jc w:val="both"/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</w:pPr>
      <w:r>
        <w:rPr>
          <w:rFonts w:hint="eastAsia" w:eastAsia="宋体" w:cs="宋体"/>
          <w:color w:val="auto"/>
          <w:sz w:val="32"/>
          <w:szCs w:val="32"/>
          <w:lang w:val="en-US" w:eastAsia="zh-CN"/>
        </w:rPr>
        <w:t>1.疫情影响，国家政策扶持，企业、个体工商户税收减免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。</w:t>
      </w:r>
    </w:p>
    <w:p>
      <w:pPr>
        <w:pStyle w:val="2"/>
        <w:numPr>
          <w:ilvl w:val="0"/>
          <w:numId w:val="0"/>
        </w:numPr>
        <w:spacing w:line="560" w:lineRule="exact"/>
        <w:jc w:val="both"/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</w:pPr>
      <w:r>
        <w:rPr>
          <w:rFonts w:hint="eastAsia" w:eastAsia="宋体" w:cs="宋体"/>
          <w:color w:val="auto"/>
          <w:sz w:val="32"/>
          <w:szCs w:val="32"/>
          <w:lang w:val="en-US" w:eastAsia="zh-CN"/>
        </w:rPr>
        <w:t xml:space="preserve">    2.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政府性项目投资有所减少。</w:t>
      </w:r>
    </w:p>
    <w:p>
      <w:pPr>
        <w:pStyle w:val="2"/>
        <w:numPr>
          <w:ilvl w:val="0"/>
          <w:numId w:val="1"/>
        </w:numPr>
        <w:spacing w:line="560" w:lineRule="exact"/>
        <w:ind w:firstLine="640" w:firstLineChars="200"/>
        <w:jc w:val="both"/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增收原因：</w:t>
      </w:r>
    </w:p>
    <w:p>
      <w:pPr>
        <w:pStyle w:val="2"/>
        <w:numPr>
          <w:ilvl w:val="0"/>
          <w:numId w:val="0"/>
        </w:numPr>
        <w:spacing w:line="560" w:lineRule="exact"/>
        <w:ind w:firstLine="640" w:firstLineChars="200"/>
        <w:jc w:val="both"/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</w:pPr>
      <w:r>
        <w:rPr>
          <w:rFonts w:hint="eastAsia" w:eastAsia="宋体" w:cs="宋体"/>
          <w:color w:val="auto"/>
          <w:sz w:val="32"/>
          <w:szCs w:val="32"/>
          <w:lang w:val="en-US" w:eastAsia="zh-CN"/>
        </w:rPr>
        <w:t>3.</w:t>
      </w:r>
      <w:r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-SA"/>
        </w:rPr>
        <w:t>缴纳“十个全覆盖”工程耕地占用税及清缴粮食企业耕地占用税。</w:t>
      </w:r>
    </w:p>
    <w:p>
      <w:pPr>
        <w:pStyle w:val="2"/>
        <w:numPr>
          <w:ilvl w:val="0"/>
          <w:numId w:val="0"/>
        </w:numPr>
        <w:spacing w:line="560" w:lineRule="exact"/>
        <w:ind w:firstLine="640" w:firstLineChars="200"/>
        <w:jc w:val="both"/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</w:pPr>
      <w:r>
        <w:rPr>
          <w:rFonts w:hint="eastAsia" w:eastAsia="宋体" w:cs="宋体"/>
          <w:color w:val="auto"/>
          <w:sz w:val="32"/>
          <w:szCs w:val="32"/>
          <w:lang w:val="en-US" w:eastAsia="zh-CN"/>
        </w:rPr>
        <w:t>4.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加强了全员全额申报管理与个体工商户的核定管理。</w:t>
      </w:r>
    </w:p>
    <w:p>
      <w:pPr>
        <w:pStyle w:val="2"/>
        <w:widowControl/>
        <w:numPr>
          <w:ilvl w:val="0"/>
          <w:numId w:val="0"/>
        </w:numPr>
        <w:spacing w:line="560" w:lineRule="exact"/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pStyle w:val="2"/>
        <w:widowControl/>
        <w:numPr>
          <w:ilvl w:val="0"/>
          <w:numId w:val="0"/>
        </w:numPr>
        <w:spacing w:line="560" w:lineRule="exact"/>
        <w:ind w:left="7037" w:leftChars="608" w:hanging="5760" w:hangingChars="1800"/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                                                                                                       </w:t>
      </w:r>
    </w:p>
    <w:p>
      <w:pPr>
        <w:pStyle w:val="2"/>
        <w:widowControl/>
        <w:numPr>
          <w:ilvl w:val="0"/>
          <w:numId w:val="0"/>
        </w:numPr>
        <w:spacing w:line="560" w:lineRule="exact"/>
        <w:ind w:left="7037" w:leftChars="608" w:hanging="5760" w:hangingChars="1800"/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pStyle w:val="2"/>
        <w:widowControl/>
        <w:numPr>
          <w:ilvl w:val="0"/>
          <w:numId w:val="0"/>
        </w:numPr>
        <w:spacing w:line="560" w:lineRule="exact"/>
        <w:ind w:left="7037" w:leftChars="608" w:hanging="5760" w:hangingChars="1800"/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pStyle w:val="2"/>
        <w:widowControl/>
        <w:numPr>
          <w:ilvl w:val="0"/>
          <w:numId w:val="0"/>
        </w:numPr>
        <w:spacing w:line="560" w:lineRule="exact"/>
        <w:ind w:left="7037" w:leftChars="608" w:hanging="5760" w:hangingChars="1800"/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pStyle w:val="2"/>
        <w:widowControl/>
        <w:numPr>
          <w:ilvl w:val="0"/>
          <w:numId w:val="0"/>
        </w:numPr>
        <w:spacing w:line="560" w:lineRule="exact"/>
        <w:ind w:left="7022" w:leftChars="3344" w:firstLine="0" w:firstLineChars="0"/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莫旗财政局</w:t>
      </w:r>
    </w:p>
    <w:p>
      <w:pPr>
        <w:pStyle w:val="2"/>
        <w:widowControl/>
        <w:numPr>
          <w:ilvl w:val="0"/>
          <w:numId w:val="0"/>
        </w:numPr>
        <w:spacing w:line="560" w:lineRule="exact"/>
        <w:jc w:val="righ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20</w:t>
      </w:r>
      <w:r>
        <w:rPr>
          <w:rFonts w:hint="eastAsia" w:eastAsia="宋体" w:cs="宋体"/>
          <w:sz w:val="32"/>
          <w:szCs w:val="32"/>
          <w:lang w:val="en-US" w:eastAsia="zh-CN"/>
        </w:rPr>
        <w:t>23</w:t>
      </w:r>
      <w:bookmarkStart w:id="1" w:name="_GoBack"/>
      <w:bookmarkEnd w:id="1"/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年10月</w:t>
      </w:r>
      <w:r>
        <w:rPr>
          <w:rFonts w:hint="eastAsia" w:eastAsia="宋体" w:cs="宋体"/>
          <w:sz w:val="32"/>
          <w:szCs w:val="32"/>
          <w:lang w:val="en-US" w:eastAsia="zh-CN"/>
        </w:rPr>
        <w:t>9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日</w:t>
      </w:r>
    </w:p>
    <w:p>
      <w:pPr>
        <w:rPr>
          <w:rFonts w:hint="eastAsia" w:ascii="宋体" w:hAnsi="宋体" w:eastAsia="宋体" w:cs="宋体"/>
          <w:sz w:val="32"/>
          <w:szCs w:val="32"/>
        </w:rPr>
      </w:pPr>
    </w:p>
    <w:p/>
    <w:sectPr>
      <w:pgSz w:w="11907" w:h="16840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B875772"/>
    <w:multiLevelType w:val="singleLevel"/>
    <w:tmpl w:val="5B875772"/>
    <w:lvl w:ilvl="0" w:tentative="0">
      <w:start w:val="1"/>
      <w:numFmt w:val="chineseCounting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xNDc2N2ZhNzdlMGNiMjBlZTI2ZjZmOGM0YWEyMzIifQ=="/>
  </w:docVars>
  <w:rsids>
    <w:rsidRoot w:val="10F024E4"/>
    <w:rsid w:val="0C8258DE"/>
    <w:rsid w:val="10F024E4"/>
    <w:rsid w:val="110A6FB1"/>
    <w:rsid w:val="11AF26C5"/>
    <w:rsid w:val="409D29E2"/>
    <w:rsid w:val="474A4DA7"/>
    <w:rsid w:val="49FD6C71"/>
    <w:rsid w:val="4C2A4282"/>
    <w:rsid w:val="4CD360FF"/>
    <w:rsid w:val="69574444"/>
    <w:rsid w:val="714E6C90"/>
    <w:rsid w:val="7177651E"/>
    <w:rsid w:val="744E40EA"/>
    <w:rsid w:val="7E5D6188"/>
    <w:rsid w:val="7E8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jc w:val="left"/>
    </w:pPr>
    <w:rPr>
      <w:rFonts w:ascii="宋体" w:hAnsi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947</Words>
  <Characters>1179</Characters>
  <Lines>0</Lines>
  <Paragraphs>0</Paragraphs>
  <TotalTime>24</TotalTime>
  <ScaleCrop>false</ScaleCrop>
  <LinksUpToDate>false</LinksUpToDate>
  <CharactersWithSpaces>1288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2021-10-25T07:59:00Z</dcterms:created>
  <dc:creator>Administrator</dc:creator>
  <cp:lastModifiedBy>lx</cp:lastModifiedBy>
  <dcterms:modified xsi:type="dcterms:W3CDTF">2023-10-09T07:25:49Z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AE32B6DE9DC644D394F471D09ED2EACC</vt:lpwstr>
  </property>
</Properties>
</file>