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keepNext/>
        <w:keepLines/>
        <w:tabs>
          <w:tab w:val="left" w:pos="6669"/>
        </w:tabs>
        <w:spacing w:before="340" w:after="330" w:line="576" w:lineRule="auto"/>
        <w:ind w:left="198"/>
        <w:jc w:val="both"/>
        <w:rPr>
          <w:rFonts w:hint="default" w:ascii="Times New Roman" w:hAnsi="Times New Roman" w:eastAsia="Times New Roman"/>
          <w:b/>
          <w:color w:val="auto"/>
          <w:kern w:val="44"/>
          <w:sz w:val="32"/>
          <w:szCs w:val="24"/>
        </w:rPr>
      </w:pPr>
    </w:p>
    <w:p>
      <w:pPr>
        <w:jc w:val="both"/>
        <w:rPr>
          <w:rFonts w:hint="default" w:ascii="Times New Roman" w:hAnsi="Times New Roman" w:eastAsia="Times New Roman"/>
          <w:color w:val="auto"/>
          <w:kern w:val="2"/>
          <w:sz w:val="32"/>
          <w:szCs w:val="24"/>
        </w:rPr>
      </w:pPr>
    </w:p>
    <w:p>
      <w:pPr>
        <w:spacing w:after="120"/>
        <w:ind w:left="420" w:firstLine="640"/>
        <w:jc w:val="both"/>
        <w:rPr>
          <w:rFonts w:hint="default" w:ascii="Times New Roman" w:hAnsi="Times New Roman" w:eastAsia="Times New Roman"/>
          <w:color w:val="auto"/>
          <w:kern w:val="2"/>
          <w:sz w:val="32"/>
          <w:szCs w:val="24"/>
        </w:rPr>
      </w:pPr>
    </w:p>
    <w:p>
      <w:pPr>
        <w:spacing w:after="120"/>
        <w:ind w:left="420" w:firstLine="640"/>
        <w:jc w:val="both"/>
        <w:rPr>
          <w:rFonts w:hint="default" w:ascii="Times New Roman" w:hAnsi="Times New Roman" w:eastAsia="Times New Roman"/>
          <w:color w:val="auto"/>
          <w:kern w:val="2"/>
          <w:sz w:val="32"/>
          <w:szCs w:val="24"/>
        </w:rPr>
      </w:pPr>
    </w:p>
    <w:p>
      <w:pPr>
        <w:spacing w:after="120"/>
        <w:ind w:left="420" w:firstLine="640"/>
        <w:jc w:val="both"/>
        <w:rPr>
          <w:rFonts w:hint="default" w:ascii="Times New Roman" w:hAnsi="Times New Roman" w:eastAsia="Times New Roman"/>
          <w:color w:val="auto"/>
          <w:kern w:val="2"/>
          <w:sz w:val="32"/>
          <w:szCs w:val="24"/>
        </w:rPr>
      </w:pPr>
    </w:p>
    <w:p>
      <w:pPr>
        <w:spacing w:after="120"/>
        <w:ind w:left="420" w:firstLine="640"/>
        <w:jc w:val="both"/>
        <w:rPr>
          <w:rFonts w:hint="default" w:ascii="Times New Roman" w:hAnsi="Times New Roman" w:eastAsia="Times New Roman"/>
          <w:color w:val="auto"/>
          <w:kern w:val="2"/>
          <w:sz w:val="32"/>
          <w:szCs w:val="24"/>
        </w:rPr>
      </w:pPr>
    </w:p>
    <w:p>
      <w:pPr>
        <w:spacing w:after="120"/>
        <w:ind w:left="420" w:firstLine="640"/>
        <w:jc w:val="both"/>
        <w:rPr>
          <w:rFonts w:hint="default" w:ascii="Times New Roman" w:hAnsi="Times New Roman" w:eastAsia="Times New Roman"/>
          <w:color w:val="auto"/>
          <w:kern w:val="2"/>
          <w:sz w:val="32"/>
          <w:szCs w:val="24"/>
        </w:rPr>
      </w:pPr>
    </w:p>
    <w:p>
      <w:pPr>
        <w:keepNext/>
        <w:keepLines/>
        <w:tabs>
          <w:tab w:val="left" w:pos="6669"/>
        </w:tabs>
        <w:ind w:left="198"/>
        <w:jc w:val="center"/>
        <w:rPr>
          <w:rFonts w:hint="eastAsia" w:ascii="黑体" w:hAnsi="黑体" w:eastAsia="黑体"/>
          <w:b/>
          <w:color w:val="auto"/>
          <w:kern w:val="2"/>
          <w:sz w:val="44"/>
          <w:szCs w:val="24"/>
        </w:rPr>
      </w:pPr>
      <w:r>
        <w:rPr>
          <w:rFonts w:hint="eastAsia" w:ascii="黑体" w:hAnsi="黑体" w:eastAsia="黑体"/>
          <w:b/>
          <w:color w:val="auto"/>
          <w:kern w:val="2"/>
          <w:sz w:val="44"/>
          <w:szCs w:val="24"/>
        </w:rPr>
        <w:t>2022年度莫力达瓦达斡尔族自治旗</w:t>
      </w:r>
      <w:r>
        <w:rPr>
          <w:rFonts w:hint="eastAsia" w:ascii="黑体" w:hAnsi="黑体" w:eastAsia="黑体"/>
          <w:b/>
          <w:color w:val="auto"/>
          <w:kern w:val="2"/>
          <w:sz w:val="44"/>
          <w:szCs w:val="24"/>
          <w:lang w:eastAsia="zh-CN"/>
        </w:rPr>
        <w:t>阿尔拉镇</w:t>
      </w:r>
      <w:r>
        <w:rPr>
          <w:rFonts w:hint="eastAsia" w:ascii="黑体" w:hAnsi="黑体" w:eastAsia="黑体"/>
          <w:b/>
          <w:color w:val="auto"/>
          <w:kern w:val="2"/>
          <w:sz w:val="44"/>
          <w:szCs w:val="24"/>
        </w:rPr>
        <w:t>人民政府决算公开</w:t>
      </w:r>
    </w:p>
    <w:p>
      <w:pPr>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before="3" w:after="120"/>
        <w:ind w:firstLine="200"/>
        <w:jc w:val="both"/>
        <w:rPr>
          <w:rFonts w:hint="eastAsia" w:ascii="黑体" w:hAnsi="黑体" w:eastAsia="黑体"/>
          <w:color w:val="auto"/>
          <w:kern w:val="2"/>
          <w:sz w:val="32"/>
          <w:szCs w:val="24"/>
        </w:rPr>
      </w:pPr>
    </w:p>
    <w:p>
      <w:pPr>
        <w:spacing w:before="3" w:after="120"/>
        <w:ind w:firstLine="200"/>
        <w:jc w:val="both"/>
        <w:rPr>
          <w:rFonts w:hint="eastAsia" w:ascii="黑体" w:hAnsi="黑体" w:eastAsia="黑体"/>
          <w:color w:val="auto"/>
          <w:kern w:val="2"/>
          <w:sz w:val="32"/>
          <w:szCs w:val="24"/>
        </w:rPr>
      </w:pPr>
    </w:p>
    <w:p>
      <w:pPr>
        <w:spacing w:before="3" w:after="120"/>
        <w:ind w:firstLine="200"/>
        <w:jc w:val="both"/>
        <w:rPr>
          <w:rFonts w:hint="eastAsia" w:ascii="仿宋_GB2312" w:hAnsi="仿宋_GB2312" w:eastAsia="仿宋_GB2312"/>
          <w:color w:val="auto"/>
          <w:kern w:val="2"/>
          <w:sz w:val="32"/>
          <w:szCs w:val="24"/>
        </w:rPr>
      </w:pPr>
    </w:p>
    <w:p>
      <w:pPr>
        <w:spacing w:before="3" w:after="120"/>
        <w:ind w:firstLine="200"/>
        <w:jc w:val="both"/>
        <w:rPr>
          <w:rFonts w:hint="eastAsia" w:ascii="仿宋_GB2312" w:hAnsi="仿宋_GB2312" w:eastAsia="仿宋_GB2312"/>
          <w:color w:val="auto"/>
          <w:kern w:val="2"/>
          <w:sz w:val="32"/>
          <w:szCs w:val="24"/>
        </w:rPr>
      </w:pPr>
    </w:p>
    <w:p>
      <w:pPr>
        <w:spacing w:before="3" w:after="120"/>
        <w:ind w:firstLine="200"/>
        <w:jc w:val="both"/>
        <w:rPr>
          <w:rFonts w:hint="eastAsia" w:ascii="仿宋_GB2312" w:hAnsi="仿宋_GB2312" w:eastAsia="仿宋_GB2312"/>
          <w:color w:val="auto"/>
          <w:kern w:val="2"/>
          <w:sz w:val="32"/>
          <w:szCs w:val="24"/>
        </w:rPr>
      </w:pPr>
    </w:p>
    <w:p>
      <w:pPr>
        <w:spacing w:before="3" w:after="120"/>
        <w:ind w:firstLine="200"/>
        <w:jc w:val="both"/>
        <w:rPr>
          <w:rFonts w:hint="default" w:ascii="Times New Roman" w:hAnsi="Times New Roman" w:eastAsia="Times New Roman"/>
          <w:color w:val="auto"/>
          <w:kern w:val="2"/>
          <w:sz w:val="10"/>
          <w:szCs w:val="24"/>
        </w:rPr>
      </w:pPr>
    </w:p>
    <w:p>
      <w:pPr>
        <w:jc w:val="center"/>
        <w:rPr>
          <w:rFonts w:hint="default" w:ascii="Times New Roman" w:hAnsi="Times New Roman" w:eastAsia="Times New Roman"/>
          <w:b/>
          <w:color w:val="auto"/>
          <w:kern w:val="2"/>
          <w:sz w:val="48"/>
          <w:szCs w:val="24"/>
        </w:rPr>
      </w:pPr>
      <w:r>
        <w:rPr>
          <w:rFonts w:hint="default" w:ascii="Times New Roman" w:hAnsi="Courier New" w:eastAsia="Times New Roman"/>
          <w:b/>
          <w:color w:val="auto"/>
          <w:kern w:val="2"/>
          <w:sz w:val="48"/>
          <w:szCs w:val="24"/>
        </w:rPr>
        <w:t>目</w:t>
      </w:r>
      <w:r>
        <w:rPr>
          <w:rFonts w:hint="default" w:ascii="Times New Roman" w:hAnsi="Times New Roman" w:eastAsia="Times New Roman"/>
          <w:b/>
          <w:color w:val="auto"/>
          <w:kern w:val="2"/>
          <w:sz w:val="48"/>
          <w:szCs w:val="24"/>
        </w:rPr>
        <w:tab/>
      </w:r>
      <w:r>
        <w:rPr>
          <w:rFonts w:hint="default" w:ascii="Times New Roman" w:hAnsi="Courier New" w:eastAsia="Times New Roman"/>
          <w:b/>
          <w:color w:val="auto"/>
          <w:kern w:val="2"/>
          <w:sz w:val="48"/>
          <w:szCs w:val="24"/>
        </w:rPr>
        <w:t>录</w:t>
      </w:r>
    </w:p>
    <w:p>
      <w:pPr>
        <w:spacing w:line="360" w:lineRule="auto"/>
        <w:jc w:val="both"/>
        <w:rPr>
          <w:rFonts w:hint="default" w:ascii="Times New Roman" w:hAnsi="Times New Roman" w:eastAsia="Times New Roman"/>
          <w:color w:val="auto"/>
          <w:kern w:val="2"/>
          <w:sz w:val="32"/>
          <w:szCs w:val="24"/>
        </w:rPr>
      </w:pPr>
      <w:r>
        <w:rPr>
          <w:rFonts w:hint="eastAsia" w:ascii="黑体" w:hAnsi="黑体" w:eastAsia="黑体"/>
          <w:color w:val="auto"/>
          <w:kern w:val="2"/>
          <w:sz w:val="32"/>
          <w:szCs w:val="24"/>
        </w:rPr>
        <w:t>第一部分 概况</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一、主要职能、职责</w:t>
      </w:r>
    </w:p>
    <w:p>
      <w:pPr>
        <w:tabs>
          <w:tab w:val="left" w:pos="994"/>
        </w:tabs>
        <w:spacing w:before="6" w:after="120" w:line="228" w:lineRule="auto"/>
        <w:ind w:right="167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二、机构设置及决算单位构成情况</w:t>
      </w:r>
    </w:p>
    <w:p>
      <w:pPr>
        <w:spacing w:line="360" w:lineRule="auto"/>
        <w:jc w:val="both"/>
        <w:rPr>
          <w:rFonts w:hint="default" w:ascii="Times New Roman" w:hAnsi="Times New Roman" w:eastAsia="Times New Roman"/>
          <w:color w:val="auto"/>
          <w:kern w:val="2"/>
          <w:sz w:val="32"/>
          <w:szCs w:val="24"/>
        </w:rPr>
      </w:pPr>
      <w:r>
        <w:rPr>
          <w:rFonts w:hint="eastAsia" w:ascii="黑体" w:hAnsi="黑体" w:eastAsia="黑体"/>
          <w:color w:val="auto"/>
          <w:kern w:val="2"/>
          <w:sz w:val="32"/>
          <w:szCs w:val="24"/>
        </w:rPr>
        <w:t>第二部分 2022年度决算情况说明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一、收入支出决算总体情况说明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二、收入决算情况说明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三、支出决算情况说明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四、财政拨款收入支出决算总体情况说明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五、一般公共预算支出决算情况说明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六、一般公共预算基本支出决算情况说明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七、一般公共预算项目支出决算情况说明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八、财政拨款“三公”经费支出决算情况说明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九、政府性基金预算财政拨款支出决算情况说明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十、国有资本经营预算财政拨款支出决算情况说明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十一、项目支出决算情况说明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十二、机构运行经费支出决算情况说明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十三、政府采购支出决算情况说明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十四、国有资产占用情况说明</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十五、预算绩效情况说明</w:t>
      </w:r>
    </w:p>
    <w:p>
      <w:pPr>
        <w:spacing w:line="360" w:lineRule="auto"/>
        <w:jc w:val="both"/>
        <w:rPr>
          <w:rFonts w:hint="default" w:ascii="Times New Roman" w:hAnsi="Times New Roman" w:eastAsia="Times New Roman"/>
          <w:color w:val="auto"/>
          <w:kern w:val="2"/>
          <w:sz w:val="32"/>
          <w:szCs w:val="24"/>
        </w:rPr>
      </w:pPr>
      <w:r>
        <w:rPr>
          <w:rFonts w:hint="eastAsia" w:ascii="黑体" w:hAnsi="黑体" w:eastAsia="黑体"/>
          <w:color w:val="auto"/>
          <w:kern w:val="2"/>
          <w:sz w:val="32"/>
          <w:szCs w:val="24"/>
        </w:rPr>
        <w:t>第三部分 名词解释</w:t>
      </w:r>
    </w:p>
    <w:p>
      <w:pPr>
        <w:spacing w:line="600" w:lineRule="exact"/>
        <w:jc w:val="both"/>
        <w:rPr>
          <w:rFonts w:hint="default" w:ascii="Times New Roman" w:hAnsi="Times New Roman" w:eastAsia="Times New Roman"/>
          <w:color w:val="auto"/>
          <w:kern w:val="2"/>
          <w:sz w:val="32"/>
          <w:szCs w:val="24"/>
        </w:rPr>
      </w:pPr>
      <w:r>
        <w:rPr>
          <w:rFonts w:hint="eastAsia" w:ascii="黑体" w:hAnsi="黑体" w:eastAsia="黑体"/>
          <w:color w:val="auto"/>
          <w:kern w:val="2"/>
          <w:sz w:val="32"/>
          <w:szCs w:val="24"/>
        </w:rPr>
        <w:t>第四部分 决算公开联系方式及信息反馈渠道</w:t>
      </w:r>
    </w:p>
    <w:p>
      <w:pPr>
        <w:spacing w:line="360" w:lineRule="auto"/>
        <w:jc w:val="both"/>
        <w:rPr>
          <w:rFonts w:hint="default" w:ascii="Times New Roman" w:hAnsi="Times New Roman" w:eastAsia="Times New Roman"/>
          <w:color w:val="auto"/>
          <w:kern w:val="2"/>
          <w:sz w:val="32"/>
          <w:szCs w:val="24"/>
        </w:rPr>
      </w:pPr>
      <w:r>
        <w:rPr>
          <w:rFonts w:hint="eastAsia" w:ascii="黑体" w:hAnsi="黑体" w:eastAsia="黑体"/>
          <w:color w:val="auto"/>
          <w:kern w:val="2"/>
          <w:sz w:val="32"/>
          <w:szCs w:val="24"/>
        </w:rPr>
        <w:t>第五部分 2022年度决算表</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一、收入支出决算总表</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二、收入决算表</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三、支出决算表</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四、财政拨款收入支出决算总表</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五、项目收入支出决算表</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六、一般公共预算财政拨款支出决算表</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七、一般公共预算财政拨款基本支出决算明细表</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八、一般公共预算财政拨款项目支出决算明细表</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九、政府性基金预算财政拨款收入支出决算表</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十、国有资本经营预算财政拨款支出决算表</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十一、财政拨款“三公”经费支出决算表</w:t>
      </w:r>
    </w:p>
    <w:p>
      <w:pPr>
        <w:spacing w:line="360" w:lineRule="auto"/>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十二、机构运行经费支出、国有资产占用情况及政府采购支出信息表</w:t>
      </w:r>
    </w:p>
    <w:p>
      <w:pPr>
        <w:spacing w:after="120"/>
        <w:ind w:left="420" w:firstLine="420"/>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after="120"/>
        <w:ind w:left="420" w:firstLine="420"/>
        <w:jc w:val="both"/>
        <w:rPr>
          <w:rFonts w:hint="default" w:ascii="Times New Roman" w:hAnsi="Times New Roman" w:eastAsia="Times New Roman"/>
          <w:color w:val="auto"/>
          <w:kern w:val="2"/>
          <w:sz w:val="21"/>
          <w:szCs w:val="24"/>
        </w:rPr>
      </w:pPr>
    </w:p>
    <w:p>
      <w:pPr>
        <w:spacing w:line="360" w:lineRule="auto"/>
        <w:jc w:val="both"/>
        <w:rPr>
          <w:rFonts w:hint="default" w:ascii="Times New Roman" w:hAnsi="Times New Roman" w:eastAsia="Times New Roman"/>
          <w:color w:val="auto"/>
          <w:kern w:val="2"/>
          <w:sz w:val="32"/>
          <w:szCs w:val="24"/>
        </w:rPr>
      </w:pPr>
    </w:p>
    <w:p>
      <w:pPr>
        <w:spacing w:line="360" w:lineRule="auto"/>
        <w:jc w:val="both"/>
        <w:rPr>
          <w:rFonts w:hint="default" w:ascii="Times New Roman" w:hAnsi="Times New Roman" w:eastAsia="Times New Roman"/>
          <w:color w:val="auto"/>
          <w:kern w:val="2"/>
          <w:sz w:val="32"/>
          <w:szCs w:val="24"/>
        </w:rPr>
      </w:pPr>
    </w:p>
    <w:p>
      <w:pPr>
        <w:spacing w:line="360" w:lineRule="auto"/>
        <w:jc w:val="both"/>
        <w:rPr>
          <w:rFonts w:hint="default" w:ascii="Times New Roman" w:hAnsi="Times New Roman" w:eastAsia="Times New Roman"/>
          <w:color w:val="auto"/>
          <w:kern w:val="2"/>
          <w:sz w:val="32"/>
          <w:szCs w:val="24"/>
        </w:rPr>
      </w:pPr>
    </w:p>
    <w:p>
      <w:pPr>
        <w:pStyle w:val="3"/>
        <w:keepNext/>
        <w:keepLines/>
        <w:numPr>
          <w:ilvl w:val="0"/>
          <w:numId w:val="1"/>
        </w:numPr>
        <w:tabs>
          <w:tab w:val="left" w:pos="4392"/>
        </w:tabs>
        <w:spacing w:line="600" w:lineRule="exact"/>
        <w:jc w:val="center"/>
        <w:rPr>
          <w:rFonts w:hint="eastAsia" w:ascii="方正小标宋简体" w:hAnsi="方正小标宋简体" w:eastAsia="方正小标宋简体"/>
          <w:color w:val="auto"/>
          <w:kern w:val="2"/>
          <w:sz w:val="36"/>
          <w:szCs w:val="24"/>
        </w:rPr>
      </w:pPr>
      <w:r>
        <w:rPr>
          <w:rFonts w:hint="eastAsia" w:ascii="方正小标宋简体" w:hAnsi="方正小标宋简体" w:eastAsia="方正小标宋简体"/>
          <w:color w:val="auto"/>
          <w:kern w:val="2"/>
          <w:sz w:val="36"/>
          <w:szCs w:val="24"/>
        </w:rPr>
        <w:t xml:space="preserve"> 概况</w:t>
      </w:r>
    </w:p>
    <w:p>
      <w:pPr>
        <w:pStyle w:val="3"/>
        <w:keepNext/>
        <w:keepLines/>
        <w:numPr>
          <w:ilvl w:val="0"/>
          <w:numId w:val="0"/>
        </w:numPr>
        <w:tabs>
          <w:tab w:val="left" w:pos="4392"/>
        </w:tabs>
        <w:spacing w:line="600" w:lineRule="exact"/>
        <w:jc w:val="both"/>
        <w:outlineLvl w:val="1"/>
        <w:rPr>
          <w:rFonts w:hint="eastAsia" w:ascii="方正小标宋简体" w:hAnsi="方正小标宋简体" w:eastAsia="方正小标宋简体"/>
          <w:color w:val="auto"/>
          <w:kern w:val="2"/>
          <w:sz w:val="36"/>
          <w:szCs w:val="24"/>
        </w:rPr>
      </w:pPr>
    </w:p>
    <w:p>
      <w:pPr>
        <w:spacing w:line="600" w:lineRule="exact"/>
        <w:ind w:left="424" w:firstLine="212"/>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一、主要职能、职责</w:t>
      </w:r>
    </w:p>
    <w:p>
      <w:pPr>
        <w:spacing w:line="600" w:lineRule="exact"/>
        <w:ind w:firstLine="640" w:firstLineChars="2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人民政府部门主要职责和工作职能如下：</w:t>
      </w:r>
    </w:p>
    <w:p>
      <w:pPr>
        <w:spacing w:line="600" w:lineRule="exact"/>
        <w:ind w:firstLine="640" w:firstLineChars="2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spacing w:line="600" w:lineRule="exact"/>
        <w:ind w:firstLine="640" w:firstLineChars="2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(1)执行本级人民代表大会的决议和上级国家行政机关的决定和命令，发布决定和命令；</w:t>
      </w:r>
    </w:p>
    <w:p>
      <w:pPr>
        <w:spacing w:line="600" w:lineRule="exact"/>
        <w:ind w:firstLine="640" w:firstLineChars="2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 xml:space="preserve">(2)执行本行政区域内的经济和社会发展计划、预算，管理本行政区域内的经济、教育、科学、文化、卫生、体育事业和财政、民政、公安、司法行政、计划生育等行政工作； </w:t>
      </w:r>
    </w:p>
    <w:p>
      <w:pPr>
        <w:spacing w:line="600" w:lineRule="exact"/>
        <w:ind w:firstLine="640" w:firstLineChars="2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(3)保护社会主义的全民所有的财产和劳动群众集体所有的财产，保护公民私人所有的合法财产，维护社会秩序，保障公民的人身权利、民主权利和其他权利；</w:t>
      </w:r>
    </w:p>
    <w:p>
      <w:pPr>
        <w:spacing w:line="600" w:lineRule="exact"/>
        <w:ind w:firstLine="640" w:firstLineChars="2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 xml:space="preserve">(4)保护各种经济组织的合法权益； </w:t>
      </w:r>
    </w:p>
    <w:p>
      <w:pPr>
        <w:spacing w:line="600" w:lineRule="exact"/>
        <w:ind w:firstLine="640" w:firstLineChars="2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(5)保障少数民族的权利和尊重少数民族的风俗习惯；</w:t>
      </w:r>
    </w:p>
    <w:p>
      <w:pPr>
        <w:spacing w:line="600" w:lineRule="exact"/>
        <w:ind w:firstLine="640" w:firstLineChars="2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(6)办理上级人民政府交办的其他事项。</w:t>
      </w:r>
    </w:p>
    <w:p>
      <w:pPr>
        <w:spacing w:line="600" w:lineRule="exact"/>
        <w:ind w:firstLine="640" w:firstLineChars="200"/>
        <w:jc w:val="both"/>
        <w:rPr>
          <w:rFonts w:hint="eastAsia" w:ascii="仿宋_GB2312" w:hAnsi="仿宋_GB2312" w:eastAsia="仿宋_GB2312"/>
          <w:color w:val="auto"/>
          <w:kern w:val="2"/>
          <w:sz w:val="32"/>
          <w:szCs w:val="24"/>
        </w:rPr>
      </w:pPr>
    </w:p>
    <w:p>
      <w:pPr>
        <w:numPr>
          <w:ilvl w:val="0"/>
          <w:numId w:val="2"/>
        </w:numPr>
        <w:spacing w:line="600" w:lineRule="exact"/>
        <w:ind w:firstLine="643" w:firstLineChars="200"/>
        <w:jc w:val="both"/>
        <w:rPr>
          <w:rFonts w:hint="eastAsia" w:ascii="黑体" w:hAnsi="黑体" w:eastAsia="黑体"/>
          <w:b/>
          <w:color w:val="auto"/>
          <w:kern w:val="2"/>
          <w:sz w:val="32"/>
          <w:szCs w:val="24"/>
        </w:rPr>
      </w:pPr>
      <w:r>
        <w:rPr>
          <w:rFonts w:hint="eastAsia" w:ascii="黑体" w:hAnsi="黑体" w:eastAsia="黑体"/>
          <w:b/>
          <w:color w:val="auto"/>
          <w:kern w:val="2"/>
          <w:sz w:val="32"/>
          <w:szCs w:val="24"/>
        </w:rPr>
        <w:t>机构设置及决算单位构成情况</w:t>
      </w:r>
    </w:p>
    <w:p>
      <w:pPr>
        <w:numPr>
          <w:ilvl w:val="0"/>
          <w:numId w:val="0"/>
        </w:numPr>
        <w:spacing w:line="600" w:lineRule="exact"/>
        <w:jc w:val="both"/>
        <w:rPr>
          <w:rFonts w:hint="eastAsia" w:ascii="黑体" w:hAnsi="黑体" w:eastAsia="黑体"/>
          <w:b/>
          <w:color w:val="auto"/>
          <w:kern w:val="2"/>
          <w:sz w:val="32"/>
          <w:szCs w:val="24"/>
        </w:rPr>
      </w:pPr>
    </w:p>
    <w:p>
      <w:pPr>
        <w:tabs>
          <w:tab w:val="left" w:pos="1151"/>
        </w:tabs>
        <w:spacing w:line="360" w:lineRule="auto"/>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本下属单位包括：</w:t>
      </w:r>
      <w:r>
        <w:rPr>
          <w:rFonts w:hint="eastAsia" w:ascii="Times New Roman" w:hAnsi="Times New Roman" w:eastAsia="仿宋_GB2312"/>
          <w:color w:val="auto"/>
          <w:sz w:val="32"/>
          <w:szCs w:val="24"/>
          <w:lang w:val="en-US" w:eastAsia="zh-CN"/>
        </w:rPr>
        <w:t>阿尔拉镇党群服务中心、阿尔拉镇综合保障和技术推广中心、阿尔拉镇</w:t>
      </w:r>
      <w:r>
        <w:rPr>
          <w:rFonts w:hint="eastAsia" w:ascii="Times New Roman" w:hAnsi="Times New Roman" w:eastAsia="仿宋_GB2312"/>
          <w:color w:val="auto"/>
          <w:sz w:val="32"/>
          <w:szCs w:val="24"/>
        </w:rPr>
        <w:t>综合</w:t>
      </w:r>
      <w:r>
        <w:rPr>
          <w:rFonts w:hint="eastAsia" w:ascii="Times New Roman" w:hAnsi="Times New Roman" w:eastAsia="仿宋_GB2312"/>
          <w:color w:val="auto"/>
          <w:sz w:val="32"/>
          <w:szCs w:val="24"/>
          <w:lang w:val="en-US" w:eastAsia="zh-CN"/>
        </w:rPr>
        <w:t>行政</w:t>
      </w:r>
      <w:r>
        <w:rPr>
          <w:rFonts w:hint="eastAsia" w:ascii="Times New Roman" w:hAnsi="Times New Roman" w:eastAsia="仿宋_GB2312"/>
          <w:color w:val="auto"/>
          <w:sz w:val="32"/>
          <w:szCs w:val="24"/>
        </w:rPr>
        <w:t>执法局</w:t>
      </w:r>
      <w:r>
        <w:rPr>
          <w:rFonts w:hint="eastAsia" w:ascii="仿宋_GB2312" w:hAnsi="仿宋_GB2312" w:eastAsia="仿宋_GB2312"/>
          <w:color w:val="auto"/>
          <w:kern w:val="2"/>
          <w:sz w:val="32"/>
          <w:szCs w:val="24"/>
        </w:rPr>
        <w:t>。</w:t>
      </w:r>
    </w:p>
    <w:p>
      <w:pPr>
        <w:spacing w:line="360" w:lineRule="auto"/>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从决算单位构成看，纳入本部门2022年部门汇总决算编制范围的预算单位共计</w:t>
      </w:r>
      <w:r>
        <w:rPr>
          <w:rFonts w:hint="eastAsia" w:ascii="仿宋_GB2312" w:hAnsi="仿宋_GB2312" w:eastAsia="仿宋_GB2312"/>
          <w:color w:val="auto"/>
          <w:kern w:val="2"/>
          <w:sz w:val="32"/>
          <w:szCs w:val="24"/>
          <w:lang w:val="en-US" w:eastAsia="zh-CN"/>
        </w:rPr>
        <w:t>4</w:t>
      </w:r>
      <w:r>
        <w:rPr>
          <w:rFonts w:hint="eastAsia" w:ascii="仿宋_GB2312" w:hAnsi="仿宋_GB2312" w:eastAsia="仿宋_GB2312"/>
          <w:color w:val="auto"/>
          <w:kern w:val="2"/>
          <w:sz w:val="32"/>
          <w:szCs w:val="24"/>
        </w:rPr>
        <w:t>家，具体包括：</w:t>
      </w:r>
      <w:r>
        <w:rPr>
          <w:rFonts w:hint="eastAsia" w:ascii="仿宋_GB2312" w:hAnsi="仿宋_GB2312" w:eastAsia="仿宋_GB2312"/>
          <w:color w:val="auto"/>
          <w:kern w:val="2"/>
          <w:sz w:val="32"/>
          <w:szCs w:val="24"/>
          <w:lang w:val="en-US" w:eastAsia="zh-CN"/>
        </w:rPr>
        <w:t>阿尔拉镇人民政府、</w:t>
      </w:r>
      <w:r>
        <w:rPr>
          <w:rFonts w:hint="eastAsia" w:ascii="Times New Roman" w:hAnsi="Times New Roman" w:eastAsia="仿宋_GB2312"/>
          <w:color w:val="auto"/>
          <w:sz w:val="32"/>
          <w:szCs w:val="24"/>
          <w:lang w:val="en-US" w:eastAsia="zh-CN"/>
        </w:rPr>
        <w:t>阿尔拉镇党群服务中心、阿尔拉镇综合保障和技术推广中心、阿尔拉镇</w:t>
      </w:r>
      <w:r>
        <w:rPr>
          <w:rFonts w:hint="eastAsia" w:ascii="Times New Roman" w:hAnsi="Times New Roman" w:eastAsia="仿宋_GB2312"/>
          <w:color w:val="auto"/>
          <w:sz w:val="32"/>
          <w:szCs w:val="24"/>
        </w:rPr>
        <w:t>综合</w:t>
      </w:r>
      <w:r>
        <w:rPr>
          <w:rFonts w:hint="eastAsia" w:ascii="Times New Roman" w:hAnsi="Times New Roman" w:eastAsia="仿宋_GB2312"/>
          <w:color w:val="auto"/>
          <w:sz w:val="32"/>
          <w:szCs w:val="24"/>
          <w:lang w:val="en-US" w:eastAsia="zh-CN"/>
        </w:rPr>
        <w:t>行政</w:t>
      </w:r>
      <w:r>
        <w:rPr>
          <w:rFonts w:hint="eastAsia" w:ascii="Times New Roman" w:hAnsi="Times New Roman" w:eastAsia="仿宋_GB2312"/>
          <w:color w:val="auto"/>
          <w:sz w:val="32"/>
          <w:szCs w:val="24"/>
        </w:rPr>
        <w:t>执法局</w:t>
      </w:r>
      <w:r>
        <w:rPr>
          <w:rFonts w:hint="eastAsia" w:ascii="仿宋_GB2312" w:hAnsi="仿宋_GB2312" w:eastAsia="仿宋_GB2312"/>
          <w:color w:val="auto"/>
          <w:kern w:val="2"/>
          <w:sz w:val="32"/>
          <w:szCs w:val="24"/>
        </w:rPr>
        <w:t>。详细情况见表：</w:t>
      </w:r>
    </w:p>
    <w:tbl>
      <w:tblPr>
        <w:tblStyle w:val="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62"/>
        <w:gridCol w:w="4299"/>
        <w:gridCol w:w="356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auto"/>
          <w:wAfter w:w="0" w:type="auto"/>
        </w:trPr>
        <w:tc>
          <w:tcPr>
            <w:tcW w:w="662"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eastAsia" w:ascii="仿宋_GB2312" w:hAnsi="仿宋_GB2312" w:eastAsia="仿宋_GB2312"/>
                <w:color w:val="auto"/>
                <w:sz w:val="31"/>
                <w:szCs w:val="24"/>
              </w:rPr>
              <w:t>序号</w:t>
            </w:r>
          </w:p>
        </w:tc>
        <w:tc>
          <w:tcPr>
            <w:tcW w:w="4299"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eastAsia" w:ascii="仿宋_GB2312" w:hAnsi="仿宋_GB2312" w:eastAsia="仿宋_GB2312"/>
                <w:color w:val="auto"/>
                <w:sz w:val="31"/>
                <w:szCs w:val="24"/>
              </w:rPr>
              <w:t>单位名称</w:t>
            </w:r>
          </w:p>
        </w:tc>
        <w:tc>
          <w:tcPr>
            <w:tcW w:w="3561"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eastAsia" w:ascii="仿宋_GB2312" w:hAnsi="仿宋_GB2312" w:eastAsia="仿宋_GB2312"/>
                <w:color w:val="auto"/>
                <w:sz w:val="31"/>
                <w:szCs w:val="24"/>
              </w:rPr>
              <w:t>单位性质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auto"/>
          <w:wAfter w:w="0" w:type="auto"/>
        </w:trPr>
        <w:tc>
          <w:tcPr>
            <w:tcW w:w="662"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default" w:ascii="Times New Roman" w:hAnsi="Times New Roman" w:eastAsia="Times New Roman"/>
                <w:color w:val="auto"/>
                <w:sz w:val="31"/>
                <w:szCs w:val="24"/>
              </w:rPr>
              <w:t>1</w:t>
            </w:r>
          </w:p>
        </w:tc>
        <w:tc>
          <w:tcPr>
            <w:tcW w:w="4299"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eastAsia" w:ascii="仿宋_GB2312" w:hAnsi="仿宋_GB2312" w:eastAsia="仿宋_GB2312"/>
                <w:color w:val="auto"/>
                <w:kern w:val="2"/>
                <w:sz w:val="32"/>
                <w:szCs w:val="24"/>
                <w:lang w:val="en-US" w:eastAsia="zh-CN"/>
              </w:rPr>
              <w:t>阿尔拉镇人民政府</w:t>
            </w:r>
          </w:p>
        </w:tc>
        <w:tc>
          <w:tcPr>
            <w:tcW w:w="3561"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eastAsia" w:ascii="仿宋_GB2312" w:hAnsi="仿宋_GB2312" w:eastAsia="仿宋_GB2312"/>
                <w:color w:val="auto"/>
                <w:sz w:val="31"/>
                <w:szCs w:val="24"/>
              </w:rPr>
              <w:t>财政拨款的行政单位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auto"/>
          <w:wAfter w:w="0" w:type="auto"/>
        </w:trPr>
        <w:tc>
          <w:tcPr>
            <w:tcW w:w="662"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default" w:ascii="Times New Roman" w:hAnsi="Times New Roman" w:eastAsia="Times New Roman"/>
                <w:color w:val="auto"/>
                <w:sz w:val="31"/>
                <w:szCs w:val="24"/>
              </w:rPr>
              <w:t>2</w:t>
            </w:r>
          </w:p>
        </w:tc>
        <w:tc>
          <w:tcPr>
            <w:tcW w:w="4299"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eastAsia" w:ascii="Times New Roman" w:hAnsi="Times New Roman" w:eastAsia="仿宋_GB2312"/>
                <w:color w:val="auto"/>
                <w:sz w:val="32"/>
                <w:szCs w:val="24"/>
                <w:lang w:val="en-US" w:eastAsia="zh-CN"/>
              </w:rPr>
              <w:t>阿尔拉镇党群服务中心</w:t>
            </w:r>
          </w:p>
        </w:tc>
        <w:tc>
          <w:tcPr>
            <w:tcW w:w="3561"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eastAsia" w:ascii="仿宋_GB2312" w:hAnsi="仿宋_GB2312" w:eastAsia="仿宋_GB2312"/>
                <w:color w:val="auto"/>
                <w:sz w:val="31"/>
                <w:szCs w:val="24"/>
              </w:rPr>
              <w:t>公益</w:t>
            </w:r>
            <w:r>
              <w:rPr>
                <w:rFonts w:hint="eastAsia" w:ascii="仿宋_GB2312" w:hAnsi="仿宋_GB2312" w:eastAsia="仿宋_GB2312"/>
                <w:color w:val="auto"/>
                <w:sz w:val="31"/>
                <w:szCs w:val="24"/>
                <w:lang w:val="en-US" w:eastAsia="zh-CN"/>
              </w:rPr>
              <w:t>一</w:t>
            </w:r>
            <w:r>
              <w:rPr>
                <w:rFonts w:hint="eastAsia" w:ascii="仿宋_GB2312" w:hAnsi="仿宋_GB2312" w:eastAsia="仿宋_GB2312"/>
                <w:color w:val="auto"/>
                <w:sz w:val="31"/>
                <w:szCs w:val="24"/>
              </w:rPr>
              <w:t>类事业单位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auto"/>
          <w:wAfter w:w="0" w:type="auto"/>
        </w:trPr>
        <w:tc>
          <w:tcPr>
            <w:tcW w:w="662"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default" w:ascii="Times New Roman" w:hAnsi="Times New Roman" w:eastAsia="Times New Roman"/>
                <w:color w:val="auto"/>
                <w:sz w:val="31"/>
                <w:szCs w:val="24"/>
              </w:rPr>
              <w:t>3</w:t>
            </w:r>
          </w:p>
        </w:tc>
        <w:tc>
          <w:tcPr>
            <w:tcW w:w="4299"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eastAsia" w:ascii="Times New Roman" w:hAnsi="Times New Roman" w:eastAsia="仿宋_GB2312"/>
                <w:color w:val="auto"/>
                <w:sz w:val="32"/>
                <w:szCs w:val="24"/>
                <w:lang w:val="en-US" w:eastAsia="zh-CN"/>
              </w:rPr>
              <w:t>阿尔拉镇</w:t>
            </w:r>
            <w:r>
              <w:rPr>
                <w:rFonts w:hint="eastAsia" w:ascii="Times New Roman" w:hAnsi="Times New Roman" w:eastAsia="仿宋_GB2312"/>
                <w:color w:val="auto"/>
                <w:sz w:val="32"/>
                <w:szCs w:val="24"/>
              </w:rPr>
              <w:t>综合</w:t>
            </w:r>
            <w:r>
              <w:rPr>
                <w:rFonts w:hint="eastAsia" w:ascii="Times New Roman" w:hAnsi="Times New Roman" w:eastAsia="仿宋_GB2312"/>
                <w:color w:val="auto"/>
                <w:sz w:val="32"/>
                <w:szCs w:val="24"/>
                <w:lang w:val="en-US" w:eastAsia="zh-CN"/>
              </w:rPr>
              <w:t>行政</w:t>
            </w:r>
            <w:r>
              <w:rPr>
                <w:rFonts w:hint="eastAsia" w:ascii="Times New Roman" w:hAnsi="Times New Roman" w:eastAsia="仿宋_GB2312"/>
                <w:color w:val="auto"/>
                <w:sz w:val="32"/>
                <w:szCs w:val="24"/>
              </w:rPr>
              <w:t>执法局</w:t>
            </w:r>
          </w:p>
        </w:tc>
        <w:tc>
          <w:tcPr>
            <w:tcW w:w="3561"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eastAsia" w:ascii="仿宋_GB2312" w:hAnsi="仿宋_GB2312" w:eastAsia="仿宋_GB2312"/>
                <w:color w:val="auto"/>
                <w:sz w:val="31"/>
                <w:szCs w:val="24"/>
              </w:rPr>
              <w:t>公益</w:t>
            </w:r>
            <w:r>
              <w:rPr>
                <w:rFonts w:hint="eastAsia" w:ascii="仿宋_GB2312" w:hAnsi="仿宋_GB2312" w:eastAsia="仿宋_GB2312"/>
                <w:color w:val="auto"/>
                <w:sz w:val="31"/>
                <w:szCs w:val="24"/>
                <w:lang w:val="en-US" w:eastAsia="zh-CN"/>
              </w:rPr>
              <w:t>一</w:t>
            </w:r>
            <w:r>
              <w:rPr>
                <w:rFonts w:hint="eastAsia" w:ascii="仿宋_GB2312" w:hAnsi="仿宋_GB2312" w:eastAsia="仿宋_GB2312"/>
                <w:color w:val="auto"/>
                <w:sz w:val="31"/>
                <w:szCs w:val="24"/>
              </w:rPr>
              <w:t>类事业单位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auto"/>
          <w:wAfter w:w="0" w:type="auto"/>
        </w:trPr>
        <w:tc>
          <w:tcPr>
            <w:tcW w:w="662"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default" w:ascii="Times New Roman" w:hAnsi="Times New Roman" w:eastAsia="Times New Roman"/>
                <w:color w:val="auto"/>
                <w:sz w:val="31"/>
                <w:szCs w:val="24"/>
              </w:rPr>
              <w:t>4</w:t>
            </w:r>
          </w:p>
        </w:tc>
        <w:tc>
          <w:tcPr>
            <w:tcW w:w="4299"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eastAsia" w:ascii="Times New Roman" w:hAnsi="Times New Roman" w:eastAsia="仿宋_GB2312"/>
                <w:color w:val="auto"/>
                <w:sz w:val="32"/>
                <w:szCs w:val="24"/>
                <w:lang w:val="en-US" w:eastAsia="zh-CN"/>
              </w:rPr>
              <w:t>阿尔拉镇综合保障和技术推广中心</w:t>
            </w:r>
          </w:p>
        </w:tc>
        <w:tc>
          <w:tcPr>
            <w:tcW w:w="3561" w:type="dxa"/>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default" w:ascii="Times New Roman" w:hAnsi="Times New Roman" w:eastAsia="Times New Roman"/>
                <w:color w:val="auto"/>
                <w:sz w:val="31"/>
                <w:szCs w:val="24"/>
              </w:rPr>
            </w:pPr>
            <w:r>
              <w:rPr>
                <w:rFonts w:hint="eastAsia" w:ascii="仿宋_GB2312" w:hAnsi="仿宋_GB2312" w:eastAsia="仿宋_GB2312"/>
                <w:color w:val="auto"/>
                <w:sz w:val="31"/>
                <w:szCs w:val="24"/>
              </w:rPr>
              <w:t>公益</w:t>
            </w:r>
            <w:r>
              <w:rPr>
                <w:rFonts w:hint="eastAsia" w:ascii="仿宋_GB2312" w:hAnsi="仿宋_GB2312" w:eastAsia="仿宋_GB2312"/>
                <w:color w:val="auto"/>
                <w:sz w:val="31"/>
                <w:szCs w:val="24"/>
                <w:lang w:val="en-US" w:eastAsia="zh-CN"/>
              </w:rPr>
              <w:t>一</w:t>
            </w:r>
            <w:r>
              <w:rPr>
                <w:rFonts w:hint="eastAsia" w:ascii="仿宋_GB2312" w:hAnsi="仿宋_GB2312" w:eastAsia="仿宋_GB2312"/>
                <w:color w:val="auto"/>
                <w:sz w:val="31"/>
                <w:szCs w:val="24"/>
              </w:rPr>
              <w:t>类事业单位</w:t>
            </w:r>
          </w:p>
        </w:tc>
      </w:tr>
    </w:tbl>
    <w:p>
      <w:pPr>
        <w:spacing w:line="600" w:lineRule="exact"/>
        <w:jc w:val="both"/>
        <w:rPr>
          <w:rFonts w:hint="eastAsia" w:ascii="黑体" w:hAnsi="黑体" w:eastAsia="黑体"/>
          <w:b/>
          <w:color w:val="auto"/>
          <w:kern w:val="2"/>
          <w:sz w:val="32"/>
          <w:szCs w:val="24"/>
        </w:rPr>
      </w:pPr>
    </w:p>
    <w:p>
      <w:pPr>
        <w:spacing w:line="600" w:lineRule="exact"/>
        <w:ind w:firstLine="643"/>
        <w:jc w:val="both"/>
        <w:rPr>
          <w:rFonts w:hint="eastAsia" w:ascii="黑体" w:hAnsi="黑体" w:eastAsia="黑体"/>
          <w:b/>
          <w:color w:val="auto"/>
          <w:kern w:val="2"/>
          <w:sz w:val="32"/>
          <w:szCs w:val="24"/>
        </w:rPr>
      </w:pPr>
      <w:r>
        <w:rPr>
          <w:rFonts w:hint="eastAsia" w:ascii="黑体" w:hAnsi="黑体" w:eastAsia="黑体"/>
          <w:b/>
          <w:color w:val="auto"/>
          <w:kern w:val="2"/>
          <w:sz w:val="32"/>
          <w:szCs w:val="24"/>
        </w:rPr>
        <w:t>三、</w:t>
      </w:r>
      <w:r>
        <w:rPr>
          <w:rFonts w:hint="eastAsia" w:ascii="仿宋_GB2312" w:hAnsi="仿宋_GB2312" w:eastAsia="仿宋_GB2312"/>
          <w:b/>
          <w:color w:val="auto"/>
          <w:kern w:val="2"/>
          <w:sz w:val="32"/>
          <w:szCs w:val="24"/>
        </w:rPr>
        <w:t>2022</w:t>
      </w:r>
      <w:r>
        <w:rPr>
          <w:rFonts w:hint="eastAsia" w:ascii="黑体" w:hAnsi="黑体" w:eastAsia="黑体"/>
          <w:b/>
          <w:color w:val="auto"/>
          <w:kern w:val="2"/>
          <w:sz w:val="32"/>
          <w:szCs w:val="24"/>
        </w:rPr>
        <w:t>年度主要工作完成情况</w:t>
      </w:r>
    </w:p>
    <w:p>
      <w:pPr>
        <w:spacing w:line="600" w:lineRule="exact"/>
        <w:ind w:firstLine="643"/>
        <w:jc w:val="both"/>
        <w:rPr>
          <w:rFonts w:hint="eastAsia" w:ascii="黑体" w:hAnsi="黑体" w:eastAsia="黑体"/>
          <w:b/>
          <w:color w:val="auto"/>
          <w:kern w:val="2"/>
          <w:sz w:val="32"/>
          <w:szCs w:val="24"/>
          <w:lang w:val="en-US" w:eastAsia="zh-CN"/>
        </w:rPr>
      </w:pPr>
    </w:p>
    <w:p>
      <w:pPr>
        <w:tabs>
          <w:tab w:val="left" w:pos="1151"/>
        </w:tabs>
        <w:spacing w:line="360" w:lineRule="auto"/>
        <w:ind w:firstLine="640"/>
        <w:jc w:val="both"/>
        <w:rPr>
          <w:rFonts w:hint="eastAsia" w:ascii="Times New Roman" w:hAnsi="Times New Roman" w:eastAsia="仿宋_GB2312"/>
          <w:color w:val="auto"/>
          <w:sz w:val="32"/>
          <w:szCs w:val="24"/>
          <w:lang w:val="en-US" w:eastAsia="zh-CN"/>
        </w:rPr>
      </w:pPr>
      <w:r>
        <w:rPr>
          <w:rFonts w:hint="eastAsia" w:ascii="Times New Roman" w:hAnsi="Times New Roman" w:eastAsia="仿宋_GB2312"/>
          <w:color w:val="auto"/>
          <w:sz w:val="32"/>
          <w:szCs w:val="24"/>
          <w:lang w:val="en-US" w:eastAsia="zh-CN"/>
        </w:rPr>
        <w:t>在旗委、旗政府的领导下圆满高效完成上级政府交代的任务及本地区与民生切实相关的工作。</w:t>
      </w:r>
    </w:p>
    <w:p>
      <w:pPr>
        <w:tabs>
          <w:tab w:val="left" w:pos="1151"/>
        </w:tabs>
        <w:spacing w:line="360" w:lineRule="auto"/>
        <w:ind w:firstLine="640"/>
        <w:jc w:val="both"/>
        <w:rPr>
          <w:rFonts w:hint="default" w:ascii="Times New Roman" w:hAnsi="Times New Roman" w:eastAsia="仿宋_GB2312"/>
          <w:color w:val="auto"/>
          <w:sz w:val="32"/>
          <w:szCs w:val="24"/>
          <w:lang w:val="en-US" w:eastAsia="zh-CN"/>
        </w:rPr>
      </w:pPr>
    </w:p>
    <w:p>
      <w:pPr>
        <w:pStyle w:val="3"/>
        <w:keepNext/>
        <w:keepLines/>
        <w:tabs>
          <w:tab w:val="left" w:pos="4392"/>
        </w:tabs>
        <w:spacing w:line="360" w:lineRule="auto"/>
        <w:jc w:val="center"/>
        <w:rPr>
          <w:rFonts w:hint="default" w:ascii="Times New Roman" w:hAnsi="Times New Roman" w:eastAsia="Times New Roman"/>
          <w:color w:val="auto"/>
          <w:kern w:val="2"/>
          <w:sz w:val="36"/>
          <w:szCs w:val="24"/>
        </w:rPr>
      </w:pPr>
      <w:r>
        <w:rPr>
          <w:rFonts w:hint="eastAsia" w:ascii="方正小标宋简体" w:hAnsi="方正小标宋简体" w:eastAsia="方正小标宋简体"/>
          <w:color w:val="auto"/>
          <w:kern w:val="2"/>
          <w:sz w:val="36"/>
          <w:szCs w:val="24"/>
        </w:rPr>
        <w:t>第二部分  2022年度决算情况说明</w:t>
      </w:r>
    </w:p>
    <w:p>
      <w:pPr>
        <w:spacing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一、收入支出决算总体情况说明</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人民政府2022年度收入、支出决算总计</w:t>
      </w:r>
      <w:r>
        <w:rPr>
          <w:rFonts w:hint="eastAsia" w:ascii="Times New Roman" w:hAnsi="Times New Roman" w:eastAsia="宋体"/>
          <w:color w:val="auto"/>
          <w:kern w:val="2"/>
          <w:sz w:val="32"/>
          <w:szCs w:val="24"/>
          <w:u w:val="single"/>
          <w:lang w:eastAsia="zh-CN"/>
        </w:rPr>
        <w:t>1,572.04</w:t>
      </w:r>
      <w:r>
        <w:rPr>
          <w:rFonts w:hint="eastAsia" w:ascii="仿宋_GB2312" w:hAnsi="仿宋_GB2312" w:eastAsia="仿宋_GB2312"/>
          <w:color w:val="auto"/>
          <w:kern w:val="2"/>
          <w:sz w:val="32"/>
          <w:szCs w:val="24"/>
        </w:rPr>
        <w:t>万元。与年初预算相比，收、支总计各增加</w:t>
      </w:r>
      <w:r>
        <w:rPr>
          <w:rFonts w:hint="eastAsia" w:ascii="Times New Roman" w:hAnsi="Times New Roman" w:eastAsia="宋体"/>
          <w:color w:val="auto"/>
          <w:kern w:val="2"/>
          <w:sz w:val="32"/>
          <w:szCs w:val="24"/>
          <w:u w:val="single"/>
          <w:lang w:eastAsia="zh-CN"/>
        </w:rPr>
        <w:t>355.54</w:t>
      </w:r>
      <w:r>
        <w:rPr>
          <w:rFonts w:hint="eastAsia" w:ascii="仿宋_GB2312" w:hAnsi="仿宋_GB2312" w:eastAsia="仿宋_GB2312"/>
          <w:color w:val="auto"/>
          <w:kern w:val="2"/>
          <w:sz w:val="32"/>
          <w:szCs w:val="24"/>
        </w:rPr>
        <w:t>万元，增长</w:t>
      </w:r>
      <w:r>
        <w:rPr>
          <w:rFonts w:hint="eastAsia" w:ascii="Times New Roman" w:hAnsi="Times New Roman" w:eastAsia="宋体"/>
          <w:color w:val="auto"/>
          <w:kern w:val="2"/>
          <w:sz w:val="32"/>
          <w:szCs w:val="24"/>
          <w:u w:val="single"/>
          <w:lang w:eastAsia="zh-CN"/>
        </w:rPr>
        <w:t>22.62</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本年发生追加项目资金支出</w:t>
      </w:r>
      <w:r>
        <w:rPr>
          <w:rFonts w:hint="eastAsia" w:ascii="仿宋_GB2312" w:hAnsi="仿宋_GB2312" w:eastAsia="仿宋_GB2312"/>
          <w:color w:val="auto"/>
          <w:kern w:val="2"/>
          <w:sz w:val="32"/>
          <w:szCs w:val="24"/>
        </w:rPr>
        <w:t>；与上年决算相比，收、支总计各减少</w:t>
      </w:r>
      <w:r>
        <w:rPr>
          <w:rFonts w:hint="eastAsia" w:ascii="Times New Roman" w:hAnsi="Times New Roman" w:eastAsia="宋体"/>
          <w:color w:val="auto"/>
          <w:kern w:val="2"/>
          <w:sz w:val="32"/>
          <w:szCs w:val="24"/>
          <w:u w:val="single"/>
          <w:lang w:eastAsia="zh-CN"/>
        </w:rPr>
        <w:t>224.61</w:t>
      </w:r>
      <w:r>
        <w:rPr>
          <w:rFonts w:hint="eastAsia" w:ascii="仿宋_GB2312" w:hAnsi="仿宋_GB2312" w:eastAsia="仿宋_GB2312"/>
          <w:color w:val="auto"/>
          <w:kern w:val="2"/>
          <w:sz w:val="32"/>
          <w:szCs w:val="24"/>
        </w:rPr>
        <w:t>万元，减少</w:t>
      </w:r>
      <w:r>
        <w:rPr>
          <w:rFonts w:hint="eastAsia" w:ascii="Times New Roman" w:hAnsi="Times New Roman" w:eastAsia="宋体"/>
          <w:color w:val="auto"/>
          <w:kern w:val="2"/>
          <w:sz w:val="32"/>
          <w:szCs w:val="24"/>
          <w:u w:val="single"/>
          <w:lang w:eastAsia="zh-CN"/>
        </w:rPr>
        <w:t>14.29</w:t>
      </w:r>
      <w:r>
        <w:rPr>
          <w:rFonts w:hint="eastAsia" w:ascii="仿宋_GB2312" w:hAnsi="仿宋_GB2312" w:eastAsia="仿宋_GB2312"/>
          <w:color w:val="auto"/>
          <w:kern w:val="2"/>
          <w:sz w:val="32"/>
          <w:szCs w:val="24"/>
        </w:rPr>
        <w:t>%。其中：</w:t>
      </w:r>
    </w:p>
    <w:p>
      <w:pPr>
        <w:tabs>
          <w:tab w:val="left" w:pos="4275"/>
        </w:tabs>
        <w:spacing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（一）收入决算总计</w:t>
      </w:r>
      <w:r>
        <w:rPr>
          <w:rFonts w:hint="eastAsia" w:ascii="Times New Roman" w:hAnsi="Times New Roman" w:eastAsia="宋体"/>
          <w:color w:val="auto"/>
          <w:kern w:val="2"/>
          <w:sz w:val="32"/>
          <w:szCs w:val="24"/>
          <w:u w:val="single"/>
          <w:lang w:eastAsia="zh-CN"/>
        </w:rPr>
        <w:t>1,572.04</w:t>
      </w:r>
      <w:r>
        <w:rPr>
          <w:rFonts w:hint="eastAsia" w:ascii="楷体" w:hAnsi="楷体" w:eastAsia="楷体"/>
          <w:b/>
          <w:color w:val="auto"/>
          <w:kern w:val="2"/>
          <w:sz w:val="32"/>
          <w:szCs w:val="24"/>
        </w:rPr>
        <w:t>万元。包括：</w:t>
      </w:r>
    </w:p>
    <w:p>
      <w:pPr>
        <w:spacing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本年收入决算合计</w:t>
      </w:r>
      <w:r>
        <w:rPr>
          <w:rFonts w:hint="eastAsia" w:ascii="Times New Roman" w:hAnsi="Times New Roman" w:eastAsia="宋体"/>
          <w:color w:val="auto"/>
          <w:kern w:val="2"/>
          <w:sz w:val="32"/>
          <w:szCs w:val="24"/>
          <w:u w:val="single"/>
          <w:lang w:eastAsia="zh-CN"/>
        </w:rPr>
        <w:t>1,572.04</w:t>
      </w:r>
      <w:r>
        <w:rPr>
          <w:rFonts w:hint="eastAsia" w:ascii="仿宋_GB2312" w:hAnsi="仿宋_GB2312" w:eastAsia="仿宋_GB2312"/>
          <w:color w:val="auto"/>
          <w:kern w:val="2"/>
          <w:sz w:val="32"/>
          <w:szCs w:val="24"/>
        </w:rPr>
        <w:t>万元。与上年决算相比，减少</w:t>
      </w:r>
      <w:r>
        <w:rPr>
          <w:rFonts w:hint="eastAsia" w:ascii="Times New Roman" w:hAnsi="Times New Roman" w:eastAsia="宋体"/>
          <w:color w:val="auto"/>
          <w:kern w:val="2"/>
          <w:sz w:val="32"/>
          <w:szCs w:val="24"/>
          <w:u w:val="single"/>
          <w:lang w:eastAsia="zh-CN"/>
        </w:rPr>
        <w:t>224.61</w:t>
      </w:r>
      <w:r>
        <w:rPr>
          <w:rFonts w:hint="eastAsia" w:ascii="仿宋_GB2312" w:hAnsi="仿宋_GB2312" w:eastAsia="仿宋_GB2312"/>
          <w:color w:val="auto"/>
          <w:kern w:val="2"/>
          <w:sz w:val="32"/>
          <w:szCs w:val="24"/>
        </w:rPr>
        <w:t>万元，减少</w:t>
      </w:r>
      <w:r>
        <w:rPr>
          <w:rFonts w:hint="eastAsia" w:ascii="Times New Roman" w:hAnsi="Times New Roman" w:eastAsia="宋体"/>
          <w:color w:val="auto"/>
          <w:kern w:val="2"/>
          <w:sz w:val="32"/>
          <w:szCs w:val="24"/>
          <w:u w:val="single"/>
          <w:lang w:eastAsia="zh-CN"/>
        </w:rPr>
        <w:t>14.29</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本年项目支出较上年减少</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使用非财政拨款结余</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%，变动原因：不存在此项内容。</w:t>
      </w:r>
    </w:p>
    <w:p>
      <w:pPr>
        <w:spacing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3.</w:t>
      </w:r>
      <w:r>
        <w:rPr>
          <w:rFonts w:hint="eastAsia" w:ascii="仿宋_GB2312" w:hAnsi="仿宋_GB2312" w:eastAsia="仿宋_GB2312"/>
          <w:color w:val="auto"/>
          <w:kern w:val="2"/>
          <w:sz w:val="32"/>
          <w:szCs w:val="24"/>
        </w:rPr>
        <w:t>年初结转和结余</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万元。与上年决算相比，减少</w:t>
      </w:r>
      <w:r>
        <w:rPr>
          <w:rFonts w:hint="eastAsia" w:ascii="Times New Roman"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万元，减少</w:t>
      </w:r>
      <w:r>
        <w:rPr>
          <w:rFonts w:hint="eastAsia" w:ascii="Times New Roman"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%，变动原因：不存在此项内容。</w:t>
      </w:r>
    </w:p>
    <w:p>
      <w:pPr>
        <w:tabs>
          <w:tab w:val="left" w:pos="4275"/>
        </w:tabs>
        <w:spacing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（二）支出决算总计</w:t>
      </w:r>
      <w:r>
        <w:rPr>
          <w:rFonts w:hint="eastAsia" w:ascii="Times New Roman" w:hAnsi="Times New Roman" w:eastAsia="宋体"/>
          <w:color w:val="auto"/>
          <w:kern w:val="2"/>
          <w:sz w:val="32"/>
          <w:szCs w:val="24"/>
          <w:u w:val="single"/>
          <w:lang w:eastAsia="zh-CN"/>
        </w:rPr>
        <w:t>1,572.04</w:t>
      </w:r>
      <w:r>
        <w:rPr>
          <w:rFonts w:hint="eastAsia" w:ascii="楷体" w:hAnsi="楷体" w:eastAsia="楷体"/>
          <w:b/>
          <w:color w:val="auto"/>
          <w:kern w:val="2"/>
          <w:sz w:val="32"/>
          <w:szCs w:val="24"/>
        </w:rPr>
        <w:t>万元。包括：</w:t>
      </w:r>
    </w:p>
    <w:p>
      <w:pPr>
        <w:spacing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本年支出决算合计</w:t>
      </w:r>
      <w:r>
        <w:rPr>
          <w:rFonts w:hint="eastAsia" w:ascii="Times New Roman" w:hAnsi="Times New Roman" w:eastAsia="宋体"/>
          <w:color w:val="auto"/>
          <w:kern w:val="2"/>
          <w:sz w:val="32"/>
          <w:szCs w:val="24"/>
          <w:u w:val="single"/>
          <w:lang w:eastAsia="zh-CN"/>
        </w:rPr>
        <w:t>1,572.04</w:t>
      </w:r>
      <w:r>
        <w:rPr>
          <w:rFonts w:hint="eastAsia" w:ascii="仿宋_GB2312" w:hAnsi="仿宋_GB2312" w:eastAsia="仿宋_GB2312"/>
          <w:color w:val="auto"/>
          <w:kern w:val="2"/>
          <w:sz w:val="32"/>
          <w:szCs w:val="24"/>
        </w:rPr>
        <w:t>万元。与上年决算相比，减少</w:t>
      </w:r>
      <w:r>
        <w:rPr>
          <w:rFonts w:hint="eastAsia" w:ascii="Times New Roman" w:hAnsi="Times New Roman" w:eastAsia="宋体"/>
          <w:color w:val="auto"/>
          <w:kern w:val="2"/>
          <w:sz w:val="32"/>
          <w:szCs w:val="24"/>
          <w:u w:val="single"/>
          <w:lang w:eastAsia="zh-CN"/>
        </w:rPr>
        <w:t>224.61</w:t>
      </w:r>
      <w:r>
        <w:rPr>
          <w:rFonts w:hint="eastAsia" w:ascii="仿宋_GB2312" w:hAnsi="仿宋_GB2312" w:eastAsia="仿宋_GB2312"/>
          <w:color w:val="auto"/>
          <w:kern w:val="2"/>
          <w:sz w:val="32"/>
          <w:szCs w:val="24"/>
        </w:rPr>
        <w:t>万元，减少</w:t>
      </w:r>
      <w:r>
        <w:rPr>
          <w:rFonts w:hint="eastAsia" w:ascii="Times New Roman" w:hAnsi="Times New Roman" w:eastAsia="宋体"/>
          <w:color w:val="auto"/>
          <w:kern w:val="2"/>
          <w:sz w:val="32"/>
          <w:szCs w:val="24"/>
          <w:u w:val="single"/>
          <w:lang w:eastAsia="zh-CN"/>
        </w:rPr>
        <w:t>14.29</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本年项目支出较上年减少</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结余分配</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万元。结余分配事项：不存在此项内容。与上年决算相比，增加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%，变动原因：不存在此项内容。</w:t>
      </w:r>
    </w:p>
    <w:p>
      <w:pPr>
        <w:spacing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3.</w:t>
      </w:r>
      <w:r>
        <w:rPr>
          <w:rFonts w:hint="eastAsia" w:ascii="仿宋_GB2312" w:hAnsi="仿宋_GB2312" w:eastAsia="仿宋_GB2312"/>
          <w:color w:val="auto"/>
          <w:kern w:val="2"/>
          <w:sz w:val="32"/>
          <w:szCs w:val="24"/>
        </w:rPr>
        <w:t>年末结转和结余</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万元。结转和结余事项：不存在此项内容。与上年决算相比，增加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%，变动原因：不存在此项内容。</w:t>
      </w:r>
    </w:p>
    <w:p>
      <w:pPr>
        <w:spacing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二、收入决算情况说明</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人民政府2022年度本年收入决算合计</w:t>
      </w:r>
      <w:r>
        <w:rPr>
          <w:rFonts w:hint="eastAsia" w:ascii="Times New Roman" w:hAnsi="Times New Roman" w:eastAsia="宋体"/>
          <w:color w:val="auto"/>
          <w:kern w:val="2"/>
          <w:sz w:val="32"/>
          <w:szCs w:val="24"/>
          <w:u w:val="single"/>
          <w:lang w:eastAsia="zh-CN"/>
        </w:rPr>
        <w:t>1,572.04</w:t>
      </w:r>
      <w:r>
        <w:rPr>
          <w:rFonts w:hint="eastAsia" w:ascii="仿宋_GB2312" w:hAnsi="仿宋_GB2312" w:eastAsia="仿宋_GB2312"/>
          <w:color w:val="auto"/>
          <w:kern w:val="2"/>
          <w:sz w:val="32"/>
          <w:szCs w:val="24"/>
        </w:rPr>
        <w:t>万元，其中：</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本年一般公共预算财政拨款收入</w:t>
      </w:r>
      <w:r>
        <w:rPr>
          <w:rFonts w:hint="eastAsia" w:ascii="Times New Roman" w:hAnsi="Times New Roman" w:eastAsia="宋体"/>
          <w:color w:val="auto"/>
          <w:kern w:val="2"/>
          <w:sz w:val="32"/>
          <w:szCs w:val="24"/>
          <w:u w:val="single"/>
          <w:lang w:eastAsia="zh-CN"/>
        </w:rPr>
        <w:t>1,572.04</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100</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本年政府性基金预算财政拨款收入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本年国有资本经营预算财政拨款收入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本年上级补助收入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本年事业收入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本年经营收入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本年附属单位上缴收入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本年其他收入</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line="560" w:lineRule="exact"/>
        <w:ind w:firstLine="640"/>
        <w:jc w:val="center"/>
        <w:rPr>
          <w:rFonts w:hint="default" w:ascii="Times New Roman" w:hAnsi="Times New Roman" w:eastAsia="Times New Roman"/>
          <w:color w:val="auto"/>
          <w:kern w:val="2"/>
          <w:sz w:val="32"/>
          <w:szCs w:val="24"/>
        </w:rPr>
      </w:pPr>
      <w:r>
        <w:rPr>
          <w:rFonts w:hint="default"/>
          <w:sz w:val="24"/>
          <w:szCs w:val="24"/>
        </w:rPr>
        <w:drawing>
          <wp:anchor distT="0" distB="0" distL="114300" distR="114300" simplePos="0" relativeHeight="251659264" behindDoc="0" locked="0" layoutInCell="1" allowOverlap="1">
            <wp:simplePos x="0" y="0"/>
            <wp:positionH relativeFrom="column">
              <wp:posOffset>532765</wp:posOffset>
            </wp:positionH>
            <wp:positionV relativeFrom="paragraph">
              <wp:posOffset>253365</wp:posOffset>
            </wp:positionV>
            <wp:extent cx="4846320" cy="275844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4"/>
                    <a:stretch>
                      <a:fillRect/>
                    </a:stretch>
                  </pic:blipFill>
                  <pic:spPr>
                    <a:xfrm>
                      <a:off x="0" y="0"/>
                      <a:ext cx="4846320" cy="2758440"/>
                    </a:xfrm>
                    <a:prstGeom prst="rect">
                      <a:avLst/>
                    </a:prstGeom>
                    <a:noFill/>
                    <a:ln>
                      <a:noFill/>
                    </a:ln>
                  </pic:spPr>
                </pic:pic>
              </a:graphicData>
            </a:graphic>
          </wp:anchor>
        </w:drawing>
      </w:r>
    </w:p>
    <w:p>
      <w:pPr>
        <w:spacing w:line="560" w:lineRule="exact"/>
        <w:ind w:firstLine="640"/>
        <w:jc w:val="center"/>
        <w:rPr>
          <w:rFonts w:hint="default" w:ascii="Times New Roman" w:hAnsi="Times New Roman" w:eastAsia="Times New Roman"/>
          <w:color w:val="auto"/>
          <w:kern w:val="2"/>
          <w:sz w:val="32"/>
          <w:szCs w:val="24"/>
        </w:rPr>
      </w:pPr>
    </w:p>
    <w:p>
      <w:pPr>
        <w:spacing w:line="560" w:lineRule="exact"/>
        <w:ind w:firstLine="640"/>
        <w:jc w:val="center"/>
        <w:rPr>
          <w:rFonts w:hint="default" w:ascii="Times New Roman" w:hAnsi="Times New Roman" w:eastAsia="Times New Roman"/>
          <w:color w:val="auto"/>
          <w:kern w:val="2"/>
          <w:sz w:val="32"/>
          <w:szCs w:val="24"/>
        </w:rPr>
      </w:pPr>
    </w:p>
    <w:p>
      <w:pPr>
        <w:spacing w:line="560" w:lineRule="exact"/>
        <w:jc w:val="both"/>
        <w:rPr>
          <w:rFonts w:hint="default" w:ascii="Times New Roman" w:hAnsi="Times New Roman" w:eastAsia="Times New Roman"/>
          <w:color w:val="auto"/>
          <w:kern w:val="2"/>
          <w:sz w:val="32"/>
          <w:szCs w:val="24"/>
        </w:rPr>
      </w:pPr>
    </w:p>
    <w:p>
      <w:pPr>
        <w:spacing w:line="560" w:lineRule="exact"/>
        <w:ind w:firstLine="640"/>
        <w:jc w:val="center"/>
        <w:rPr>
          <w:rFonts w:hint="default" w:ascii="Times New Roman" w:hAnsi="Times New Roman" w:eastAsia="Times New Roman"/>
          <w:color w:val="auto"/>
          <w:kern w:val="2"/>
          <w:sz w:val="32"/>
          <w:szCs w:val="24"/>
        </w:rPr>
      </w:pPr>
    </w:p>
    <w:p>
      <w:pPr>
        <w:spacing w:line="560" w:lineRule="exact"/>
        <w:ind w:firstLine="640"/>
        <w:jc w:val="center"/>
        <w:rPr>
          <w:rFonts w:hint="eastAsia" w:ascii="仿宋_GB2312" w:hAnsi="仿宋_GB2312" w:eastAsia="仿宋_GB2312"/>
          <w:color w:val="auto"/>
          <w:kern w:val="2"/>
          <w:sz w:val="32"/>
          <w:szCs w:val="24"/>
        </w:rPr>
      </w:pPr>
    </w:p>
    <w:p>
      <w:pPr>
        <w:spacing w:line="560" w:lineRule="exact"/>
        <w:ind w:firstLine="640"/>
        <w:jc w:val="center"/>
        <w:rPr>
          <w:rFonts w:hint="eastAsia" w:ascii="仿宋_GB2312" w:hAnsi="仿宋_GB2312" w:eastAsia="仿宋_GB2312"/>
          <w:color w:val="auto"/>
          <w:kern w:val="2"/>
          <w:sz w:val="32"/>
          <w:szCs w:val="24"/>
        </w:rPr>
      </w:pPr>
    </w:p>
    <w:p>
      <w:pPr>
        <w:spacing w:line="560" w:lineRule="exact"/>
        <w:ind w:firstLine="640"/>
        <w:jc w:val="center"/>
        <w:rPr>
          <w:rFonts w:hint="eastAsia" w:ascii="仿宋_GB2312" w:hAnsi="仿宋_GB2312" w:eastAsia="仿宋_GB2312"/>
          <w:color w:val="auto"/>
          <w:kern w:val="2"/>
          <w:sz w:val="32"/>
          <w:szCs w:val="24"/>
        </w:rPr>
      </w:pPr>
    </w:p>
    <w:p>
      <w:pPr>
        <w:spacing w:line="560" w:lineRule="exact"/>
        <w:jc w:val="both"/>
        <w:rPr>
          <w:rFonts w:hint="eastAsia" w:ascii="仿宋_GB2312" w:hAnsi="仿宋_GB2312" w:eastAsia="仿宋_GB2312"/>
          <w:color w:val="auto"/>
          <w:kern w:val="2"/>
          <w:sz w:val="32"/>
          <w:szCs w:val="24"/>
        </w:rPr>
      </w:pPr>
    </w:p>
    <w:p>
      <w:pPr>
        <w:spacing w:line="560" w:lineRule="exact"/>
        <w:ind w:firstLine="640"/>
        <w:jc w:val="center"/>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图</w:t>
      </w: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收入决算图</w:t>
      </w:r>
    </w:p>
    <w:p>
      <w:pPr>
        <w:spacing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三、支出决算情况说明</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人民政府2022年度本年支出决算合计</w:t>
      </w:r>
      <w:r>
        <w:rPr>
          <w:rFonts w:hint="eastAsia" w:ascii="Times New Roman" w:hAnsi="Times New Roman" w:eastAsia="宋体"/>
          <w:color w:val="auto"/>
          <w:kern w:val="2"/>
          <w:sz w:val="32"/>
          <w:szCs w:val="24"/>
          <w:u w:val="single"/>
          <w:lang w:eastAsia="zh-CN"/>
        </w:rPr>
        <w:t>1,572.04</w:t>
      </w:r>
      <w:r>
        <w:rPr>
          <w:rFonts w:hint="eastAsia" w:ascii="仿宋_GB2312" w:hAnsi="仿宋_GB2312" w:eastAsia="仿宋_GB2312"/>
          <w:color w:val="auto"/>
          <w:kern w:val="2"/>
          <w:sz w:val="32"/>
          <w:szCs w:val="24"/>
        </w:rPr>
        <w:t>万元，其中：</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本年基本支出</w:t>
      </w:r>
      <w:r>
        <w:rPr>
          <w:rFonts w:hint="eastAsia" w:ascii="Times New Roman" w:hAnsi="Times New Roman" w:eastAsia="宋体"/>
          <w:color w:val="auto"/>
          <w:kern w:val="2"/>
          <w:sz w:val="32"/>
          <w:szCs w:val="24"/>
          <w:u w:val="single"/>
          <w:lang w:eastAsia="zh-CN"/>
        </w:rPr>
        <w:t>1,337.96</w:t>
      </w:r>
      <w:r>
        <w:rPr>
          <w:rFonts w:hint="eastAsia" w:ascii="仿宋_GB2312" w:hAnsi="仿宋_GB2312" w:eastAsia="仿宋_GB2312"/>
          <w:color w:val="auto"/>
          <w:kern w:val="2"/>
          <w:sz w:val="32"/>
          <w:szCs w:val="24"/>
        </w:rPr>
        <w:t>万元，占</w:t>
      </w:r>
      <w:r>
        <w:rPr>
          <w:rFonts w:hint="eastAsia" w:ascii="Times New Roman" w:hAnsi="Times New Roman" w:eastAsia="宋体"/>
          <w:color w:val="auto"/>
          <w:kern w:val="2"/>
          <w:sz w:val="32"/>
          <w:szCs w:val="24"/>
          <w:u w:val="single"/>
          <w:lang w:eastAsia="zh-CN"/>
        </w:rPr>
        <w:t>85.11</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本年项目支出</w:t>
      </w:r>
      <w:r>
        <w:rPr>
          <w:rFonts w:hint="eastAsia" w:ascii="Times New Roman" w:hAnsi="Times New Roman" w:eastAsia="宋体"/>
          <w:color w:val="auto"/>
          <w:kern w:val="2"/>
          <w:sz w:val="32"/>
          <w:szCs w:val="24"/>
          <w:u w:val="single"/>
          <w:lang w:eastAsia="zh-CN"/>
        </w:rPr>
        <w:t>234.08</w:t>
      </w:r>
      <w:r>
        <w:rPr>
          <w:rFonts w:hint="eastAsia" w:ascii="仿宋_GB2312" w:hAnsi="仿宋_GB2312" w:eastAsia="仿宋_GB2312"/>
          <w:color w:val="auto"/>
          <w:kern w:val="2"/>
          <w:sz w:val="32"/>
          <w:szCs w:val="24"/>
        </w:rPr>
        <w:t>万元，占</w:t>
      </w:r>
      <w:r>
        <w:rPr>
          <w:rFonts w:hint="eastAsia" w:ascii="Times New Roman" w:hAnsi="Times New Roman" w:eastAsia="宋体"/>
          <w:color w:val="auto"/>
          <w:kern w:val="2"/>
          <w:sz w:val="32"/>
          <w:szCs w:val="24"/>
          <w:u w:val="single"/>
          <w:lang w:eastAsia="zh-CN"/>
        </w:rPr>
        <w:t>14.89</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本年上缴上级支出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本年经营支出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本年对附属单位补助支出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w:t>
      </w:r>
    </w:p>
    <w:p>
      <w:pPr>
        <w:spacing w:line="560" w:lineRule="exact"/>
        <w:jc w:val="center"/>
        <w:rPr>
          <w:rFonts w:hint="default" w:ascii="Times New Roman" w:hAnsi="Times New Roman" w:eastAsia="Times New Roman"/>
          <w:color w:val="auto"/>
          <w:kern w:val="2"/>
          <w:sz w:val="32"/>
          <w:szCs w:val="24"/>
        </w:rPr>
      </w:pPr>
      <w:r>
        <w:rPr>
          <w:rFonts w:hint="default"/>
          <w:sz w:val="24"/>
          <w:szCs w:val="24"/>
        </w:rPr>
        <w:drawing>
          <wp:anchor distT="0" distB="0" distL="114300" distR="114300" simplePos="0" relativeHeight="251660288" behindDoc="0" locked="0" layoutInCell="1" allowOverlap="1">
            <wp:simplePos x="0" y="0"/>
            <wp:positionH relativeFrom="column">
              <wp:posOffset>659130</wp:posOffset>
            </wp:positionH>
            <wp:positionV relativeFrom="paragraph">
              <wp:posOffset>295910</wp:posOffset>
            </wp:positionV>
            <wp:extent cx="4358640" cy="2484120"/>
            <wp:effectExtent l="0" t="0" r="0" b="0"/>
            <wp:wrapNone/>
            <wp:docPr id="2" name="图表 2"/>
            <wp:cNvGraphicFramePr/>
            <a:graphic xmlns:a="http://schemas.openxmlformats.org/drawingml/2006/main">
              <a:graphicData uri="http://schemas.openxmlformats.org/drawingml/2006/picture">
                <pic:pic xmlns:pic="http://schemas.openxmlformats.org/drawingml/2006/picture">
                  <pic:nvPicPr>
                    <pic:cNvPr id="2" name="图表 2"/>
                    <pic:cNvPicPr/>
                  </pic:nvPicPr>
                  <pic:blipFill>
                    <a:blip r:embed="rId5"/>
                    <a:stretch>
                      <a:fillRect/>
                    </a:stretch>
                  </pic:blipFill>
                  <pic:spPr>
                    <a:xfrm>
                      <a:off x="0" y="0"/>
                      <a:ext cx="4358640" cy="2484120"/>
                    </a:xfrm>
                    <a:prstGeom prst="rect">
                      <a:avLst/>
                    </a:prstGeom>
                    <a:noFill/>
                    <a:ln>
                      <a:noFill/>
                    </a:ln>
                  </pic:spPr>
                </pic:pic>
              </a:graphicData>
            </a:graphic>
          </wp:anchor>
        </w:drawing>
      </w:r>
    </w:p>
    <w:p>
      <w:pPr>
        <w:spacing w:line="560" w:lineRule="exact"/>
        <w:jc w:val="center"/>
        <w:rPr>
          <w:rFonts w:hint="default" w:ascii="Times New Roman" w:hAnsi="Times New Roman" w:eastAsia="Times New Roman"/>
          <w:color w:val="auto"/>
          <w:kern w:val="2"/>
          <w:sz w:val="32"/>
          <w:szCs w:val="24"/>
        </w:rPr>
      </w:pPr>
    </w:p>
    <w:p>
      <w:pPr>
        <w:spacing w:line="560" w:lineRule="exact"/>
        <w:jc w:val="center"/>
        <w:rPr>
          <w:rFonts w:hint="default" w:ascii="Times New Roman" w:hAnsi="Times New Roman" w:eastAsia="Times New Roman"/>
          <w:color w:val="auto"/>
          <w:kern w:val="2"/>
          <w:sz w:val="32"/>
          <w:szCs w:val="24"/>
        </w:rPr>
      </w:pPr>
    </w:p>
    <w:p>
      <w:pPr>
        <w:spacing w:line="560" w:lineRule="exact"/>
        <w:jc w:val="center"/>
        <w:rPr>
          <w:rFonts w:hint="default" w:ascii="Times New Roman" w:hAnsi="Times New Roman" w:eastAsia="Times New Roman"/>
          <w:color w:val="auto"/>
          <w:kern w:val="2"/>
          <w:sz w:val="32"/>
          <w:szCs w:val="24"/>
        </w:rPr>
      </w:pPr>
    </w:p>
    <w:p>
      <w:pPr>
        <w:spacing w:line="560" w:lineRule="exact"/>
        <w:jc w:val="center"/>
        <w:rPr>
          <w:rFonts w:hint="default" w:ascii="Times New Roman" w:hAnsi="Times New Roman" w:eastAsia="Times New Roman"/>
          <w:color w:val="auto"/>
          <w:kern w:val="2"/>
          <w:sz w:val="32"/>
          <w:szCs w:val="24"/>
        </w:rPr>
      </w:pPr>
    </w:p>
    <w:p>
      <w:pPr>
        <w:spacing w:line="560" w:lineRule="exact"/>
        <w:jc w:val="center"/>
        <w:rPr>
          <w:rFonts w:hint="default" w:ascii="Times New Roman" w:hAnsi="Times New Roman" w:eastAsia="Times New Roman"/>
          <w:color w:val="auto"/>
          <w:kern w:val="2"/>
          <w:sz w:val="32"/>
          <w:szCs w:val="24"/>
        </w:rPr>
      </w:pPr>
    </w:p>
    <w:p>
      <w:pPr>
        <w:spacing w:line="560" w:lineRule="exact"/>
        <w:jc w:val="center"/>
        <w:rPr>
          <w:rFonts w:hint="default" w:ascii="Times New Roman" w:hAnsi="Times New Roman" w:eastAsia="Times New Roman"/>
          <w:color w:val="auto"/>
          <w:kern w:val="2"/>
          <w:sz w:val="32"/>
          <w:szCs w:val="24"/>
        </w:rPr>
      </w:pPr>
    </w:p>
    <w:p>
      <w:pPr>
        <w:spacing w:line="560" w:lineRule="exact"/>
        <w:jc w:val="center"/>
        <w:rPr>
          <w:rFonts w:hint="default" w:ascii="Times New Roman" w:hAnsi="Times New Roman" w:eastAsia="Times New Roman"/>
          <w:color w:val="auto"/>
          <w:kern w:val="2"/>
          <w:sz w:val="32"/>
          <w:szCs w:val="24"/>
        </w:rPr>
      </w:pPr>
    </w:p>
    <w:p>
      <w:pPr>
        <w:spacing w:line="560" w:lineRule="exact"/>
        <w:jc w:val="both"/>
        <w:rPr>
          <w:rFonts w:hint="eastAsia" w:ascii="仿宋_GB2312" w:hAnsi="仿宋_GB2312" w:eastAsia="仿宋_GB2312"/>
          <w:color w:val="auto"/>
          <w:kern w:val="2"/>
          <w:sz w:val="32"/>
          <w:szCs w:val="24"/>
        </w:rPr>
      </w:pPr>
    </w:p>
    <w:p>
      <w:pPr>
        <w:spacing w:line="560" w:lineRule="exact"/>
        <w:jc w:val="center"/>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图</w:t>
      </w: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支出决算图</w:t>
      </w:r>
    </w:p>
    <w:p>
      <w:pPr>
        <w:spacing w:line="560" w:lineRule="exact"/>
        <w:jc w:val="center"/>
        <w:rPr>
          <w:rFonts w:hint="default" w:ascii="Times New Roman" w:hAnsi="Times New Roman" w:eastAsia="Times New Roman"/>
          <w:color w:val="auto"/>
          <w:kern w:val="2"/>
          <w:sz w:val="32"/>
          <w:szCs w:val="24"/>
        </w:rPr>
      </w:pPr>
    </w:p>
    <w:p>
      <w:pPr>
        <w:spacing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四、财政拨款收入支出决算总体情况说明</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w:t>
      </w:r>
      <w:r>
        <w:rPr>
          <w:rFonts w:hint="default" w:ascii="Times New Roman" w:hAnsi="Times New Roman" w:eastAsia="Times New Roman"/>
          <w:color w:val="auto"/>
          <w:kern w:val="2"/>
          <w:sz w:val="32"/>
          <w:szCs w:val="24"/>
        </w:rPr>
        <w:t xml:space="preserve"> </w:t>
      </w:r>
      <w:r>
        <w:rPr>
          <w:rFonts w:hint="eastAsia" w:ascii="仿宋_GB2312" w:hAnsi="仿宋_GB2312" w:eastAsia="仿宋_GB2312"/>
          <w:color w:val="auto"/>
          <w:kern w:val="2"/>
          <w:sz w:val="32"/>
          <w:szCs w:val="24"/>
        </w:rPr>
        <w:t>2022年度财政拨款收入、支出决算总计</w:t>
      </w:r>
      <w:r>
        <w:rPr>
          <w:rFonts w:hint="eastAsia" w:ascii="Times New Roman" w:hAnsi="Times New Roman" w:eastAsia="宋体"/>
          <w:color w:val="auto"/>
          <w:kern w:val="2"/>
          <w:sz w:val="32"/>
          <w:szCs w:val="24"/>
          <w:u w:val="single"/>
          <w:lang w:eastAsia="zh-CN"/>
        </w:rPr>
        <w:t>1,572.04</w:t>
      </w:r>
      <w:r>
        <w:rPr>
          <w:rFonts w:hint="eastAsia" w:ascii="仿宋_GB2312" w:hAnsi="仿宋_GB2312" w:eastAsia="仿宋_GB2312"/>
          <w:color w:val="auto"/>
          <w:kern w:val="2"/>
          <w:sz w:val="32"/>
          <w:szCs w:val="24"/>
        </w:rPr>
        <w:t>万元，与年初预算相比，收、支总计各增加</w:t>
      </w:r>
      <w:r>
        <w:rPr>
          <w:rFonts w:hint="eastAsia" w:ascii="Times New Roman" w:hAnsi="Times New Roman" w:eastAsia="宋体"/>
          <w:color w:val="auto"/>
          <w:kern w:val="2"/>
          <w:sz w:val="32"/>
          <w:szCs w:val="24"/>
          <w:u w:val="single"/>
          <w:lang w:eastAsia="zh-CN"/>
        </w:rPr>
        <w:t>355.54</w:t>
      </w:r>
      <w:r>
        <w:rPr>
          <w:rFonts w:hint="eastAsia" w:ascii="仿宋_GB2312" w:hAnsi="仿宋_GB2312" w:eastAsia="仿宋_GB2312"/>
          <w:color w:val="auto"/>
          <w:kern w:val="2"/>
          <w:sz w:val="32"/>
          <w:szCs w:val="24"/>
        </w:rPr>
        <w:t>万元，增长</w:t>
      </w:r>
      <w:r>
        <w:rPr>
          <w:rFonts w:hint="eastAsia" w:ascii="Times New Roman" w:hAnsi="Times New Roman" w:eastAsia="宋体"/>
          <w:color w:val="auto"/>
          <w:kern w:val="2"/>
          <w:sz w:val="32"/>
          <w:szCs w:val="24"/>
          <w:u w:val="single"/>
          <w:lang w:eastAsia="zh-CN"/>
        </w:rPr>
        <w:t>22.62</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本年发生</w:t>
      </w:r>
      <w:r>
        <w:rPr>
          <w:rFonts w:hint="eastAsia" w:ascii="仿宋_GB2312" w:hAnsi="仿宋_GB2312" w:eastAsia="仿宋_GB2312"/>
          <w:color w:val="auto"/>
          <w:kern w:val="2"/>
          <w:sz w:val="32"/>
          <w:szCs w:val="24"/>
        </w:rPr>
        <w:t>财政拨款收入、支出</w:t>
      </w:r>
      <w:r>
        <w:rPr>
          <w:rFonts w:hint="eastAsia" w:ascii="仿宋_GB2312" w:hAnsi="仿宋_GB2312" w:eastAsia="仿宋_GB2312"/>
          <w:color w:val="auto"/>
          <w:kern w:val="2"/>
          <w:sz w:val="32"/>
          <w:szCs w:val="24"/>
          <w:lang w:val="en-US" w:eastAsia="zh-CN"/>
        </w:rPr>
        <w:t>追加</w:t>
      </w:r>
      <w:r>
        <w:rPr>
          <w:rFonts w:hint="eastAsia" w:ascii="仿宋_GB2312" w:hAnsi="仿宋_GB2312" w:eastAsia="仿宋_GB2312"/>
          <w:color w:val="auto"/>
          <w:kern w:val="2"/>
          <w:sz w:val="32"/>
          <w:szCs w:val="24"/>
        </w:rPr>
        <w:t>；与上年决算相比，收、支总计各减少</w:t>
      </w:r>
      <w:r>
        <w:rPr>
          <w:rFonts w:hint="eastAsia" w:ascii="Times New Roman" w:hAnsi="Times New Roman" w:eastAsia="宋体"/>
          <w:color w:val="auto"/>
          <w:kern w:val="2"/>
          <w:sz w:val="32"/>
          <w:szCs w:val="24"/>
          <w:u w:val="single"/>
          <w:lang w:eastAsia="zh-CN"/>
        </w:rPr>
        <w:t>224.61</w:t>
      </w:r>
      <w:r>
        <w:rPr>
          <w:rFonts w:hint="eastAsia" w:ascii="仿宋_GB2312" w:hAnsi="仿宋_GB2312" w:eastAsia="仿宋_GB2312"/>
          <w:color w:val="auto"/>
          <w:kern w:val="2"/>
          <w:sz w:val="32"/>
          <w:szCs w:val="24"/>
        </w:rPr>
        <w:t>万元，减少</w:t>
      </w:r>
      <w:r>
        <w:rPr>
          <w:rFonts w:hint="eastAsia" w:ascii="Times New Roman" w:hAnsi="Times New Roman" w:eastAsia="宋体"/>
          <w:color w:val="auto"/>
          <w:kern w:val="2"/>
          <w:sz w:val="32"/>
          <w:szCs w:val="24"/>
          <w:u w:val="single"/>
          <w:lang w:eastAsia="zh-CN"/>
        </w:rPr>
        <w:t>14.29</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本年项目支出较上年减少</w:t>
      </w:r>
      <w:r>
        <w:rPr>
          <w:rFonts w:hint="eastAsia" w:ascii="仿宋_GB2312" w:hAnsi="仿宋_GB2312" w:eastAsia="仿宋_GB2312"/>
          <w:color w:val="auto"/>
          <w:kern w:val="2"/>
          <w:sz w:val="32"/>
          <w:szCs w:val="24"/>
        </w:rPr>
        <w:t>。</w:t>
      </w:r>
    </w:p>
    <w:p>
      <w:pPr>
        <w:spacing w:line="600" w:lineRule="exact"/>
        <w:ind w:firstLine="643"/>
        <w:jc w:val="both"/>
        <w:rPr>
          <w:rFonts w:hint="eastAsia" w:ascii="黑体" w:hAnsi="黑体" w:eastAsia="黑体"/>
          <w:b/>
          <w:color w:val="auto"/>
          <w:kern w:val="2"/>
          <w:sz w:val="32"/>
          <w:szCs w:val="24"/>
        </w:rPr>
      </w:pPr>
    </w:p>
    <w:p>
      <w:pPr>
        <w:spacing w:line="600" w:lineRule="exact"/>
        <w:ind w:firstLine="643"/>
        <w:jc w:val="both"/>
        <w:rPr>
          <w:rFonts w:hint="eastAsia" w:ascii="黑体" w:hAnsi="黑体" w:eastAsia="黑体"/>
          <w:b/>
          <w:color w:val="auto"/>
          <w:kern w:val="2"/>
          <w:sz w:val="32"/>
          <w:szCs w:val="24"/>
        </w:rPr>
      </w:pPr>
    </w:p>
    <w:p>
      <w:pPr>
        <w:spacing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五、一般公共预算支出决算情况说明</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人民政府2022年度一般公共预算财政拨款支出决算</w:t>
      </w:r>
      <w:r>
        <w:rPr>
          <w:rFonts w:hint="eastAsia" w:ascii="Times New Roman" w:hAnsi="Times New Roman" w:eastAsia="宋体"/>
          <w:color w:val="auto"/>
          <w:kern w:val="2"/>
          <w:sz w:val="32"/>
          <w:szCs w:val="24"/>
          <w:u w:val="single"/>
          <w:lang w:eastAsia="zh-CN"/>
        </w:rPr>
        <w:t>1,572.04</w:t>
      </w:r>
      <w:r>
        <w:rPr>
          <w:rFonts w:hint="eastAsia" w:ascii="仿宋_GB2312" w:hAnsi="仿宋_GB2312" w:eastAsia="仿宋_GB2312"/>
          <w:color w:val="auto"/>
          <w:kern w:val="2"/>
          <w:sz w:val="32"/>
          <w:szCs w:val="24"/>
        </w:rPr>
        <w:t>万元。与年初预算</w:t>
      </w:r>
      <w:r>
        <w:rPr>
          <w:rFonts w:hint="eastAsia" w:ascii="Times New Roman" w:hAnsi="Times New Roman" w:eastAsia="宋体"/>
          <w:color w:val="auto"/>
          <w:kern w:val="2"/>
          <w:sz w:val="32"/>
          <w:szCs w:val="24"/>
          <w:u w:val="single"/>
          <w:lang w:eastAsia="zh-CN"/>
        </w:rPr>
        <w:t>1216.5</w:t>
      </w:r>
      <w:r>
        <w:rPr>
          <w:rFonts w:hint="eastAsia" w:ascii="仿宋_GB2312" w:hAnsi="仿宋_GB2312" w:eastAsia="仿宋_GB2312"/>
          <w:color w:val="auto"/>
          <w:kern w:val="2"/>
          <w:sz w:val="32"/>
          <w:szCs w:val="24"/>
        </w:rPr>
        <w:t>万元相比，完成年初预算的</w:t>
      </w:r>
      <w:r>
        <w:rPr>
          <w:rFonts w:hint="default" w:ascii="Times New Roman" w:hAnsi="Times New Roman" w:eastAsia="Times New Roman"/>
          <w:color w:val="auto"/>
          <w:kern w:val="2"/>
          <w:sz w:val="32"/>
          <w:szCs w:val="24"/>
          <w:u w:val="single"/>
        </w:rPr>
        <w:t>129.23</w:t>
      </w:r>
      <w:r>
        <w:rPr>
          <w:rFonts w:hint="eastAsia" w:ascii="仿宋_GB2312" w:hAnsi="仿宋_GB2312" w:eastAsia="仿宋_GB2312"/>
          <w:color w:val="auto"/>
          <w:kern w:val="2"/>
          <w:sz w:val="32"/>
          <w:szCs w:val="24"/>
        </w:rPr>
        <w:t>%。其中：</w:t>
      </w:r>
    </w:p>
    <w:p>
      <w:pPr>
        <w:tabs>
          <w:tab w:val="left" w:pos="4275"/>
        </w:tabs>
        <w:spacing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（一）一般公共服务（类）</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一般公共服务类决算数为</w:t>
      </w:r>
      <w:r>
        <w:rPr>
          <w:rFonts w:hint="eastAsia" w:ascii="Times New Roman" w:hAnsi="Times New Roman" w:eastAsia="宋体"/>
          <w:color w:val="auto"/>
          <w:kern w:val="2"/>
          <w:sz w:val="32"/>
          <w:szCs w:val="24"/>
          <w:u w:val="single"/>
          <w:lang w:eastAsia="zh-CN"/>
        </w:rPr>
        <w:t>714.95</w:t>
      </w:r>
      <w:r>
        <w:rPr>
          <w:rFonts w:hint="eastAsia" w:ascii="仿宋_GB2312" w:hAnsi="仿宋_GB2312" w:eastAsia="仿宋_GB2312"/>
          <w:color w:val="auto"/>
          <w:kern w:val="2"/>
          <w:sz w:val="32"/>
          <w:szCs w:val="24"/>
        </w:rPr>
        <w:t>万元，与年初预算相比增加</w:t>
      </w:r>
      <w:r>
        <w:rPr>
          <w:rFonts w:hint="default" w:ascii="Times New Roman" w:hAnsi="Times New Roman" w:eastAsia="Times New Roman"/>
          <w:color w:val="auto"/>
          <w:kern w:val="2"/>
          <w:sz w:val="32"/>
          <w:szCs w:val="24"/>
          <w:u w:val="single"/>
        </w:rPr>
        <w:t>222.66</w:t>
      </w:r>
      <w:r>
        <w:rPr>
          <w:rFonts w:hint="eastAsia" w:ascii="仿宋_GB2312" w:hAnsi="仿宋_GB2312" w:eastAsia="仿宋_GB2312"/>
          <w:color w:val="auto"/>
          <w:kern w:val="2"/>
          <w:sz w:val="32"/>
          <w:szCs w:val="24"/>
        </w:rPr>
        <w:t>万元。其中：</w:t>
      </w:r>
    </w:p>
    <w:p>
      <w:pPr>
        <w:numPr>
          <w:ilvl w:val="0"/>
          <w:numId w:val="3"/>
        </w:numPr>
        <w:spacing w:line="560" w:lineRule="exact"/>
        <w:ind w:firstLine="64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人大事务（款）行政运行（项）。年初预算</w:t>
      </w:r>
      <w:r>
        <w:rPr>
          <w:rFonts w:hint="eastAsia" w:ascii="Times New Roman" w:hAnsi="Times New Roman" w:eastAsia="宋体"/>
          <w:color w:val="auto"/>
          <w:kern w:val="2"/>
          <w:sz w:val="32"/>
          <w:szCs w:val="24"/>
          <w:u w:val="single"/>
          <w:lang w:val="en-US" w:eastAsia="zh-CN"/>
        </w:rPr>
        <w:t>5</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5</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100</w:t>
      </w:r>
      <w:r>
        <w:rPr>
          <w:rFonts w:hint="eastAsia" w:ascii="仿宋_GB2312" w:hAnsi="仿宋_GB2312" w:eastAsia="仿宋_GB2312"/>
          <w:color w:val="auto"/>
          <w:kern w:val="2"/>
          <w:sz w:val="32"/>
          <w:szCs w:val="24"/>
        </w:rPr>
        <w:t>%。</w:t>
      </w:r>
    </w:p>
    <w:p>
      <w:pPr>
        <w:numPr>
          <w:ilvl w:val="0"/>
          <w:numId w:val="3"/>
        </w:num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政府办公厅（室）及相关机构事务（款）行政运行（项）。年初预算</w:t>
      </w:r>
      <w:r>
        <w:rPr>
          <w:rFonts w:hint="eastAsia" w:ascii="Times New Roman" w:hAnsi="Times New Roman" w:eastAsia="宋体"/>
          <w:color w:val="auto"/>
          <w:kern w:val="2"/>
          <w:sz w:val="32"/>
          <w:szCs w:val="24"/>
          <w:u w:val="single"/>
          <w:lang w:val="en-US" w:eastAsia="zh-CN"/>
        </w:rPr>
        <w:t>376.52</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581.84</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154.53</w:t>
      </w:r>
      <w:r>
        <w:rPr>
          <w:rFonts w:hint="eastAsia" w:ascii="仿宋_GB2312" w:hAnsi="仿宋_GB2312" w:eastAsia="仿宋_GB2312"/>
          <w:color w:val="auto"/>
          <w:kern w:val="2"/>
          <w:sz w:val="32"/>
          <w:szCs w:val="24"/>
        </w:rPr>
        <w:t>%。决算数与年初预算数的差异原因：政府办公厅（室）及相关机构事务行政运行</w:t>
      </w:r>
      <w:r>
        <w:rPr>
          <w:rFonts w:hint="eastAsia" w:ascii="仿宋_GB2312" w:hAnsi="仿宋_GB2312" w:eastAsia="仿宋_GB2312"/>
          <w:color w:val="auto"/>
          <w:kern w:val="2"/>
          <w:sz w:val="32"/>
          <w:szCs w:val="24"/>
          <w:lang w:val="en-US" w:eastAsia="zh-CN"/>
        </w:rPr>
        <w:t>基本支出较预算增加。</w:t>
      </w:r>
    </w:p>
    <w:p>
      <w:pPr>
        <w:numPr>
          <w:ilvl w:val="0"/>
          <w:numId w:val="3"/>
        </w:num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政府办公厅（室）及相关机构事务（款）机关服务（项）。年初预算</w:t>
      </w:r>
      <w:r>
        <w:rPr>
          <w:rFonts w:hint="eastAsia" w:ascii="Times New Roman" w:hAnsi="Times New Roman" w:eastAsia="宋体"/>
          <w:color w:val="auto"/>
          <w:kern w:val="2"/>
          <w:sz w:val="32"/>
          <w:szCs w:val="24"/>
          <w:u w:val="single"/>
          <w:lang w:val="en-US" w:eastAsia="zh-CN"/>
        </w:rPr>
        <w:t>37.17</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41.63</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112</w:t>
      </w:r>
      <w:r>
        <w:rPr>
          <w:rFonts w:hint="eastAsia" w:ascii="仿宋_GB2312" w:hAnsi="仿宋_GB2312" w:eastAsia="仿宋_GB2312"/>
          <w:color w:val="auto"/>
          <w:kern w:val="2"/>
          <w:sz w:val="32"/>
          <w:szCs w:val="24"/>
        </w:rPr>
        <w:t>%。决算数与年初预算数的差异原因：政府办公厅（室）及相关机构事务机关服务</w:t>
      </w:r>
      <w:r>
        <w:rPr>
          <w:rFonts w:hint="eastAsia" w:ascii="仿宋_GB2312" w:hAnsi="仿宋_GB2312" w:eastAsia="仿宋_GB2312"/>
          <w:color w:val="auto"/>
          <w:kern w:val="2"/>
          <w:sz w:val="32"/>
          <w:szCs w:val="24"/>
          <w:lang w:val="en-US" w:eastAsia="zh-CN"/>
        </w:rPr>
        <w:t>支出较预算增加。</w:t>
      </w:r>
    </w:p>
    <w:p>
      <w:pPr>
        <w:numPr>
          <w:ilvl w:val="0"/>
          <w:numId w:val="3"/>
        </w:num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党委办公厅（室）及相关机构事务（款）机关服务（项）。年初预算</w:t>
      </w:r>
      <w:r>
        <w:rPr>
          <w:rFonts w:hint="eastAsia" w:ascii="Times New Roman" w:hAnsi="Times New Roman" w:eastAsia="宋体"/>
          <w:color w:val="auto"/>
          <w:kern w:val="2"/>
          <w:sz w:val="32"/>
          <w:szCs w:val="24"/>
          <w:u w:val="single"/>
          <w:lang w:val="en-US" w:eastAsia="zh-CN"/>
        </w:rPr>
        <w:t>73.59</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86.48</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117.52</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olor w:val="auto"/>
          <w:kern w:val="2"/>
          <w:sz w:val="32"/>
          <w:szCs w:val="24"/>
          <w:lang w:val="en-US" w:eastAsia="zh-CN"/>
        </w:rPr>
        <w:t>工资调整，基本支出增加。</w:t>
      </w:r>
    </w:p>
    <w:p>
      <w:pPr>
        <w:tabs>
          <w:tab w:val="left" w:pos="4275"/>
        </w:tabs>
        <w:spacing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（二）文化旅游体育与传媒支出（类）</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文化旅游体育与传媒支出类决算数为</w:t>
      </w:r>
      <w:r>
        <w:rPr>
          <w:rFonts w:hint="eastAsia" w:ascii="Times New Roman" w:hAnsi="Times New Roman" w:eastAsia="宋体"/>
          <w:color w:val="auto"/>
          <w:kern w:val="2"/>
          <w:sz w:val="32"/>
          <w:szCs w:val="24"/>
          <w:u w:val="single"/>
          <w:lang w:val="en-US" w:eastAsia="zh-CN"/>
        </w:rPr>
        <w:t>3.07</w:t>
      </w:r>
      <w:r>
        <w:rPr>
          <w:rFonts w:hint="eastAsia" w:ascii="仿宋_GB2312" w:hAnsi="仿宋_GB2312" w:eastAsia="仿宋_GB2312"/>
          <w:color w:val="auto"/>
          <w:kern w:val="2"/>
          <w:sz w:val="32"/>
          <w:szCs w:val="24"/>
        </w:rPr>
        <w:t>万元，与年初预算相比</w:t>
      </w:r>
      <w:r>
        <w:rPr>
          <w:rFonts w:hint="eastAsia" w:ascii="仿宋_GB2312" w:hAnsi="仿宋_GB2312" w:eastAsia="仿宋_GB2312"/>
          <w:color w:val="auto"/>
          <w:kern w:val="2"/>
          <w:sz w:val="32"/>
          <w:szCs w:val="24"/>
          <w:lang w:eastAsia="zh-CN"/>
        </w:rPr>
        <w:t>减少</w:t>
      </w:r>
      <w:r>
        <w:rPr>
          <w:rFonts w:hint="eastAsia" w:ascii="Times New Roman" w:hAnsi="Times New Roman" w:eastAsia="宋体"/>
          <w:color w:val="auto"/>
          <w:kern w:val="2"/>
          <w:sz w:val="32"/>
          <w:szCs w:val="24"/>
          <w:u w:val="single"/>
          <w:lang w:val="en-US" w:eastAsia="zh-CN"/>
        </w:rPr>
        <w:t>1.43</w:t>
      </w:r>
      <w:r>
        <w:rPr>
          <w:rFonts w:hint="eastAsia" w:ascii="仿宋_GB2312" w:hAnsi="仿宋_GB2312" w:eastAsia="仿宋_GB2312"/>
          <w:color w:val="auto"/>
          <w:kern w:val="2"/>
          <w:sz w:val="32"/>
          <w:szCs w:val="24"/>
        </w:rPr>
        <w:t>万元。其中：</w:t>
      </w:r>
    </w:p>
    <w:p>
      <w:pPr>
        <w:numPr>
          <w:ilvl w:val="0"/>
          <w:numId w:val="3"/>
        </w:numPr>
        <w:spacing w:line="560" w:lineRule="exact"/>
        <w:ind w:firstLine="64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文化旅游（款）其他文化和旅游支出（项）。年初预算</w:t>
      </w:r>
      <w:r>
        <w:rPr>
          <w:rFonts w:hint="eastAsia" w:ascii="Times New Roman" w:hAnsi="Times New Roman" w:eastAsia="宋体"/>
          <w:color w:val="auto"/>
          <w:kern w:val="2"/>
          <w:sz w:val="32"/>
          <w:szCs w:val="24"/>
          <w:u w:val="single"/>
          <w:lang w:val="en-US" w:eastAsia="zh-CN"/>
        </w:rPr>
        <w:t>4.5</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3.07</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68.22</w:t>
      </w:r>
      <w:r>
        <w:rPr>
          <w:rFonts w:hint="eastAsia" w:ascii="仿宋_GB2312" w:hAnsi="仿宋_GB2312" w:eastAsia="仿宋_GB2312"/>
          <w:color w:val="auto"/>
          <w:kern w:val="2"/>
          <w:sz w:val="32"/>
          <w:szCs w:val="24"/>
        </w:rPr>
        <w:t>%</w:t>
      </w:r>
      <w:r>
        <w:rPr>
          <w:rFonts w:hint="eastAsia" w:ascii="仿宋_GB2312" w:hAnsi="仿宋_GB2312" w:eastAsia="仿宋_GB2312"/>
          <w:color w:val="auto"/>
          <w:kern w:val="2"/>
          <w:sz w:val="32"/>
          <w:szCs w:val="24"/>
          <w:lang w:eastAsia="zh-CN"/>
        </w:rPr>
        <w:t>，</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olor w:val="auto"/>
          <w:kern w:val="2"/>
          <w:sz w:val="32"/>
          <w:szCs w:val="24"/>
          <w:lang w:val="en-US" w:eastAsia="zh-CN"/>
        </w:rPr>
        <w:t>下年度支出。</w:t>
      </w:r>
    </w:p>
    <w:p>
      <w:pPr>
        <w:tabs>
          <w:tab w:val="left" w:pos="4275"/>
        </w:tabs>
        <w:spacing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（三）社会保障和就业支出（类）</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社会保障和就业支出类决算数为</w:t>
      </w:r>
      <w:r>
        <w:rPr>
          <w:rFonts w:hint="eastAsia" w:ascii="Times New Roman" w:hAnsi="Times New Roman" w:eastAsia="宋体"/>
          <w:color w:val="auto"/>
          <w:kern w:val="2"/>
          <w:sz w:val="32"/>
          <w:szCs w:val="24"/>
          <w:u w:val="single"/>
          <w:lang w:eastAsia="zh-CN"/>
        </w:rPr>
        <w:t>123.26</w:t>
      </w:r>
      <w:r>
        <w:rPr>
          <w:rFonts w:hint="eastAsia" w:ascii="仿宋_GB2312" w:hAnsi="仿宋_GB2312" w:eastAsia="仿宋_GB2312"/>
          <w:color w:val="auto"/>
          <w:kern w:val="2"/>
          <w:sz w:val="32"/>
          <w:szCs w:val="24"/>
        </w:rPr>
        <w:t>万元，与年初预算相比增加</w:t>
      </w:r>
      <w:r>
        <w:rPr>
          <w:rFonts w:hint="default" w:ascii="Times New Roman" w:hAnsi="Times New Roman" w:eastAsia="Times New Roman"/>
          <w:color w:val="auto"/>
          <w:kern w:val="2"/>
          <w:sz w:val="32"/>
          <w:szCs w:val="24"/>
          <w:u w:val="single"/>
        </w:rPr>
        <w:t>29.12</w:t>
      </w:r>
      <w:r>
        <w:rPr>
          <w:rFonts w:hint="eastAsia" w:ascii="仿宋_GB2312" w:hAnsi="仿宋_GB2312" w:eastAsia="仿宋_GB2312"/>
          <w:color w:val="auto"/>
          <w:kern w:val="2"/>
          <w:sz w:val="32"/>
          <w:szCs w:val="24"/>
        </w:rPr>
        <w:t>万元。其中：</w:t>
      </w:r>
    </w:p>
    <w:p>
      <w:pPr>
        <w:spacing w:line="560" w:lineRule="exact"/>
        <w:ind w:firstLine="640"/>
        <w:jc w:val="both"/>
        <w:rPr>
          <w:rFonts w:hint="eastAsia" w:ascii="仿宋_GB2312" w:hAnsi="仿宋_GB2312" w:eastAsia="仿宋_GB2312"/>
          <w:color w:val="auto"/>
          <w:kern w:val="2"/>
          <w:sz w:val="32"/>
          <w:szCs w:val="24"/>
        </w:rPr>
      </w:pP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．行政事业单位养老支出（款）行政单位离退休（项）。年初预算</w:t>
      </w:r>
      <w:r>
        <w:rPr>
          <w:rFonts w:hint="eastAsia" w:ascii="Times New Roman" w:hAnsi="Times New Roman" w:eastAsia="宋体"/>
          <w:color w:val="auto"/>
          <w:kern w:val="2"/>
          <w:sz w:val="32"/>
          <w:szCs w:val="24"/>
          <w:u w:val="single"/>
          <w:lang w:val="en-US" w:eastAsia="zh-CN"/>
        </w:rPr>
        <w:t>8.58</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26.5</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298.86</w:t>
      </w:r>
      <w:r>
        <w:rPr>
          <w:rFonts w:hint="eastAsia" w:ascii="仿宋_GB2312" w:hAnsi="仿宋_GB2312" w:eastAsia="仿宋_GB2312"/>
          <w:color w:val="auto"/>
          <w:kern w:val="2"/>
          <w:sz w:val="32"/>
          <w:szCs w:val="24"/>
        </w:rPr>
        <w:t>%。决算数与年初预算数的差异原因：行政单位离退休</w:t>
      </w:r>
      <w:r>
        <w:rPr>
          <w:rFonts w:hint="eastAsia" w:ascii="仿宋_GB2312" w:hAnsi="仿宋_GB2312" w:eastAsia="仿宋_GB2312"/>
          <w:color w:val="auto"/>
          <w:kern w:val="2"/>
          <w:sz w:val="32"/>
          <w:szCs w:val="24"/>
          <w:lang w:val="en-US" w:eastAsia="zh-CN"/>
        </w:rPr>
        <w:t>工资调整</w:t>
      </w:r>
      <w:r>
        <w:rPr>
          <w:rFonts w:hint="eastAsia" w:ascii="仿宋_GB2312" w:hAnsi="仿宋_GB2312" w:eastAsia="仿宋_GB2312"/>
          <w:color w:val="auto"/>
          <w:kern w:val="2"/>
          <w:sz w:val="32"/>
          <w:szCs w:val="24"/>
        </w:rPr>
        <w:t>。</w:t>
      </w:r>
    </w:p>
    <w:p>
      <w:pPr>
        <w:spacing w:line="560" w:lineRule="exact"/>
        <w:ind w:firstLine="640"/>
        <w:jc w:val="both"/>
        <w:rPr>
          <w:rFonts w:hint="eastAsia" w:ascii="仿宋_GB2312" w:hAnsi="仿宋_GB2312" w:eastAsia="仿宋_GB2312"/>
          <w:color w:val="auto"/>
          <w:kern w:val="2"/>
          <w:sz w:val="32"/>
          <w:szCs w:val="24"/>
        </w:rPr>
      </w:pP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．行政事业单位养老支出（款）事业单位离退休（项）。年初预算</w:t>
      </w:r>
      <w:r>
        <w:rPr>
          <w:rFonts w:hint="eastAsia" w:ascii="Times New Roman" w:hAnsi="Times New Roman" w:eastAsia="宋体"/>
          <w:color w:val="auto"/>
          <w:kern w:val="2"/>
          <w:sz w:val="32"/>
          <w:szCs w:val="24"/>
          <w:u w:val="single"/>
          <w:lang w:val="en-US" w:eastAsia="zh-CN"/>
        </w:rPr>
        <w:t>12.967</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2.36</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17.52</w:t>
      </w:r>
      <w:r>
        <w:rPr>
          <w:rFonts w:hint="eastAsia" w:ascii="仿宋_GB2312" w:hAnsi="仿宋_GB2312" w:eastAsia="仿宋_GB2312"/>
          <w:color w:val="auto"/>
          <w:kern w:val="2"/>
          <w:sz w:val="32"/>
          <w:szCs w:val="24"/>
        </w:rPr>
        <w:t>%。决算数与年初预算数的差异原因：事业单位离退休</w:t>
      </w:r>
      <w:r>
        <w:rPr>
          <w:rFonts w:hint="eastAsia" w:ascii="仿宋_GB2312" w:hAnsi="仿宋_GB2312" w:eastAsia="仿宋_GB2312"/>
          <w:color w:val="auto"/>
          <w:kern w:val="2"/>
          <w:sz w:val="32"/>
          <w:szCs w:val="24"/>
          <w:lang w:eastAsia="zh-CN"/>
        </w:rPr>
        <w:t>人员</w:t>
      </w:r>
      <w:r>
        <w:rPr>
          <w:rFonts w:hint="eastAsia" w:ascii="仿宋_GB2312" w:hAnsi="仿宋_GB2312" w:eastAsia="仿宋_GB2312"/>
          <w:color w:val="auto"/>
          <w:kern w:val="2"/>
          <w:sz w:val="32"/>
          <w:szCs w:val="24"/>
          <w:lang w:val="en-US" w:eastAsia="zh-CN"/>
        </w:rPr>
        <w:t>工资调整</w:t>
      </w:r>
      <w:r>
        <w:rPr>
          <w:rFonts w:hint="eastAsia" w:ascii="仿宋_GB2312" w:hAnsi="仿宋_GB2312" w:eastAsia="仿宋_GB2312"/>
          <w:color w:val="auto"/>
          <w:kern w:val="2"/>
          <w:sz w:val="32"/>
          <w:szCs w:val="24"/>
        </w:rPr>
        <w:t>。</w:t>
      </w:r>
    </w:p>
    <w:p>
      <w:pPr>
        <w:spacing w:line="560" w:lineRule="exact"/>
        <w:ind w:firstLine="640"/>
        <w:jc w:val="both"/>
        <w:rPr>
          <w:rFonts w:hint="eastAsia" w:ascii="仿宋_GB2312" w:hAnsi="仿宋_GB2312" w:eastAsia="仿宋_GB2312"/>
          <w:color w:val="auto"/>
          <w:kern w:val="2"/>
          <w:sz w:val="32"/>
          <w:szCs w:val="24"/>
        </w:rPr>
      </w:pPr>
      <w:r>
        <w:rPr>
          <w:rFonts w:hint="default" w:ascii="Times New Roman" w:hAnsi="Times New Roman" w:eastAsia="Times New Roman"/>
          <w:color w:val="auto"/>
          <w:kern w:val="2"/>
          <w:sz w:val="32"/>
          <w:szCs w:val="24"/>
        </w:rPr>
        <w:t>3</w:t>
      </w:r>
      <w:r>
        <w:rPr>
          <w:rFonts w:hint="eastAsia" w:ascii="仿宋_GB2312" w:hAnsi="仿宋_GB2312" w:eastAsia="仿宋_GB2312"/>
          <w:color w:val="auto"/>
          <w:kern w:val="2"/>
          <w:sz w:val="32"/>
          <w:szCs w:val="24"/>
        </w:rPr>
        <w:t>．行政事业单位养老支出（款）机关事业单位基本养老保险缴费支出（项）。年初预算</w:t>
      </w:r>
      <w:r>
        <w:rPr>
          <w:rFonts w:hint="eastAsia" w:ascii="Times New Roman" w:hAnsi="Times New Roman" w:eastAsia="宋体"/>
          <w:color w:val="auto"/>
          <w:kern w:val="2"/>
          <w:sz w:val="32"/>
          <w:szCs w:val="24"/>
          <w:u w:val="single"/>
          <w:lang w:val="en-US" w:eastAsia="zh-CN"/>
        </w:rPr>
        <w:t>72.09</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82.33</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114.2</w:t>
      </w:r>
      <w:r>
        <w:rPr>
          <w:rFonts w:hint="eastAsia" w:ascii="仿宋_GB2312" w:hAnsi="仿宋_GB2312" w:eastAsia="仿宋_GB2312"/>
          <w:color w:val="auto"/>
          <w:kern w:val="2"/>
          <w:sz w:val="32"/>
          <w:szCs w:val="24"/>
        </w:rPr>
        <w:t>%。决算数与年初预算数的差异原因：机关事业单位基本养老保险缴费</w:t>
      </w:r>
      <w:r>
        <w:rPr>
          <w:rFonts w:hint="eastAsia" w:ascii="仿宋_GB2312" w:hAnsi="仿宋_GB2312" w:eastAsia="仿宋_GB2312"/>
          <w:color w:val="auto"/>
          <w:kern w:val="2"/>
          <w:sz w:val="32"/>
          <w:szCs w:val="24"/>
          <w:lang w:val="en-US" w:eastAsia="zh-CN"/>
        </w:rPr>
        <w:t>基数调整</w:t>
      </w:r>
      <w:r>
        <w:rPr>
          <w:rFonts w:hint="eastAsia" w:ascii="仿宋_GB2312" w:hAnsi="仿宋_GB2312" w:eastAsia="仿宋_GB2312"/>
          <w:color w:val="auto"/>
          <w:kern w:val="2"/>
          <w:sz w:val="32"/>
          <w:szCs w:val="24"/>
        </w:rPr>
        <w:t>。</w:t>
      </w:r>
    </w:p>
    <w:p>
      <w:pPr>
        <w:spacing w:line="560" w:lineRule="exact"/>
        <w:ind w:firstLine="640"/>
        <w:jc w:val="both"/>
        <w:rPr>
          <w:rFonts w:hint="eastAsia" w:ascii="仿宋_GB2312" w:hAnsi="仿宋_GB2312" w:eastAsia="仿宋_GB2312"/>
          <w:color w:val="auto"/>
          <w:kern w:val="2"/>
          <w:sz w:val="32"/>
          <w:szCs w:val="24"/>
        </w:rPr>
      </w:pPr>
      <w:r>
        <w:rPr>
          <w:rFonts w:hint="default" w:ascii="Times New Roman" w:hAnsi="Times New Roman" w:eastAsia="Times New Roman"/>
          <w:color w:val="auto"/>
          <w:kern w:val="2"/>
          <w:sz w:val="32"/>
          <w:szCs w:val="24"/>
        </w:rPr>
        <w:t>4</w:t>
      </w:r>
      <w:r>
        <w:rPr>
          <w:rFonts w:hint="eastAsia" w:ascii="仿宋_GB2312" w:hAnsi="仿宋_GB2312" w:eastAsia="仿宋_GB2312"/>
          <w:color w:val="auto"/>
          <w:kern w:val="2"/>
          <w:sz w:val="32"/>
          <w:szCs w:val="24"/>
        </w:rPr>
        <w:t>．行政事业单位养老支出（款）机关事业单位职业年金缴费支出（项）。年初预算</w:t>
      </w:r>
      <w:r>
        <w:rPr>
          <w:rFonts w:hint="eastAsia" w:ascii="Times New Roman"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6.78</w:t>
      </w:r>
      <w:r>
        <w:rPr>
          <w:rFonts w:hint="eastAsia" w:ascii="仿宋_GB2312" w:hAnsi="仿宋_GB2312" w:eastAsia="仿宋_GB2312"/>
          <w:color w:val="auto"/>
          <w:kern w:val="2"/>
          <w:sz w:val="32"/>
          <w:szCs w:val="24"/>
        </w:rPr>
        <w:t>万元。决算数与年初预算数的差异原因：</w:t>
      </w:r>
      <w:r>
        <w:rPr>
          <w:rFonts w:hint="eastAsia" w:ascii="仿宋_GB2312" w:hAnsi="仿宋_GB2312" w:eastAsia="仿宋_GB2312"/>
          <w:color w:val="auto"/>
          <w:kern w:val="2"/>
          <w:sz w:val="32"/>
          <w:szCs w:val="24"/>
          <w:lang w:val="en-US" w:eastAsia="zh-CN"/>
        </w:rPr>
        <w:t>本年有人员退休，发生职业年金做实及补息支出</w:t>
      </w:r>
      <w:r>
        <w:rPr>
          <w:rFonts w:hint="eastAsia" w:ascii="仿宋_GB2312" w:hAnsi="仿宋_GB2312" w:eastAsia="仿宋_GB2312"/>
          <w:color w:val="auto"/>
          <w:kern w:val="2"/>
          <w:sz w:val="32"/>
          <w:szCs w:val="24"/>
        </w:rPr>
        <w:t>。</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5.</w:t>
      </w:r>
      <w:r>
        <w:rPr>
          <w:rFonts w:hint="eastAsia" w:ascii="仿宋_GB2312" w:hAnsi="仿宋_GB2312" w:eastAsia="仿宋_GB2312"/>
          <w:color w:val="auto"/>
          <w:kern w:val="2"/>
          <w:sz w:val="32"/>
          <w:szCs w:val="24"/>
        </w:rPr>
        <w:t>抚恤支出（款）死亡抚恤支出（项）。年初预算</w:t>
      </w:r>
      <w:r>
        <w:rPr>
          <w:rFonts w:hint="eastAsia" w:ascii="Times New Roman"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5.29</w:t>
      </w:r>
      <w:r>
        <w:rPr>
          <w:rFonts w:hint="eastAsia" w:ascii="仿宋_GB2312" w:hAnsi="仿宋_GB2312" w:eastAsia="仿宋_GB2312"/>
          <w:color w:val="auto"/>
          <w:kern w:val="2"/>
          <w:sz w:val="32"/>
          <w:szCs w:val="24"/>
        </w:rPr>
        <w:t>万元。决算数与年初预算数的差异原因：</w:t>
      </w:r>
      <w:r>
        <w:rPr>
          <w:rFonts w:hint="eastAsia" w:ascii="仿宋_GB2312" w:hAnsi="仿宋_GB2312" w:eastAsia="仿宋_GB2312"/>
          <w:color w:val="auto"/>
          <w:kern w:val="2"/>
          <w:sz w:val="32"/>
          <w:szCs w:val="24"/>
          <w:lang w:val="en-US" w:eastAsia="zh-CN"/>
        </w:rPr>
        <w:t>本年有死亡人员支出</w:t>
      </w:r>
      <w:r>
        <w:rPr>
          <w:rFonts w:hint="eastAsia" w:ascii="仿宋_GB2312" w:hAnsi="仿宋_GB2312" w:eastAsia="仿宋_GB2312"/>
          <w:color w:val="auto"/>
          <w:kern w:val="2"/>
          <w:sz w:val="32"/>
          <w:szCs w:val="24"/>
        </w:rPr>
        <w:t>。</w:t>
      </w:r>
    </w:p>
    <w:p>
      <w:pPr>
        <w:tabs>
          <w:tab w:val="left" w:pos="4275"/>
        </w:tabs>
        <w:spacing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（四）卫生健康支出（类）</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卫生健康支出类决算数为</w:t>
      </w:r>
      <w:r>
        <w:rPr>
          <w:rFonts w:hint="default" w:ascii="Times New Roman" w:hAnsi="Times New Roman" w:eastAsia="Times New Roman"/>
          <w:color w:val="auto"/>
          <w:kern w:val="2"/>
          <w:sz w:val="32"/>
          <w:szCs w:val="24"/>
          <w:u w:val="single"/>
        </w:rPr>
        <w:t>50.59</w:t>
      </w:r>
      <w:r>
        <w:rPr>
          <w:rFonts w:hint="eastAsia" w:ascii="仿宋_GB2312" w:hAnsi="仿宋_GB2312" w:eastAsia="仿宋_GB2312"/>
          <w:color w:val="auto"/>
          <w:kern w:val="2"/>
          <w:sz w:val="32"/>
          <w:szCs w:val="24"/>
        </w:rPr>
        <w:t>万元，与年初预算相比增加</w:t>
      </w:r>
      <w:r>
        <w:rPr>
          <w:rFonts w:hint="default" w:ascii="Times New Roman" w:hAnsi="Times New Roman" w:eastAsia="Times New Roman"/>
          <w:color w:val="auto"/>
          <w:kern w:val="2"/>
          <w:sz w:val="32"/>
          <w:szCs w:val="24"/>
          <w:u w:val="single"/>
        </w:rPr>
        <w:t>4.34</w:t>
      </w:r>
      <w:r>
        <w:rPr>
          <w:rFonts w:hint="eastAsia" w:ascii="仿宋_GB2312" w:hAnsi="仿宋_GB2312" w:eastAsia="仿宋_GB2312"/>
          <w:color w:val="auto"/>
          <w:kern w:val="2"/>
          <w:sz w:val="32"/>
          <w:szCs w:val="24"/>
        </w:rPr>
        <w:t>万元。其中：</w:t>
      </w:r>
    </w:p>
    <w:p>
      <w:pPr>
        <w:spacing w:line="560" w:lineRule="exact"/>
        <w:ind w:firstLine="640"/>
        <w:jc w:val="both"/>
        <w:rPr>
          <w:rFonts w:hint="eastAsia" w:ascii="仿宋_GB2312" w:hAnsi="仿宋_GB2312" w:eastAsia="仿宋_GB2312"/>
          <w:color w:val="auto"/>
          <w:kern w:val="2"/>
          <w:sz w:val="32"/>
          <w:szCs w:val="24"/>
        </w:rPr>
      </w:pP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．行政事业单位医疗（款）行政单位医疗（项）。年初预算</w:t>
      </w:r>
      <w:r>
        <w:rPr>
          <w:rFonts w:hint="eastAsia" w:ascii="Times New Roman" w:hAnsi="Times New Roman" w:eastAsia="宋体"/>
          <w:color w:val="auto"/>
          <w:kern w:val="2"/>
          <w:sz w:val="32"/>
          <w:szCs w:val="24"/>
          <w:u w:val="single"/>
          <w:lang w:val="en-US" w:eastAsia="zh-CN"/>
        </w:rPr>
        <w:t>27.51</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25.89</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94.11</w:t>
      </w:r>
      <w:r>
        <w:rPr>
          <w:rFonts w:hint="eastAsia" w:ascii="仿宋_GB2312" w:hAnsi="仿宋_GB2312" w:eastAsia="仿宋_GB2312"/>
          <w:color w:val="auto"/>
          <w:kern w:val="2"/>
          <w:sz w:val="32"/>
          <w:szCs w:val="24"/>
        </w:rPr>
        <w:t>%。决算数与年初预算数的差异原因：行政单位医疗</w:t>
      </w:r>
      <w:r>
        <w:rPr>
          <w:rFonts w:hint="eastAsia" w:ascii="仿宋_GB2312" w:hAnsi="仿宋_GB2312" w:eastAsia="仿宋_GB2312"/>
          <w:color w:val="auto"/>
          <w:kern w:val="2"/>
          <w:sz w:val="32"/>
          <w:szCs w:val="24"/>
          <w:lang w:val="en-US" w:eastAsia="zh-CN"/>
        </w:rPr>
        <w:t>保险缴费基数调整</w:t>
      </w:r>
      <w:r>
        <w:rPr>
          <w:rFonts w:hint="eastAsia" w:ascii="仿宋_GB2312" w:hAnsi="仿宋_GB2312" w:eastAsia="仿宋_GB2312"/>
          <w:color w:val="auto"/>
          <w:kern w:val="2"/>
          <w:sz w:val="32"/>
          <w:szCs w:val="24"/>
        </w:rPr>
        <w:t>。</w:t>
      </w:r>
    </w:p>
    <w:p>
      <w:pPr>
        <w:spacing w:line="560" w:lineRule="exact"/>
        <w:ind w:firstLine="640"/>
        <w:jc w:val="both"/>
        <w:rPr>
          <w:rFonts w:hint="eastAsia" w:ascii="仿宋_GB2312" w:hAnsi="仿宋_GB2312" w:eastAsia="仿宋_GB2312"/>
          <w:color w:val="auto"/>
          <w:kern w:val="2"/>
          <w:sz w:val="32"/>
          <w:szCs w:val="24"/>
        </w:rPr>
      </w:pP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．行政事业单位医疗（款）事业单位医疗（项）。年初预算</w:t>
      </w:r>
      <w:r>
        <w:rPr>
          <w:rFonts w:hint="eastAsia" w:ascii="Times New Roman" w:hAnsi="Times New Roman" w:eastAsia="宋体"/>
          <w:color w:val="auto"/>
          <w:kern w:val="2"/>
          <w:sz w:val="32"/>
          <w:szCs w:val="24"/>
          <w:u w:val="single"/>
          <w:lang w:val="en-US" w:eastAsia="zh-CN"/>
        </w:rPr>
        <w:t>18.74</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24.7</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138.8</w:t>
      </w:r>
      <w:r>
        <w:rPr>
          <w:rFonts w:hint="eastAsia" w:ascii="仿宋_GB2312" w:hAnsi="仿宋_GB2312" w:eastAsia="仿宋_GB2312"/>
          <w:color w:val="auto"/>
          <w:kern w:val="2"/>
          <w:sz w:val="32"/>
          <w:szCs w:val="24"/>
        </w:rPr>
        <w:t>%。决算数与年初预算数的差异原因：事业单位医疗</w:t>
      </w:r>
      <w:r>
        <w:rPr>
          <w:rFonts w:hint="eastAsia" w:ascii="仿宋_GB2312" w:hAnsi="仿宋_GB2312" w:eastAsia="仿宋_GB2312"/>
          <w:color w:val="auto"/>
          <w:kern w:val="2"/>
          <w:sz w:val="32"/>
          <w:szCs w:val="24"/>
          <w:lang w:val="en-US" w:eastAsia="zh-CN"/>
        </w:rPr>
        <w:t>保险缴费基数调整</w:t>
      </w:r>
      <w:r>
        <w:rPr>
          <w:rFonts w:hint="eastAsia" w:ascii="仿宋_GB2312" w:hAnsi="仿宋_GB2312" w:eastAsia="仿宋_GB2312"/>
          <w:color w:val="auto"/>
          <w:kern w:val="2"/>
          <w:sz w:val="32"/>
          <w:szCs w:val="24"/>
        </w:rPr>
        <w:t>。</w:t>
      </w:r>
    </w:p>
    <w:p>
      <w:pPr>
        <w:tabs>
          <w:tab w:val="left" w:pos="4275"/>
        </w:tabs>
        <w:spacing w:line="560" w:lineRule="exact"/>
        <w:ind w:firstLine="643"/>
        <w:jc w:val="both"/>
        <w:rPr>
          <w:rFonts w:hint="eastAsia" w:ascii="楷体" w:hAnsi="楷体" w:eastAsia="楷体"/>
          <w:b/>
          <w:color w:val="auto"/>
          <w:kern w:val="2"/>
          <w:sz w:val="32"/>
          <w:szCs w:val="24"/>
        </w:rPr>
      </w:pPr>
      <w:r>
        <w:rPr>
          <w:rFonts w:hint="eastAsia" w:ascii="楷体" w:hAnsi="楷体" w:eastAsia="楷体"/>
          <w:b/>
          <w:color w:val="auto"/>
          <w:kern w:val="2"/>
          <w:sz w:val="32"/>
          <w:szCs w:val="24"/>
        </w:rPr>
        <w:t>（五）城乡社区支出（类）</w:t>
      </w:r>
    </w:p>
    <w:p>
      <w:pPr>
        <w:numPr>
          <w:ilvl w:val="0"/>
          <w:numId w:val="0"/>
        </w:numPr>
        <w:spacing w:line="560" w:lineRule="exact"/>
        <w:ind w:firstLine="640" w:firstLineChars="20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rPr>
        <w:t>城乡社区管理事务（款）城管执法（项）。年初预算</w:t>
      </w:r>
      <w:r>
        <w:rPr>
          <w:rFonts w:hint="eastAsia" w:ascii="Times New Roman" w:hAnsi="Times New Roman" w:eastAsia="宋体"/>
          <w:color w:val="auto"/>
          <w:kern w:val="2"/>
          <w:sz w:val="32"/>
          <w:szCs w:val="24"/>
          <w:u w:val="single"/>
          <w:lang w:val="en-US" w:eastAsia="zh-CN"/>
        </w:rPr>
        <w:t>119.17</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129.49</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109.5</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olor w:val="auto"/>
          <w:kern w:val="2"/>
          <w:sz w:val="32"/>
          <w:szCs w:val="24"/>
          <w:lang w:val="en-US" w:eastAsia="zh-CN"/>
        </w:rPr>
        <w:t>工资调整，基本支出增加。</w:t>
      </w:r>
    </w:p>
    <w:p>
      <w:pPr>
        <w:tabs>
          <w:tab w:val="left" w:pos="4275"/>
        </w:tabs>
        <w:spacing w:line="560" w:lineRule="exact"/>
        <w:ind w:firstLine="643"/>
        <w:jc w:val="both"/>
        <w:rPr>
          <w:rFonts w:hint="eastAsia" w:ascii="楷体" w:hAnsi="楷体" w:eastAsia="楷体"/>
          <w:b/>
          <w:color w:val="auto"/>
          <w:kern w:val="2"/>
          <w:sz w:val="32"/>
          <w:szCs w:val="24"/>
          <w:lang w:val="en-US" w:eastAsia="zh-CN"/>
        </w:rPr>
      </w:pPr>
      <w:r>
        <w:rPr>
          <w:rFonts w:hint="eastAsia" w:ascii="楷体" w:hAnsi="楷体" w:eastAsia="楷体"/>
          <w:b/>
          <w:color w:val="auto"/>
          <w:kern w:val="2"/>
          <w:sz w:val="32"/>
          <w:szCs w:val="24"/>
          <w:lang w:val="en-US" w:eastAsia="zh-CN"/>
        </w:rPr>
        <w:t>（六）农林水支出</w:t>
      </w:r>
      <w:r>
        <w:rPr>
          <w:rFonts w:hint="eastAsia" w:ascii="楷体" w:hAnsi="楷体" w:eastAsia="楷体"/>
          <w:b/>
          <w:color w:val="auto"/>
          <w:kern w:val="2"/>
          <w:sz w:val="32"/>
          <w:szCs w:val="24"/>
        </w:rPr>
        <w:t>（类）</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default" w:ascii="Times New Roman" w:hAnsi="Times New Roman" w:eastAsia="Times New Roman"/>
          <w:color w:val="auto"/>
          <w:kern w:val="2"/>
          <w:sz w:val="32"/>
          <w:szCs w:val="24"/>
          <w:lang w:val="en-US" w:eastAsia="zh-CN"/>
        </w:rPr>
        <w:t>1.</w:t>
      </w:r>
      <w:r>
        <w:rPr>
          <w:rFonts w:hint="eastAsia" w:ascii="仿宋_GB2312" w:hAnsi="仿宋_GB2312" w:eastAsia="仿宋_GB2312"/>
          <w:color w:val="auto"/>
          <w:kern w:val="2"/>
          <w:sz w:val="32"/>
          <w:szCs w:val="24"/>
        </w:rPr>
        <w:t>农业农村（款）事业运行（项）。年初预算</w:t>
      </w:r>
      <w:r>
        <w:rPr>
          <w:rFonts w:hint="eastAsia" w:ascii="Times New Roman" w:hAnsi="Times New Roman" w:eastAsia="宋体"/>
          <w:color w:val="auto"/>
          <w:kern w:val="2"/>
          <w:sz w:val="32"/>
          <w:szCs w:val="24"/>
          <w:u w:val="single"/>
          <w:lang w:val="en-US" w:eastAsia="zh-CN"/>
        </w:rPr>
        <w:t>98.66</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124.47</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126.16</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olor w:val="auto"/>
          <w:kern w:val="2"/>
          <w:sz w:val="32"/>
          <w:szCs w:val="24"/>
          <w:lang w:val="en-US" w:eastAsia="zh-CN"/>
        </w:rPr>
        <w:t>工资调整，基本支出增加。</w:t>
      </w:r>
    </w:p>
    <w:p>
      <w:pPr>
        <w:spacing w:line="560" w:lineRule="exact"/>
        <w:ind w:firstLine="640"/>
        <w:jc w:val="both"/>
        <w:rPr>
          <w:rFonts w:hint="eastAsia" w:ascii="仿宋_GB2312" w:hAnsi="仿宋_GB2312" w:eastAsia="仿宋_GB2312"/>
          <w:color w:val="auto"/>
          <w:kern w:val="2"/>
          <w:sz w:val="32"/>
          <w:szCs w:val="24"/>
        </w:rPr>
      </w:pPr>
      <w:r>
        <w:rPr>
          <w:rFonts w:hint="default" w:ascii="Times New Roman" w:hAnsi="Times New Roman" w:eastAsia="Times New Roman"/>
          <w:color w:val="auto"/>
          <w:kern w:val="2"/>
          <w:sz w:val="32"/>
          <w:szCs w:val="24"/>
          <w:lang w:val="en-US" w:eastAsia="zh-CN"/>
        </w:rPr>
        <w:t>2.</w:t>
      </w:r>
      <w:r>
        <w:rPr>
          <w:rFonts w:hint="eastAsia" w:ascii="仿宋_GB2312" w:hAnsi="仿宋_GB2312" w:eastAsia="仿宋_GB2312"/>
          <w:color w:val="auto"/>
          <w:kern w:val="2"/>
          <w:sz w:val="32"/>
          <w:szCs w:val="24"/>
        </w:rPr>
        <w:t>农业农村（款）稳定农民收入补贴（项）。年初预算</w:t>
      </w:r>
      <w:r>
        <w:rPr>
          <w:rFonts w:hint="eastAsia" w:ascii="Times New Roman" w:hAnsi="Times New Roman" w:eastAsia="宋体"/>
          <w:color w:val="auto"/>
          <w:kern w:val="2"/>
          <w:sz w:val="32"/>
          <w:szCs w:val="24"/>
          <w:u w:val="single"/>
          <w:lang w:val="en-US" w:eastAsia="zh-CN"/>
        </w:rPr>
        <w:t>0.5</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0.5</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100</w:t>
      </w:r>
      <w:r>
        <w:rPr>
          <w:rFonts w:hint="eastAsia" w:ascii="仿宋_GB2312" w:hAnsi="仿宋_GB2312" w:eastAsia="仿宋_GB2312"/>
          <w:color w:val="auto"/>
          <w:kern w:val="2"/>
          <w:sz w:val="32"/>
          <w:szCs w:val="24"/>
        </w:rPr>
        <w:t>%。</w:t>
      </w:r>
    </w:p>
    <w:p>
      <w:pPr>
        <w:spacing w:line="560" w:lineRule="exact"/>
        <w:ind w:firstLine="640"/>
        <w:jc w:val="both"/>
        <w:rPr>
          <w:rFonts w:hint="eastAsia" w:ascii="仿宋_GB2312" w:hAnsi="仿宋_GB2312" w:eastAsia="仿宋_GB2312"/>
          <w:color w:val="auto"/>
          <w:kern w:val="2"/>
          <w:sz w:val="32"/>
          <w:szCs w:val="24"/>
        </w:rPr>
      </w:pPr>
      <w:r>
        <w:rPr>
          <w:rFonts w:hint="default" w:ascii="Times New Roman" w:hAnsi="Times New Roman" w:eastAsia="Times New Roman"/>
          <w:color w:val="auto"/>
          <w:kern w:val="2"/>
          <w:sz w:val="32"/>
          <w:szCs w:val="24"/>
          <w:lang w:val="en-US" w:eastAsia="zh-CN"/>
        </w:rPr>
        <w:t>3.</w:t>
      </w:r>
      <w:r>
        <w:rPr>
          <w:rFonts w:hint="eastAsia" w:ascii="仿宋_GB2312" w:hAnsi="仿宋_GB2312" w:eastAsia="仿宋_GB2312"/>
          <w:color w:val="auto"/>
          <w:kern w:val="2"/>
          <w:sz w:val="32"/>
          <w:szCs w:val="24"/>
        </w:rPr>
        <w:t>农村综合改革（款）对村民委员会和村党支部的补助（项）。年初预算</w:t>
      </w:r>
      <w:r>
        <w:rPr>
          <w:rFonts w:hint="eastAsia" w:ascii="Times New Roman" w:hAnsi="Times New Roman" w:eastAsia="宋体"/>
          <w:color w:val="auto"/>
          <w:kern w:val="2"/>
          <w:sz w:val="32"/>
          <w:szCs w:val="24"/>
          <w:u w:val="single"/>
          <w:lang w:val="en-US" w:eastAsia="zh-CN"/>
        </w:rPr>
        <w:t>213.3</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213.3</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100</w:t>
      </w:r>
      <w:r>
        <w:rPr>
          <w:rFonts w:hint="eastAsia" w:ascii="仿宋_GB2312" w:hAnsi="仿宋_GB2312" w:eastAsia="仿宋_GB2312"/>
          <w:color w:val="auto"/>
          <w:kern w:val="2"/>
          <w:sz w:val="32"/>
          <w:szCs w:val="24"/>
        </w:rPr>
        <w:t>%。</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default" w:ascii="Times New Roman" w:hAnsi="Times New Roman" w:eastAsia="Times New Roman"/>
          <w:color w:val="auto"/>
          <w:kern w:val="2"/>
          <w:sz w:val="32"/>
          <w:szCs w:val="24"/>
          <w:lang w:val="en-US" w:eastAsia="zh-CN"/>
        </w:rPr>
        <w:t>4.</w:t>
      </w:r>
      <w:r>
        <w:rPr>
          <w:rFonts w:hint="eastAsia" w:ascii="仿宋_GB2312" w:hAnsi="仿宋_GB2312" w:eastAsia="仿宋_GB2312"/>
          <w:color w:val="auto"/>
          <w:kern w:val="2"/>
          <w:sz w:val="32"/>
          <w:szCs w:val="24"/>
        </w:rPr>
        <w:t>农村综合改革（款）对村集体经济组织的补助（项）。年初预算</w:t>
      </w:r>
      <w:r>
        <w:rPr>
          <w:rFonts w:hint="eastAsia" w:ascii="Times New Roman" w:hAnsi="Times New Roman" w:eastAsia="宋体"/>
          <w:color w:val="auto"/>
          <w:kern w:val="2"/>
          <w:sz w:val="32"/>
          <w:szCs w:val="24"/>
          <w:u w:val="single"/>
          <w:lang w:val="en-US" w:eastAsia="zh-CN"/>
        </w:rPr>
        <w:t>80</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44</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50</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olor w:val="auto"/>
          <w:kern w:val="2"/>
          <w:sz w:val="32"/>
          <w:szCs w:val="24"/>
          <w:lang w:val="en-US" w:eastAsia="zh-CN"/>
        </w:rPr>
        <w:t>下年度进行拨付。</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5.</w:t>
      </w:r>
      <w:r>
        <w:rPr>
          <w:rFonts w:hint="eastAsia" w:ascii="仿宋_GB2312" w:hAnsi="仿宋_GB2312" w:eastAsia="仿宋_GB2312"/>
          <w:color w:val="auto"/>
          <w:kern w:val="2"/>
          <w:sz w:val="32"/>
          <w:szCs w:val="24"/>
        </w:rPr>
        <w:t>水利（款）农村水利（项）。年初预算</w:t>
      </w:r>
      <w:r>
        <w:rPr>
          <w:rFonts w:hint="eastAsia" w:ascii="Times New Roman"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55.87</w:t>
      </w:r>
      <w:r>
        <w:rPr>
          <w:rFonts w:hint="eastAsia" w:ascii="仿宋_GB2312" w:hAnsi="仿宋_GB2312" w:eastAsia="仿宋_GB2312"/>
          <w:color w:val="auto"/>
          <w:kern w:val="2"/>
          <w:sz w:val="32"/>
          <w:szCs w:val="24"/>
        </w:rPr>
        <w:t>万元，决算数与年初预算数的差异原因：</w:t>
      </w:r>
      <w:r>
        <w:rPr>
          <w:rFonts w:hint="eastAsia" w:ascii="仿宋_GB2312" w:hAnsi="仿宋_GB2312" w:eastAsia="仿宋_GB2312"/>
          <w:color w:val="auto"/>
          <w:kern w:val="2"/>
          <w:sz w:val="32"/>
          <w:szCs w:val="24"/>
          <w:lang w:val="en-US" w:eastAsia="zh-CN"/>
        </w:rPr>
        <w:t>阿兴灌区租地及生活补助。</w:t>
      </w:r>
    </w:p>
    <w:p>
      <w:pPr>
        <w:spacing w:line="560" w:lineRule="exact"/>
        <w:ind w:firstLine="640"/>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lang w:val="en-US" w:eastAsia="zh-CN"/>
        </w:rPr>
        <w:t>（七）</w:t>
      </w:r>
      <w:r>
        <w:rPr>
          <w:rFonts w:hint="eastAsia" w:ascii="楷体" w:hAnsi="楷体" w:eastAsia="楷体"/>
          <w:b/>
          <w:color w:val="auto"/>
          <w:kern w:val="2"/>
          <w:sz w:val="32"/>
          <w:szCs w:val="24"/>
        </w:rPr>
        <w:t>住房保障支出（类）</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住房保障支出类决算数为</w:t>
      </w:r>
      <w:r>
        <w:rPr>
          <w:rFonts w:hint="default" w:ascii="Times New Roman" w:hAnsi="Times New Roman" w:eastAsia="Times New Roman"/>
          <w:color w:val="auto"/>
          <w:kern w:val="2"/>
          <w:sz w:val="32"/>
          <w:szCs w:val="24"/>
          <w:u w:val="single"/>
        </w:rPr>
        <w:t>97.69</w:t>
      </w:r>
      <w:r>
        <w:rPr>
          <w:rFonts w:hint="eastAsia" w:ascii="仿宋_GB2312" w:hAnsi="仿宋_GB2312" w:eastAsia="仿宋_GB2312"/>
          <w:color w:val="auto"/>
          <w:kern w:val="2"/>
          <w:sz w:val="32"/>
          <w:szCs w:val="24"/>
        </w:rPr>
        <w:t>万元，与年初预算相比增加</w:t>
      </w:r>
      <w:r>
        <w:rPr>
          <w:rFonts w:hint="default" w:ascii="Times New Roman" w:hAnsi="Times New Roman" w:eastAsia="Times New Roman"/>
          <w:color w:val="auto"/>
          <w:kern w:val="2"/>
          <w:sz w:val="32"/>
          <w:szCs w:val="24"/>
          <w:u w:val="single"/>
        </w:rPr>
        <w:t>41.88</w:t>
      </w:r>
      <w:r>
        <w:rPr>
          <w:rFonts w:hint="eastAsia" w:ascii="仿宋_GB2312" w:hAnsi="仿宋_GB2312" w:eastAsia="仿宋_GB2312"/>
          <w:color w:val="auto"/>
          <w:kern w:val="2"/>
          <w:sz w:val="32"/>
          <w:szCs w:val="24"/>
        </w:rPr>
        <w:t>万元。其中：</w:t>
      </w:r>
    </w:p>
    <w:p>
      <w:pPr>
        <w:spacing w:line="560" w:lineRule="exact"/>
        <w:ind w:firstLine="64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住房改革支出（款）住房公积金（项）。年初预算</w:t>
      </w:r>
      <w:r>
        <w:rPr>
          <w:rFonts w:hint="eastAsia" w:ascii="Times New Roman" w:hAnsi="Times New Roman" w:eastAsia="宋体"/>
          <w:color w:val="auto"/>
          <w:kern w:val="2"/>
          <w:sz w:val="32"/>
          <w:szCs w:val="24"/>
          <w:u w:val="single"/>
          <w:lang w:val="en-US" w:eastAsia="zh-CN"/>
        </w:rPr>
        <w:t>55.81</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58.68</w:t>
      </w:r>
      <w:r>
        <w:rPr>
          <w:rFonts w:hint="eastAsia" w:ascii="仿宋_GB2312" w:hAnsi="仿宋_GB2312" w:eastAsia="仿宋_GB2312"/>
          <w:color w:val="auto"/>
          <w:kern w:val="2"/>
          <w:sz w:val="32"/>
          <w:szCs w:val="24"/>
        </w:rPr>
        <w:t>万元，完成年初预算的</w:t>
      </w:r>
      <w:r>
        <w:rPr>
          <w:rFonts w:hint="eastAsia" w:ascii="Times New Roman" w:hAnsi="Times New Roman" w:eastAsia="宋体"/>
          <w:color w:val="auto"/>
          <w:kern w:val="2"/>
          <w:sz w:val="32"/>
          <w:szCs w:val="24"/>
          <w:u w:val="single"/>
          <w:lang w:val="en-US" w:eastAsia="zh-CN"/>
        </w:rPr>
        <w:t>105.84</w:t>
      </w:r>
      <w:r>
        <w:rPr>
          <w:rFonts w:hint="eastAsia" w:ascii="仿宋_GB2312" w:hAnsi="仿宋_GB2312" w:eastAsia="仿宋_GB2312"/>
          <w:color w:val="auto"/>
          <w:kern w:val="2"/>
          <w:sz w:val="32"/>
          <w:szCs w:val="24"/>
        </w:rPr>
        <w:t>%。决算数与年初预算数的差异原因：</w:t>
      </w:r>
      <w:r>
        <w:rPr>
          <w:rFonts w:hint="eastAsia" w:ascii="仿宋_GB2312" w:hAnsi="仿宋_GB2312" w:eastAsia="仿宋_GB2312"/>
          <w:color w:val="auto"/>
          <w:kern w:val="2"/>
          <w:sz w:val="32"/>
          <w:szCs w:val="24"/>
          <w:lang w:val="en-US" w:eastAsia="zh-CN"/>
        </w:rPr>
        <w:t>住房公积金缴费基数调整</w:t>
      </w:r>
      <w:r>
        <w:rPr>
          <w:rFonts w:hint="eastAsia" w:ascii="仿宋_GB2312" w:hAnsi="仿宋_GB2312" w:eastAsia="仿宋_GB2312"/>
          <w:color w:val="auto"/>
          <w:kern w:val="2"/>
          <w:sz w:val="32"/>
          <w:szCs w:val="24"/>
        </w:rPr>
        <w:t>。</w:t>
      </w:r>
    </w:p>
    <w:p>
      <w:pPr>
        <w:spacing w:line="560" w:lineRule="exact"/>
        <w:ind w:firstLine="64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保障性安居工程支出支出（款）农村危房改造（项）。年初预算</w:t>
      </w:r>
      <w:r>
        <w:rPr>
          <w:rFonts w:hint="eastAsia" w:ascii="Times New Roman"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39</w:t>
      </w:r>
      <w:r>
        <w:rPr>
          <w:rFonts w:hint="eastAsia" w:ascii="仿宋_GB2312" w:hAnsi="仿宋_GB2312" w:eastAsia="仿宋_GB2312"/>
          <w:color w:val="auto"/>
          <w:kern w:val="2"/>
          <w:sz w:val="32"/>
          <w:szCs w:val="24"/>
        </w:rPr>
        <w:t>万元。决算数与年初预算数的差异原因：</w:t>
      </w:r>
      <w:r>
        <w:rPr>
          <w:rFonts w:hint="eastAsia" w:ascii="仿宋_GB2312" w:hAnsi="仿宋_GB2312" w:eastAsia="仿宋_GB2312"/>
          <w:color w:val="auto"/>
          <w:kern w:val="2"/>
          <w:sz w:val="32"/>
          <w:szCs w:val="24"/>
          <w:lang w:val="en-US" w:eastAsia="zh-CN"/>
        </w:rPr>
        <w:t>往年危房改造费用支出</w:t>
      </w:r>
      <w:r>
        <w:rPr>
          <w:rFonts w:hint="eastAsia" w:ascii="仿宋_GB2312" w:hAnsi="仿宋_GB2312" w:eastAsia="仿宋_GB2312"/>
          <w:color w:val="auto"/>
          <w:kern w:val="2"/>
          <w:sz w:val="32"/>
          <w:szCs w:val="24"/>
        </w:rPr>
        <w:t>。</w:t>
      </w:r>
    </w:p>
    <w:p>
      <w:pPr>
        <w:spacing w:line="560" w:lineRule="exact"/>
        <w:ind w:firstLine="640"/>
        <w:jc w:val="both"/>
        <w:rPr>
          <w:rFonts w:hint="eastAsia" w:ascii="楷体" w:hAnsi="楷体" w:eastAsia="楷体"/>
          <w:b/>
          <w:color w:val="auto"/>
          <w:kern w:val="2"/>
          <w:sz w:val="32"/>
          <w:szCs w:val="24"/>
          <w:lang w:val="en-US" w:eastAsia="zh-CN"/>
        </w:rPr>
      </w:pPr>
      <w:r>
        <w:rPr>
          <w:rFonts w:hint="eastAsia" w:ascii="楷体" w:hAnsi="楷体" w:eastAsia="楷体"/>
          <w:b/>
          <w:color w:val="auto"/>
          <w:kern w:val="2"/>
          <w:sz w:val="32"/>
          <w:szCs w:val="24"/>
          <w:lang w:val="en-US" w:eastAsia="zh-CN"/>
        </w:rPr>
        <w:t>（八）灾害防治及应急管理支出</w:t>
      </w:r>
      <w:r>
        <w:rPr>
          <w:rFonts w:hint="eastAsia" w:ascii="楷体" w:hAnsi="楷体" w:eastAsia="楷体"/>
          <w:b/>
          <w:color w:val="auto"/>
          <w:kern w:val="2"/>
          <w:sz w:val="32"/>
          <w:szCs w:val="24"/>
        </w:rPr>
        <w:t>（类）</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lang w:eastAsia="zh-CN"/>
        </w:rPr>
        <w:t>灾害防治及应急管理支出</w:t>
      </w:r>
      <w:r>
        <w:rPr>
          <w:rFonts w:hint="eastAsia" w:ascii="仿宋_GB2312" w:hAnsi="仿宋_GB2312" w:eastAsia="仿宋_GB2312"/>
          <w:color w:val="auto"/>
          <w:kern w:val="2"/>
          <w:sz w:val="32"/>
          <w:szCs w:val="24"/>
        </w:rPr>
        <w:t>类决算数为</w:t>
      </w:r>
      <w:r>
        <w:rPr>
          <w:rFonts w:hint="eastAsia" w:ascii="Times New Roman" w:hAnsi="Times New Roman" w:eastAsia="宋体"/>
          <w:color w:val="auto"/>
          <w:kern w:val="2"/>
          <w:sz w:val="32"/>
          <w:szCs w:val="24"/>
          <w:u w:val="single"/>
          <w:lang w:val="en-US" w:eastAsia="zh-CN"/>
        </w:rPr>
        <w:t>10</w:t>
      </w:r>
      <w:r>
        <w:rPr>
          <w:rFonts w:hint="eastAsia" w:ascii="仿宋_GB2312" w:hAnsi="仿宋_GB2312" w:eastAsia="仿宋_GB2312"/>
          <w:color w:val="auto"/>
          <w:kern w:val="2"/>
          <w:sz w:val="32"/>
          <w:szCs w:val="24"/>
        </w:rPr>
        <w:t>万元，与年初预算相比增加</w:t>
      </w:r>
      <w:r>
        <w:rPr>
          <w:rFonts w:hint="eastAsia" w:ascii="Times New Roman" w:hAnsi="Times New Roman" w:eastAsia="宋体"/>
          <w:color w:val="auto"/>
          <w:kern w:val="2"/>
          <w:sz w:val="32"/>
          <w:szCs w:val="24"/>
          <w:u w:val="single"/>
          <w:lang w:val="en-US" w:eastAsia="zh-CN"/>
        </w:rPr>
        <w:t>10</w:t>
      </w:r>
      <w:r>
        <w:rPr>
          <w:rFonts w:hint="eastAsia" w:ascii="仿宋_GB2312" w:hAnsi="仿宋_GB2312" w:eastAsia="仿宋_GB2312"/>
          <w:color w:val="auto"/>
          <w:kern w:val="2"/>
          <w:sz w:val="32"/>
          <w:szCs w:val="24"/>
        </w:rPr>
        <w:t>万元。其中：</w:t>
      </w:r>
    </w:p>
    <w:p>
      <w:pPr>
        <w:numPr>
          <w:ilvl w:val="0"/>
          <w:numId w:val="0"/>
        </w:numPr>
        <w:spacing w:line="560" w:lineRule="exact"/>
        <w:ind w:firstLine="640" w:firstLineChars="2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自然灾害救灾及恢复重建支出（款）其他自然灾害救灾及恢复重建支出（项）。年初预算</w:t>
      </w:r>
      <w:r>
        <w:rPr>
          <w:rFonts w:hint="eastAsia" w:ascii="Times New Roman"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10</w:t>
      </w:r>
      <w:r>
        <w:rPr>
          <w:rFonts w:hint="eastAsia" w:ascii="仿宋_GB2312" w:hAnsi="仿宋_GB2312" w:eastAsia="仿宋_GB2312"/>
          <w:color w:val="auto"/>
          <w:kern w:val="2"/>
          <w:sz w:val="32"/>
          <w:szCs w:val="24"/>
        </w:rPr>
        <w:t>万元。决算数与年初预算数的差异原因：</w:t>
      </w:r>
      <w:r>
        <w:rPr>
          <w:rFonts w:hint="eastAsia" w:ascii="仿宋_GB2312" w:hAnsi="仿宋_GB2312" w:eastAsia="仿宋_GB2312"/>
          <w:color w:val="auto"/>
          <w:kern w:val="2"/>
          <w:sz w:val="32"/>
          <w:szCs w:val="24"/>
          <w:lang w:val="en-US" w:eastAsia="zh-CN"/>
        </w:rPr>
        <w:t>本年突发洪涝灾害，追加款项用于救灾支出</w:t>
      </w:r>
      <w:r>
        <w:rPr>
          <w:rFonts w:hint="eastAsia" w:ascii="仿宋_GB2312" w:hAnsi="仿宋_GB2312" w:eastAsia="仿宋_GB2312"/>
          <w:color w:val="auto"/>
          <w:kern w:val="2"/>
          <w:sz w:val="32"/>
          <w:szCs w:val="24"/>
        </w:rPr>
        <w:t>。</w:t>
      </w:r>
    </w:p>
    <w:p>
      <w:pPr>
        <w:numPr>
          <w:ilvl w:val="0"/>
          <w:numId w:val="0"/>
        </w:numPr>
        <w:spacing w:line="560" w:lineRule="exact"/>
        <w:jc w:val="both"/>
        <w:rPr>
          <w:rFonts w:hint="eastAsia" w:ascii="仿宋_GB2312" w:hAnsi="仿宋_GB2312" w:eastAsia="仿宋_GB2312"/>
          <w:color w:val="auto"/>
          <w:kern w:val="2"/>
          <w:sz w:val="32"/>
          <w:szCs w:val="24"/>
          <w:lang w:eastAsia="zh-CN"/>
        </w:rPr>
      </w:pPr>
    </w:p>
    <w:p>
      <w:pPr>
        <w:spacing w:line="560" w:lineRule="exact"/>
        <w:ind w:firstLine="640"/>
        <w:jc w:val="both"/>
        <w:rPr>
          <w:rFonts w:hint="eastAsia" w:ascii="楷体" w:hAnsi="楷体" w:eastAsia="楷体"/>
          <w:b/>
          <w:color w:val="auto"/>
          <w:kern w:val="2"/>
          <w:sz w:val="32"/>
          <w:szCs w:val="24"/>
          <w:lang w:val="en-US" w:eastAsia="zh-CN"/>
        </w:rPr>
      </w:pPr>
      <w:r>
        <w:rPr>
          <w:rFonts w:hint="eastAsia" w:ascii="楷体" w:hAnsi="楷体" w:eastAsia="楷体"/>
          <w:b/>
          <w:color w:val="auto"/>
          <w:kern w:val="2"/>
          <w:sz w:val="32"/>
          <w:szCs w:val="24"/>
          <w:lang w:val="en-US" w:eastAsia="zh-CN"/>
        </w:rPr>
        <w:t>（九）其他支出</w:t>
      </w:r>
      <w:r>
        <w:rPr>
          <w:rFonts w:hint="eastAsia" w:ascii="楷体" w:hAnsi="楷体" w:eastAsia="楷体"/>
          <w:b/>
          <w:color w:val="auto"/>
          <w:kern w:val="2"/>
          <w:sz w:val="32"/>
          <w:szCs w:val="24"/>
        </w:rPr>
        <w:t>（类）</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lang w:eastAsia="zh-CN"/>
        </w:rPr>
        <w:t>其他支出</w:t>
      </w:r>
      <w:r>
        <w:rPr>
          <w:rFonts w:hint="eastAsia" w:ascii="仿宋_GB2312" w:hAnsi="仿宋_GB2312" w:eastAsia="仿宋_GB2312"/>
          <w:color w:val="auto"/>
          <w:kern w:val="2"/>
          <w:sz w:val="32"/>
          <w:szCs w:val="24"/>
        </w:rPr>
        <w:t>决算数为</w:t>
      </w:r>
      <w:r>
        <w:rPr>
          <w:rFonts w:hint="eastAsia" w:ascii="Times New Roman" w:hAnsi="Times New Roman" w:eastAsia="宋体"/>
          <w:color w:val="auto"/>
          <w:kern w:val="2"/>
          <w:sz w:val="32"/>
          <w:szCs w:val="24"/>
          <w:u w:val="single"/>
          <w:lang w:val="en-US" w:eastAsia="zh-CN"/>
        </w:rPr>
        <w:t>3.85</w:t>
      </w:r>
      <w:r>
        <w:rPr>
          <w:rFonts w:hint="eastAsia" w:ascii="仿宋_GB2312" w:hAnsi="仿宋_GB2312" w:eastAsia="仿宋_GB2312"/>
          <w:color w:val="auto"/>
          <w:kern w:val="2"/>
          <w:sz w:val="32"/>
          <w:szCs w:val="24"/>
        </w:rPr>
        <w:t>万元，与年初预算相比增加</w:t>
      </w:r>
      <w:r>
        <w:rPr>
          <w:rFonts w:hint="eastAsia" w:ascii="Times New Roman" w:hAnsi="Times New Roman" w:eastAsia="宋体"/>
          <w:color w:val="auto"/>
          <w:kern w:val="2"/>
          <w:sz w:val="32"/>
          <w:szCs w:val="24"/>
          <w:u w:val="single"/>
          <w:lang w:val="en-US" w:eastAsia="zh-CN"/>
        </w:rPr>
        <w:t>3.85</w:t>
      </w:r>
      <w:r>
        <w:rPr>
          <w:rFonts w:hint="eastAsia" w:ascii="仿宋_GB2312" w:hAnsi="仿宋_GB2312" w:eastAsia="仿宋_GB2312"/>
          <w:color w:val="auto"/>
          <w:kern w:val="2"/>
          <w:sz w:val="32"/>
          <w:szCs w:val="24"/>
        </w:rPr>
        <w:t>万元。其中：</w:t>
      </w:r>
    </w:p>
    <w:p>
      <w:pPr>
        <w:numPr>
          <w:ilvl w:val="0"/>
          <w:numId w:val="0"/>
        </w:numPr>
        <w:spacing w:line="560" w:lineRule="exact"/>
        <w:ind w:firstLine="640" w:firstLineChars="200"/>
        <w:jc w:val="both"/>
        <w:rPr>
          <w:rFonts w:hint="eastAsia" w:ascii="黑体" w:hAnsi="黑体" w:eastAsia="黑体"/>
          <w:b/>
          <w:color w:val="auto"/>
          <w:kern w:val="2"/>
          <w:sz w:val="32"/>
          <w:szCs w:val="24"/>
        </w:rPr>
      </w:pPr>
      <w:r>
        <w:rPr>
          <w:rFonts w:hint="eastAsia" w:ascii="仿宋_GB2312" w:hAnsi="仿宋_GB2312" w:eastAsia="仿宋_GB2312"/>
          <w:color w:val="auto"/>
          <w:kern w:val="2"/>
          <w:sz w:val="32"/>
          <w:szCs w:val="24"/>
          <w:lang w:eastAsia="zh-CN"/>
        </w:rPr>
        <w:t>其他支出</w:t>
      </w:r>
      <w:r>
        <w:rPr>
          <w:rFonts w:hint="eastAsia" w:ascii="仿宋_GB2312" w:hAnsi="仿宋_GB2312" w:eastAsia="仿宋_GB2312"/>
          <w:color w:val="auto"/>
          <w:kern w:val="2"/>
          <w:sz w:val="32"/>
          <w:szCs w:val="24"/>
        </w:rPr>
        <w:t>支出（项）。年初预算</w:t>
      </w:r>
      <w:r>
        <w:rPr>
          <w:rFonts w:hint="eastAsia" w:ascii="Times New Roman"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val="en-US" w:eastAsia="zh-CN"/>
        </w:rPr>
        <w:t>3.85</w:t>
      </w:r>
      <w:r>
        <w:rPr>
          <w:rFonts w:hint="eastAsia" w:ascii="仿宋_GB2312" w:hAnsi="仿宋_GB2312" w:eastAsia="仿宋_GB2312"/>
          <w:color w:val="auto"/>
          <w:kern w:val="2"/>
          <w:sz w:val="32"/>
          <w:szCs w:val="24"/>
        </w:rPr>
        <w:t>万元。决算数与年初预算数的差异原因：</w:t>
      </w:r>
      <w:r>
        <w:rPr>
          <w:rFonts w:hint="eastAsia" w:ascii="仿宋_GB2312" w:hAnsi="仿宋_GB2312" w:eastAsia="仿宋_GB2312"/>
          <w:color w:val="auto"/>
          <w:kern w:val="2"/>
          <w:sz w:val="32"/>
          <w:szCs w:val="24"/>
          <w:lang w:eastAsia="zh-CN"/>
        </w:rPr>
        <w:t>二类费用</w:t>
      </w:r>
      <w:r>
        <w:rPr>
          <w:rFonts w:hint="eastAsia" w:ascii="仿宋_GB2312" w:hAnsi="仿宋_GB2312" w:eastAsia="仿宋_GB2312"/>
          <w:color w:val="auto"/>
          <w:kern w:val="2"/>
          <w:sz w:val="32"/>
          <w:szCs w:val="24"/>
          <w:lang w:val="en-US" w:eastAsia="zh-CN"/>
        </w:rPr>
        <w:t>支出</w:t>
      </w:r>
      <w:r>
        <w:rPr>
          <w:rFonts w:hint="eastAsia" w:ascii="仿宋_GB2312" w:hAnsi="仿宋_GB2312" w:eastAsia="仿宋_GB2312"/>
          <w:color w:val="auto"/>
          <w:kern w:val="2"/>
          <w:sz w:val="32"/>
          <w:szCs w:val="24"/>
        </w:rPr>
        <w:t>。</w:t>
      </w:r>
    </w:p>
    <w:p>
      <w:pPr>
        <w:spacing w:line="600" w:lineRule="exact"/>
        <w:ind w:firstLine="643" w:firstLineChars="200"/>
        <w:jc w:val="both"/>
        <w:rPr>
          <w:rFonts w:hint="default" w:ascii="Times New Roman" w:hAnsi="Times New Roman" w:eastAsia="Times New Roman"/>
          <w:color w:val="auto"/>
          <w:kern w:val="2"/>
          <w:sz w:val="32"/>
          <w:szCs w:val="24"/>
        </w:rPr>
      </w:pPr>
      <w:r>
        <w:rPr>
          <w:rFonts w:hint="eastAsia" w:ascii="黑体" w:hAnsi="黑体" w:eastAsia="黑体"/>
          <w:b/>
          <w:color w:val="auto"/>
          <w:kern w:val="2"/>
          <w:sz w:val="32"/>
          <w:szCs w:val="24"/>
        </w:rPr>
        <w:t>六、一般公共预算基本支出决算情况说明</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人民政府2022年度一般公共预算财政拨款基本支出决算</w:t>
      </w:r>
      <w:r>
        <w:rPr>
          <w:rFonts w:hint="eastAsia" w:ascii="Times New Roman" w:hAnsi="Times New Roman" w:eastAsia="宋体"/>
          <w:color w:val="auto"/>
          <w:kern w:val="2"/>
          <w:sz w:val="32"/>
          <w:szCs w:val="24"/>
          <w:u w:val="single"/>
          <w:lang w:eastAsia="zh-CN"/>
        </w:rPr>
        <w:t>1,337.96</w:t>
      </w:r>
      <w:r>
        <w:rPr>
          <w:rFonts w:hint="eastAsia" w:ascii="仿宋_GB2312" w:hAnsi="仿宋_GB2312" w:eastAsia="仿宋_GB2312"/>
          <w:color w:val="auto"/>
          <w:kern w:val="2"/>
          <w:sz w:val="32"/>
          <w:szCs w:val="24"/>
        </w:rPr>
        <w:t>万元，其中：</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（一）人员经费</w:t>
      </w:r>
      <w:r>
        <w:rPr>
          <w:rFonts w:hint="eastAsia" w:ascii="Times New Roman" w:hAnsi="Times New Roman" w:eastAsia="宋体"/>
          <w:b/>
          <w:color w:val="auto"/>
          <w:kern w:val="2"/>
          <w:sz w:val="32"/>
          <w:szCs w:val="24"/>
          <w:u w:val="single"/>
          <w:lang w:eastAsia="zh-CN"/>
        </w:rPr>
        <w:t>1,213.3</w:t>
      </w:r>
      <w:r>
        <w:rPr>
          <w:rFonts w:hint="eastAsia" w:ascii="仿宋_GB2312" w:hAnsi="仿宋_GB2312" w:eastAsia="仿宋_GB2312"/>
          <w:b/>
          <w:color w:val="auto"/>
          <w:kern w:val="2"/>
          <w:sz w:val="32"/>
          <w:szCs w:val="24"/>
        </w:rPr>
        <w:t>万元</w:t>
      </w:r>
      <w:r>
        <w:rPr>
          <w:rFonts w:hint="eastAsia" w:ascii="仿宋_GB2312" w:hAnsi="仿宋_GB2312" w:eastAsia="仿宋_GB2312"/>
          <w:color w:val="auto"/>
          <w:kern w:val="2"/>
          <w:sz w:val="32"/>
          <w:szCs w:val="24"/>
        </w:rPr>
        <w:t>。主要包括：基本工资、津贴补贴、奖金、社会保障缴费绩效工资、其他工资福利支出、退休费、生活补助、住房公积金等。</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（二）公用经费</w:t>
      </w:r>
      <w:r>
        <w:rPr>
          <w:rFonts w:hint="default" w:ascii="Times New Roman" w:hAnsi="Times New Roman" w:eastAsia="Times New Roman"/>
          <w:b/>
          <w:color w:val="auto"/>
          <w:kern w:val="2"/>
          <w:sz w:val="32"/>
          <w:szCs w:val="24"/>
          <w:u w:val="single"/>
        </w:rPr>
        <w:t>124.66</w:t>
      </w:r>
      <w:r>
        <w:rPr>
          <w:rFonts w:hint="eastAsia" w:ascii="仿宋_GB2312" w:hAnsi="仿宋_GB2312" w:eastAsia="仿宋_GB2312"/>
          <w:b/>
          <w:color w:val="auto"/>
          <w:kern w:val="2"/>
          <w:sz w:val="32"/>
          <w:szCs w:val="24"/>
        </w:rPr>
        <w:t>万元</w:t>
      </w:r>
      <w:r>
        <w:rPr>
          <w:rFonts w:hint="eastAsia" w:ascii="仿宋_GB2312" w:hAnsi="仿宋_GB2312" w:eastAsia="仿宋_GB2312"/>
          <w:color w:val="auto"/>
          <w:kern w:val="2"/>
          <w:sz w:val="32"/>
          <w:szCs w:val="24"/>
        </w:rPr>
        <w:t>。主要包括：办公费、印刷费、电费、邮电费、取暖费、维修（护）费、公务用车运行维护费、其他交通费用等。</w:t>
      </w:r>
    </w:p>
    <w:p>
      <w:pPr>
        <w:spacing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七、一般公共预算项目支出决算情况说明</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人民政府2022年度一般公共预算财政拨款项目支出决算</w:t>
      </w:r>
      <w:r>
        <w:rPr>
          <w:rFonts w:hint="default" w:ascii="Times New Roman" w:hAnsi="Times New Roman" w:eastAsia="Times New Roman"/>
          <w:color w:val="auto"/>
          <w:kern w:val="2"/>
          <w:sz w:val="32"/>
          <w:szCs w:val="24"/>
          <w:u w:val="single"/>
        </w:rPr>
        <w:t>234.08</w:t>
      </w:r>
      <w:r>
        <w:rPr>
          <w:rFonts w:hint="eastAsia" w:ascii="仿宋_GB2312" w:hAnsi="仿宋_GB2312" w:eastAsia="仿宋_GB2312"/>
          <w:color w:val="auto"/>
          <w:kern w:val="2"/>
          <w:sz w:val="32"/>
          <w:szCs w:val="24"/>
        </w:rPr>
        <w:t>万元，其中：</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（一）工资福利支出</w:t>
      </w:r>
      <w:r>
        <w:rPr>
          <w:rFonts w:hint="default" w:ascii="Times New Roman" w:hAnsi="Times New Roman" w:eastAsia="Times New Roman"/>
          <w:b/>
          <w:color w:val="auto"/>
          <w:kern w:val="2"/>
          <w:sz w:val="32"/>
          <w:szCs w:val="24"/>
          <w:u w:val="single"/>
        </w:rPr>
        <w:t>0</w:t>
      </w:r>
      <w:r>
        <w:rPr>
          <w:rFonts w:hint="eastAsia" w:ascii="仿宋_GB2312" w:hAnsi="仿宋_GB2312" w:eastAsia="仿宋_GB2312"/>
          <w:b/>
          <w:color w:val="auto"/>
          <w:kern w:val="2"/>
          <w:sz w:val="32"/>
          <w:szCs w:val="24"/>
        </w:rPr>
        <w:t>万元</w:t>
      </w:r>
      <w:r>
        <w:rPr>
          <w:rFonts w:hint="eastAsia" w:ascii="仿宋_GB2312" w:hAnsi="仿宋_GB2312" w:eastAsia="仿宋_GB2312"/>
          <w:color w:val="auto"/>
          <w:kern w:val="2"/>
          <w:sz w:val="32"/>
          <w:szCs w:val="24"/>
        </w:rPr>
        <w:t>。</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（二）商品和服务支出</w:t>
      </w:r>
      <w:r>
        <w:rPr>
          <w:rFonts w:hint="default" w:ascii="Times New Roman" w:hAnsi="Times New Roman" w:eastAsia="Times New Roman"/>
          <w:b/>
          <w:color w:val="000000"/>
          <w:kern w:val="2"/>
          <w:sz w:val="32"/>
          <w:szCs w:val="24"/>
          <w:u w:val="single"/>
        </w:rPr>
        <w:t>120.36</w:t>
      </w:r>
      <w:r>
        <w:rPr>
          <w:rFonts w:hint="eastAsia" w:ascii="仿宋_GB2312" w:hAnsi="仿宋_GB2312" w:eastAsia="仿宋_GB2312"/>
          <w:b/>
          <w:color w:val="auto"/>
          <w:kern w:val="2"/>
          <w:sz w:val="32"/>
          <w:szCs w:val="24"/>
        </w:rPr>
        <w:t>万元</w:t>
      </w:r>
      <w:r>
        <w:rPr>
          <w:rFonts w:hint="eastAsia" w:ascii="仿宋_GB2312" w:hAnsi="仿宋_GB2312" w:eastAsia="仿宋_GB2312"/>
          <w:color w:val="auto"/>
          <w:kern w:val="2"/>
          <w:sz w:val="32"/>
          <w:szCs w:val="24"/>
        </w:rPr>
        <w:t>。主要包括：办公费、公务用车运行维护费、税金及附加费用、其他商品和服务支出等。</w:t>
      </w:r>
    </w:p>
    <w:p>
      <w:pPr>
        <w:spacing w:line="600" w:lineRule="exact"/>
        <w:ind w:firstLine="643"/>
        <w:jc w:val="both"/>
        <w:rPr>
          <w:rFonts w:hint="default" w:ascii="Times New Roman" w:hAnsi="Times New Roman" w:eastAsia="Times New Roman"/>
          <w:color w:val="auto"/>
          <w:kern w:val="2"/>
          <w:sz w:val="32"/>
          <w:szCs w:val="24"/>
        </w:rPr>
      </w:pPr>
      <w:r>
        <w:rPr>
          <w:rFonts w:hint="eastAsia" w:ascii="黑体" w:hAnsi="黑体" w:eastAsia="黑体"/>
          <w:b/>
          <w:color w:val="auto"/>
          <w:kern w:val="2"/>
          <w:sz w:val="32"/>
          <w:szCs w:val="24"/>
        </w:rPr>
        <w:t>八、财政拨款“三公”经费支出决算情况说明</w:t>
      </w:r>
    </w:p>
    <w:p>
      <w:pPr>
        <w:keepNext/>
        <w:keepLines/>
        <w:spacing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（一）财政拨款“三公”经费支出总体情况说明。</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w:t>
      </w:r>
      <w:r>
        <w:rPr>
          <w:rFonts w:hint="default" w:ascii="Times New Roman" w:hAnsi="Times New Roman" w:eastAsia="Times New Roman"/>
          <w:color w:val="auto"/>
          <w:kern w:val="2"/>
          <w:sz w:val="32"/>
          <w:szCs w:val="24"/>
        </w:rPr>
        <w:t xml:space="preserve"> </w:t>
      </w:r>
      <w:r>
        <w:rPr>
          <w:rFonts w:hint="eastAsia" w:ascii="仿宋_GB2312" w:hAnsi="仿宋_GB2312" w:eastAsia="仿宋_GB2312"/>
          <w:color w:val="auto"/>
          <w:kern w:val="2"/>
          <w:sz w:val="32"/>
          <w:szCs w:val="24"/>
        </w:rPr>
        <w:t>2022年度财政拨款“三公”经费预算</w:t>
      </w:r>
      <w:r>
        <w:rPr>
          <w:rFonts w:hint="eastAsia" w:ascii="Times New Roman" w:hAnsi="Times New Roman" w:eastAsia="宋体"/>
          <w:color w:val="auto"/>
          <w:kern w:val="2"/>
          <w:sz w:val="32"/>
          <w:szCs w:val="24"/>
          <w:u w:val="single"/>
          <w:lang w:eastAsia="zh-CN"/>
        </w:rPr>
        <w:t>29</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eastAsia="zh-CN"/>
        </w:rPr>
        <w:t>12.96</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44.6</w:t>
      </w:r>
      <w:r>
        <w:rPr>
          <w:rFonts w:hint="eastAsia" w:ascii="Times New Roman" w:hAnsi="Times New Roman" w:eastAsia="宋体"/>
          <w:color w:val="auto"/>
          <w:kern w:val="2"/>
          <w:sz w:val="32"/>
          <w:szCs w:val="24"/>
          <w:u w:val="single"/>
          <w:lang w:val="en-US" w:eastAsia="zh-CN"/>
        </w:rPr>
        <w:t>9</w:t>
      </w:r>
      <w:r>
        <w:rPr>
          <w:rFonts w:hint="eastAsia" w:ascii="仿宋_GB2312" w:hAnsi="仿宋_GB2312" w:eastAsia="仿宋_GB2312"/>
          <w:color w:val="auto"/>
          <w:kern w:val="2"/>
          <w:sz w:val="32"/>
          <w:szCs w:val="24"/>
        </w:rPr>
        <w:t>%。其中：因公出国（境）费预算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%；公务用车购置及运行维护费预算</w:t>
      </w:r>
      <w:r>
        <w:rPr>
          <w:rFonts w:hint="eastAsia" w:ascii="Times New Roman" w:hAnsi="Times New Roman" w:eastAsia="宋体"/>
          <w:color w:val="auto"/>
          <w:kern w:val="2"/>
          <w:sz w:val="32"/>
          <w:szCs w:val="24"/>
          <w:u w:val="single"/>
          <w:lang w:eastAsia="zh-CN"/>
        </w:rPr>
        <w:t>29</w:t>
      </w:r>
      <w:r>
        <w:rPr>
          <w:rFonts w:hint="eastAsia" w:ascii="仿宋_GB2312" w:hAnsi="仿宋_GB2312" w:eastAsia="仿宋_GB2312"/>
          <w:color w:val="auto"/>
          <w:kern w:val="2"/>
          <w:sz w:val="32"/>
          <w:szCs w:val="24"/>
        </w:rPr>
        <w:t>万元，支出决算</w:t>
      </w:r>
      <w:r>
        <w:rPr>
          <w:rFonts w:hint="eastAsia" w:ascii="Times New Roman" w:hAnsi="Times New Roman" w:eastAsia="宋体"/>
          <w:color w:val="auto"/>
          <w:kern w:val="2"/>
          <w:sz w:val="32"/>
          <w:szCs w:val="24"/>
          <w:u w:val="single"/>
          <w:lang w:eastAsia="zh-CN"/>
        </w:rPr>
        <w:t>12.96</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44.6</w:t>
      </w:r>
      <w:r>
        <w:rPr>
          <w:rFonts w:hint="eastAsia" w:ascii="Times New Roman" w:hAnsi="Times New Roman" w:eastAsia="宋体"/>
          <w:color w:val="auto"/>
          <w:kern w:val="2"/>
          <w:sz w:val="32"/>
          <w:szCs w:val="24"/>
          <w:u w:val="single"/>
          <w:lang w:val="en-US" w:eastAsia="zh-CN"/>
        </w:rPr>
        <w:t>9</w:t>
      </w:r>
      <w:r>
        <w:rPr>
          <w:rFonts w:hint="eastAsia" w:ascii="仿宋_GB2312" w:hAnsi="仿宋_GB2312" w:eastAsia="仿宋_GB2312"/>
          <w:color w:val="auto"/>
          <w:kern w:val="2"/>
          <w:sz w:val="32"/>
          <w:szCs w:val="24"/>
        </w:rPr>
        <w:t>%；公务接待费预算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万元，支出决算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万元，完成预算的</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%。2022年度财政拨款“三公”经费支出决算与预算差异原因</w:t>
      </w:r>
      <w:r>
        <w:rPr>
          <w:rFonts w:hint="eastAsia" w:ascii="仿宋_GB2312" w:hAnsi="仿宋_GB2312" w:eastAsia="仿宋_GB2312"/>
          <w:color w:val="auto"/>
          <w:kern w:val="2"/>
          <w:sz w:val="32"/>
          <w:szCs w:val="24"/>
          <w:lang w:val="en-US" w:eastAsia="zh-CN"/>
        </w:rPr>
        <w:t>资金紧张，未按计划支付</w:t>
      </w:r>
      <w:r>
        <w:rPr>
          <w:rFonts w:hint="eastAsia" w:ascii="仿宋_GB2312" w:hAnsi="仿宋_GB2312" w:eastAsia="仿宋_GB2312"/>
          <w:color w:val="auto"/>
          <w:kern w:val="2"/>
          <w:sz w:val="32"/>
          <w:szCs w:val="24"/>
        </w:rPr>
        <w:t>。</w:t>
      </w:r>
    </w:p>
    <w:p>
      <w:pPr>
        <w:keepNext/>
        <w:keepLines/>
        <w:spacing w:line="560" w:lineRule="exact"/>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（二）财政拨款“三公”经费支出具体情况说明。</w:t>
      </w:r>
    </w:p>
    <w:p>
      <w:pPr>
        <w:keepNext/>
        <w:keepLines/>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人民政府2022年度财政拨款“三公”经费支出</w:t>
      </w:r>
      <w:r>
        <w:rPr>
          <w:rFonts w:hint="eastAsia" w:ascii="Times New Roman" w:hAnsi="Times New Roman" w:eastAsia="宋体"/>
          <w:color w:val="auto"/>
          <w:kern w:val="2"/>
          <w:sz w:val="32"/>
          <w:szCs w:val="24"/>
          <w:u w:val="single"/>
          <w:lang w:eastAsia="zh-CN"/>
        </w:rPr>
        <w:t>12.96</w:t>
      </w:r>
      <w:r>
        <w:rPr>
          <w:rFonts w:hint="eastAsia" w:ascii="仿宋_GB2312" w:hAnsi="仿宋_GB2312" w:eastAsia="仿宋_GB2312"/>
          <w:color w:val="auto"/>
          <w:kern w:val="2"/>
          <w:sz w:val="32"/>
          <w:szCs w:val="24"/>
        </w:rPr>
        <w:t>万元。因公出国（境）费支出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%；公务用车购置及运行维护费支出</w:t>
      </w:r>
      <w:r>
        <w:rPr>
          <w:rFonts w:hint="eastAsia" w:ascii="Times New Roman" w:hAnsi="Times New Roman" w:eastAsia="宋体"/>
          <w:color w:val="auto"/>
          <w:kern w:val="2"/>
          <w:sz w:val="32"/>
          <w:szCs w:val="24"/>
          <w:u w:val="single"/>
          <w:lang w:eastAsia="zh-CN"/>
        </w:rPr>
        <w:t>12.96</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100</w:t>
      </w:r>
      <w:r>
        <w:rPr>
          <w:rFonts w:hint="eastAsia" w:ascii="仿宋_GB2312" w:hAnsi="仿宋_GB2312" w:eastAsia="仿宋_GB2312"/>
          <w:color w:val="auto"/>
          <w:kern w:val="2"/>
          <w:sz w:val="32"/>
          <w:szCs w:val="24"/>
        </w:rPr>
        <w:t>%；公务接待费支出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%。其中：</w:t>
      </w:r>
    </w:p>
    <w:p>
      <w:pPr>
        <w:spacing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因公出国（境）费支出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万元，全年出国（境）团组</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个，累计</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人次。与上年决算相比，增加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不存在此项内容</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公务用车购置及运行维护费支出</w:t>
      </w:r>
      <w:r>
        <w:rPr>
          <w:rFonts w:hint="eastAsia" w:ascii="Times New Roman" w:hAnsi="Times New Roman" w:eastAsia="宋体"/>
          <w:color w:val="auto"/>
          <w:kern w:val="2"/>
          <w:sz w:val="32"/>
          <w:szCs w:val="24"/>
          <w:u w:val="single"/>
          <w:lang w:eastAsia="zh-CN"/>
        </w:rPr>
        <w:t>12.96</w:t>
      </w:r>
      <w:r>
        <w:rPr>
          <w:rFonts w:hint="eastAsia" w:ascii="仿宋_GB2312" w:hAnsi="仿宋_GB2312" w:eastAsia="仿宋_GB2312"/>
          <w:color w:val="auto"/>
          <w:kern w:val="2"/>
          <w:sz w:val="32"/>
          <w:szCs w:val="24"/>
        </w:rPr>
        <w:t>万元。其中：</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w:t>
      </w:r>
      <w:r>
        <w:rPr>
          <w:rFonts w:hint="default" w:ascii="Times New Roman" w:hAnsi="Times New Roman" w:eastAsia="Times New Roman"/>
          <w:color w:val="auto"/>
          <w:kern w:val="2"/>
          <w:sz w:val="32"/>
          <w:szCs w:val="24"/>
        </w:rPr>
        <w:t>1</w:t>
      </w:r>
      <w:r>
        <w:rPr>
          <w:rFonts w:hint="eastAsia" w:ascii="仿宋_GB2312" w:hAnsi="仿宋_GB2312" w:eastAsia="仿宋_GB2312"/>
          <w:color w:val="auto"/>
          <w:kern w:val="2"/>
          <w:sz w:val="32"/>
          <w:szCs w:val="24"/>
        </w:rPr>
        <w:t>）公务用车购置支出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万元。本年度使用财政拨款购置公务用车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辆，开支内容：</w:t>
      </w:r>
      <w:r>
        <w:rPr>
          <w:rFonts w:hint="eastAsia" w:ascii="仿宋_GB2312" w:hAnsi="仿宋_GB2312" w:eastAsia="仿宋_GB2312"/>
          <w:color w:val="auto"/>
          <w:kern w:val="2"/>
          <w:sz w:val="32"/>
          <w:szCs w:val="24"/>
          <w:lang w:val="en-US" w:eastAsia="zh-CN"/>
        </w:rPr>
        <w:t>不存在此项内容</w:t>
      </w:r>
      <w:r>
        <w:rPr>
          <w:rFonts w:hint="eastAsia" w:ascii="仿宋_GB2312" w:hAnsi="仿宋_GB2312" w:eastAsia="仿宋_GB2312"/>
          <w:color w:val="auto"/>
          <w:kern w:val="2"/>
          <w:sz w:val="32"/>
          <w:szCs w:val="24"/>
        </w:rPr>
        <w:t>。与上年决算相比，增加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不存在此项内容</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w:t>
      </w:r>
      <w:r>
        <w:rPr>
          <w:rFonts w:hint="default" w:ascii="Times New Roman" w:hAnsi="Times New Roman" w:eastAsia="Times New Roman"/>
          <w:color w:val="auto"/>
          <w:kern w:val="2"/>
          <w:sz w:val="32"/>
          <w:szCs w:val="24"/>
        </w:rPr>
        <w:t>2</w:t>
      </w:r>
      <w:r>
        <w:rPr>
          <w:rFonts w:hint="eastAsia" w:ascii="仿宋_GB2312" w:hAnsi="仿宋_GB2312" w:eastAsia="仿宋_GB2312"/>
          <w:color w:val="auto"/>
          <w:kern w:val="2"/>
          <w:sz w:val="32"/>
          <w:szCs w:val="24"/>
        </w:rPr>
        <w:t>）公务用车运行维护费支出</w:t>
      </w:r>
      <w:r>
        <w:rPr>
          <w:rFonts w:hint="eastAsia" w:ascii="Times New Roman" w:hAnsi="Times New Roman" w:eastAsia="宋体"/>
          <w:color w:val="auto"/>
          <w:kern w:val="2"/>
          <w:sz w:val="32"/>
          <w:szCs w:val="24"/>
          <w:u w:val="single"/>
          <w:lang w:eastAsia="zh-CN"/>
        </w:rPr>
        <w:t>12.96</w:t>
      </w:r>
      <w:r>
        <w:rPr>
          <w:rFonts w:hint="eastAsia" w:ascii="仿宋_GB2312" w:hAnsi="仿宋_GB2312" w:eastAsia="仿宋_GB2312"/>
          <w:color w:val="auto"/>
          <w:kern w:val="2"/>
          <w:sz w:val="32"/>
          <w:szCs w:val="24"/>
        </w:rPr>
        <w:t>万元。公务用车运行维护费主要用于按规定保留的公务用车的燃料费、维修费、过桥过路费、保险费、安全奖励费用等支出。截至</w:t>
      </w:r>
      <w:r>
        <w:rPr>
          <w:rFonts w:hint="default" w:ascii="Times New Roman" w:hAnsi="Times New Roman" w:eastAsia="Times New Roman"/>
          <w:color w:val="auto"/>
          <w:kern w:val="2"/>
          <w:sz w:val="32"/>
          <w:szCs w:val="24"/>
        </w:rPr>
        <w:t>2022</w:t>
      </w:r>
      <w:r>
        <w:rPr>
          <w:rFonts w:hint="eastAsia" w:ascii="仿宋_GB2312" w:hAnsi="仿宋_GB2312" w:eastAsia="仿宋_GB2312"/>
          <w:color w:val="auto"/>
          <w:kern w:val="2"/>
          <w:sz w:val="32"/>
          <w:szCs w:val="24"/>
        </w:rPr>
        <w:t>年</w:t>
      </w:r>
      <w:r>
        <w:rPr>
          <w:rFonts w:hint="default" w:ascii="Times New Roman" w:hAnsi="Times New Roman" w:eastAsia="Times New Roman"/>
          <w:color w:val="auto"/>
          <w:kern w:val="2"/>
          <w:sz w:val="32"/>
          <w:szCs w:val="24"/>
        </w:rPr>
        <w:t>12</w:t>
      </w:r>
      <w:r>
        <w:rPr>
          <w:rFonts w:hint="eastAsia" w:ascii="仿宋_GB2312" w:hAnsi="仿宋_GB2312" w:eastAsia="仿宋_GB2312"/>
          <w:color w:val="auto"/>
          <w:kern w:val="2"/>
          <w:sz w:val="32"/>
          <w:szCs w:val="24"/>
        </w:rPr>
        <w:t>月</w:t>
      </w:r>
      <w:r>
        <w:rPr>
          <w:rFonts w:hint="default" w:ascii="Times New Roman" w:hAnsi="Times New Roman" w:eastAsia="Times New Roman"/>
          <w:color w:val="auto"/>
          <w:kern w:val="2"/>
          <w:sz w:val="32"/>
          <w:szCs w:val="24"/>
        </w:rPr>
        <w:t>31</w:t>
      </w:r>
      <w:r>
        <w:rPr>
          <w:rFonts w:hint="eastAsia" w:ascii="仿宋_GB2312" w:hAnsi="仿宋_GB2312" w:eastAsia="仿宋_GB2312"/>
          <w:color w:val="auto"/>
          <w:kern w:val="2"/>
          <w:sz w:val="32"/>
          <w:szCs w:val="24"/>
        </w:rPr>
        <w:t>日，使用财政拨款开支的公务用车保有量为</w:t>
      </w:r>
      <w:r>
        <w:rPr>
          <w:rFonts w:hint="default" w:ascii="Times New Roman" w:hAnsi="Times New Roman" w:eastAsia="Times New Roman"/>
          <w:color w:val="auto"/>
          <w:kern w:val="2"/>
          <w:sz w:val="32"/>
          <w:szCs w:val="24"/>
          <w:u w:val="single"/>
        </w:rPr>
        <w:t>4</w:t>
      </w:r>
      <w:r>
        <w:rPr>
          <w:rFonts w:hint="eastAsia" w:ascii="仿宋_GB2312" w:hAnsi="仿宋_GB2312" w:eastAsia="仿宋_GB2312"/>
          <w:color w:val="auto"/>
          <w:kern w:val="2"/>
          <w:sz w:val="32"/>
          <w:szCs w:val="24"/>
        </w:rPr>
        <w:t>辆。与上年决算相比，减少</w:t>
      </w:r>
      <w:r>
        <w:rPr>
          <w:rFonts w:hint="default" w:ascii="Times New Roman" w:hAnsi="Times New Roman" w:eastAsia="Times New Roman"/>
          <w:color w:val="auto"/>
          <w:kern w:val="2"/>
          <w:sz w:val="32"/>
          <w:szCs w:val="24"/>
          <w:u w:val="single"/>
        </w:rPr>
        <w:t>17.85</w:t>
      </w:r>
      <w:r>
        <w:rPr>
          <w:rFonts w:hint="eastAsia" w:ascii="仿宋_GB2312" w:hAnsi="仿宋_GB2312" w:eastAsia="仿宋_GB2312"/>
          <w:color w:val="auto"/>
          <w:kern w:val="2"/>
          <w:sz w:val="32"/>
          <w:szCs w:val="24"/>
        </w:rPr>
        <w:t>万元，减少</w:t>
      </w:r>
      <w:r>
        <w:rPr>
          <w:rFonts w:hint="default" w:ascii="Times New Roman" w:hAnsi="Times New Roman" w:eastAsia="Times New Roman"/>
          <w:color w:val="auto"/>
          <w:kern w:val="2"/>
          <w:sz w:val="32"/>
          <w:szCs w:val="24"/>
          <w:u w:val="single"/>
        </w:rPr>
        <w:t>57.94</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资金紧张，未按计划支付</w:t>
      </w:r>
      <w:r>
        <w:rPr>
          <w:rFonts w:hint="eastAsia" w:ascii="仿宋_GB2312" w:hAnsi="仿宋_GB2312" w:eastAsia="仿宋_GB2312"/>
          <w:color w:val="auto"/>
          <w:kern w:val="2"/>
          <w:sz w:val="32"/>
          <w:szCs w:val="24"/>
        </w:rPr>
        <w:t>。</w:t>
      </w:r>
    </w:p>
    <w:p>
      <w:pPr>
        <w:spacing w:line="560" w:lineRule="exact"/>
        <w:ind w:firstLine="640"/>
        <w:jc w:val="both"/>
        <w:rPr>
          <w:rFonts w:hint="default" w:ascii="Times New Roman" w:hAnsi="Times New Roman" w:eastAsia="Times New Roman"/>
          <w:color w:val="auto"/>
          <w:kern w:val="2"/>
          <w:sz w:val="32"/>
          <w:szCs w:val="24"/>
        </w:rPr>
      </w:pPr>
      <w:r>
        <w:rPr>
          <w:rFonts w:hint="default" w:ascii="Times New Roman" w:hAnsi="Times New Roman" w:eastAsia="Times New Roman"/>
          <w:color w:val="auto"/>
          <w:kern w:val="2"/>
          <w:sz w:val="32"/>
          <w:szCs w:val="24"/>
        </w:rPr>
        <w:t>3.</w:t>
      </w:r>
      <w:r>
        <w:rPr>
          <w:rFonts w:hint="eastAsia" w:ascii="仿宋_GB2312" w:hAnsi="仿宋_GB2312" w:eastAsia="仿宋_GB2312"/>
          <w:color w:val="auto"/>
          <w:kern w:val="2"/>
          <w:sz w:val="32"/>
          <w:szCs w:val="24"/>
        </w:rPr>
        <w:t>公务接待费支出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万元。其中：国内公务接待支出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万元，接待</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批次，</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人次，开支内容：</w:t>
      </w:r>
      <w:r>
        <w:rPr>
          <w:rFonts w:hint="eastAsia" w:ascii="仿宋_GB2312" w:hAnsi="仿宋_GB2312" w:eastAsia="仿宋_GB2312"/>
          <w:color w:val="auto"/>
          <w:kern w:val="2"/>
          <w:sz w:val="32"/>
          <w:szCs w:val="24"/>
          <w:lang w:val="en-US" w:eastAsia="zh-CN"/>
        </w:rPr>
        <w:t>不存在此项内容</w:t>
      </w:r>
      <w:r>
        <w:rPr>
          <w:rFonts w:hint="eastAsia" w:ascii="仿宋_GB2312" w:hAnsi="仿宋_GB2312" w:eastAsia="仿宋_GB2312"/>
          <w:color w:val="auto"/>
          <w:kern w:val="2"/>
          <w:sz w:val="32"/>
          <w:szCs w:val="24"/>
        </w:rPr>
        <w:t>；国（境）外公务接待支出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万元，接待</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批次，</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人次，开支内容：</w:t>
      </w:r>
      <w:r>
        <w:rPr>
          <w:rFonts w:hint="eastAsia" w:ascii="仿宋_GB2312" w:hAnsi="仿宋_GB2312" w:eastAsia="仿宋_GB2312"/>
          <w:color w:val="auto"/>
          <w:kern w:val="2"/>
          <w:sz w:val="32"/>
          <w:szCs w:val="24"/>
          <w:lang w:val="en-US" w:eastAsia="zh-CN"/>
        </w:rPr>
        <w:t>不存在此项内容</w:t>
      </w:r>
      <w:r>
        <w:rPr>
          <w:rFonts w:hint="eastAsia" w:ascii="仿宋_GB2312" w:hAnsi="仿宋_GB2312" w:eastAsia="仿宋_GB2312"/>
          <w:color w:val="auto"/>
          <w:kern w:val="2"/>
          <w:sz w:val="32"/>
          <w:szCs w:val="24"/>
        </w:rPr>
        <w:t>。与上年决算相比，增加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不存在此项内容</w:t>
      </w:r>
      <w:r>
        <w:rPr>
          <w:rFonts w:hint="eastAsia" w:ascii="仿宋_GB2312" w:hAnsi="仿宋_GB2312" w:eastAsia="仿宋_GB2312"/>
          <w:color w:val="auto"/>
          <w:kern w:val="2"/>
          <w:sz w:val="32"/>
          <w:szCs w:val="24"/>
        </w:rPr>
        <w:t>。</w:t>
      </w:r>
    </w:p>
    <w:p>
      <w:pPr>
        <w:spacing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九、政府性基金预算财政拨款支出决算情况说明</w:t>
      </w:r>
    </w:p>
    <w:p>
      <w:pPr>
        <w:spacing w:line="600" w:lineRule="exact"/>
        <w:ind w:left="17"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人民政府2022年度政府性基金支出决算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万元。与上年决算相比，减少</w:t>
      </w:r>
      <w:r>
        <w:rPr>
          <w:rFonts w:hint="default" w:ascii="Times New Roman" w:hAnsi="Times New Roman" w:eastAsia="Times New Roman"/>
          <w:color w:val="auto"/>
          <w:kern w:val="2"/>
          <w:sz w:val="32"/>
          <w:szCs w:val="24"/>
          <w:u w:val="single"/>
        </w:rPr>
        <w:t>12.97</w:t>
      </w:r>
      <w:r>
        <w:rPr>
          <w:rFonts w:hint="eastAsia" w:ascii="仿宋_GB2312" w:hAnsi="仿宋_GB2312" w:eastAsia="仿宋_GB2312"/>
          <w:color w:val="auto"/>
          <w:kern w:val="2"/>
          <w:sz w:val="32"/>
          <w:szCs w:val="24"/>
        </w:rPr>
        <w:t>万元，减少</w:t>
      </w:r>
      <w:r>
        <w:rPr>
          <w:rFonts w:hint="default" w:ascii="Times New Roman" w:hAnsi="Times New Roman" w:eastAsia="Times New Roman"/>
          <w:color w:val="auto"/>
          <w:kern w:val="2"/>
          <w:sz w:val="32"/>
          <w:szCs w:val="24"/>
          <w:u w:val="single"/>
        </w:rPr>
        <w:t>100</w:t>
      </w:r>
      <w:r>
        <w:rPr>
          <w:rFonts w:hint="eastAsia" w:ascii="仿宋_GB2312" w:hAnsi="仿宋_GB2312" w:eastAsia="仿宋_GB2312"/>
          <w:color w:val="auto"/>
          <w:kern w:val="2"/>
          <w:sz w:val="32"/>
          <w:szCs w:val="24"/>
        </w:rPr>
        <w:t>%，变动原因：本年无政府性基金预算财政拨款收、支、余。</w:t>
      </w:r>
    </w:p>
    <w:p>
      <w:pPr>
        <w:spacing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十、国有资本经营预算财政拨款支出决算情况说明</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人民政府2022年度国有资本经营预算支出决算</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万元。与上年决算相比，增加</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万元，增长</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%，变动原因：本年无国有资本经营预算财政拨款收、支、余。</w:t>
      </w:r>
    </w:p>
    <w:p>
      <w:pPr>
        <w:keepNext/>
        <w:spacing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十一、项目支出决算情况说明</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人民政府2022年度预算安排项目</w:t>
      </w:r>
      <w:r>
        <w:rPr>
          <w:rFonts w:hint="eastAsia" w:ascii="Times New Roman" w:hAnsi="Times New Roman" w:eastAsia="宋体"/>
          <w:color w:val="auto"/>
          <w:kern w:val="2"/>
          <w:sz w:val="32"/>
          <w:szCs w:val="24"/>
          <w:u w:val="single"/>
          <w:lang w:val="en-US" w:eastAsia="zh-CN"/>
        </w:rPr>
        <w:t>10</w:t>
      </w:r>
      <w:r>
        <w:rPr>
          <w:rFonts w:hint="eastAsia" w:ascii="仿宋_GB2312" w:hAnsi="仿宋_GB2312" w:eastAsia="仿宋_GB2312"/>
          <w:color w:val="auto"/>
          <w:kern w:val="2"/>
          <w:sz w:val="32"/>
          <w:szCs w:val="24"/>
        </w:rPr>
        <w:t>个，实施项目</w:t>
      </w:r>
      <w:r>
        <w:rPr>
          <w:rFonts w:hint="eastAsia" w:ascii="Times New Roman" w:hAnsi="Times New Roman" w:eastAsia="宋体"/>
          <w:color w:val="auto"/>
          <w:kern w:val="2"/>
          <w:sz w:val="32"/>
          <w:szCs w:val="24"/>
          <w:u w:val="single"/>
          <w:lang w:val="en-US" w:eastAsia="zh-CN"/>
        </w:rPr>
        <w:t>18</w:t>
      </w:r>
      <w:r>
        <w:rPr>
          <w:rFonts w:hint="eastAsia" w:ascii="仿宋_GB2312" w:hAnsi="仿宋_GB2312" w:eastAsia="仿宋_GB2312"/>
          <w:color w:val="auto"/>
          <w:kern w:val="2"/>
          <w:sz w:val="32"/>
          <w:szCs w:val="24"/>
        </w:rPr>
        <w:t>个，完成项目</w:t>
      </w:r>
      <w:r>
        <w:rPr>
          <w:rFonts w:hint="eastAsia" w:ascii="Times New Roman" w:hAnsi="Times New Roman" w:eastAsia="宋体"/>
          <w:color w:val="auto"/>
          <w:kern w:val="2"/>
          <w:sz w:val="32"/>
          <w:szCs w:val="24"/>
          <w:u w:val="single"/>
          <w:lang w:val="en-US" w:eastAsia="zh-CN"/>
        </w:rPr>
        <w:t>18</w:t>
      </w:r>
      <w:r>
        <w:rPr>
          <w:rFonts w:hint="eastAsia" w:ascii="仿宋_GB2312" w:hAnsi="仿宋_GB2312" w:eastAsia="仿宋_GB2312"/>
          <w:color w:val="auto"/>
          <w:kern w:val="2"/>
          <w:sz w:val="32"/>
          <w:szCs w:val="24"/>
        </w:rPr>
        <w:t>个，项目支出总金额</w:t>
      </w:r>
      <w:r>
        <w:rPr>
          <w:rFonts w:hint="eastAsia" w:ascii="Times New Roman" w:hAnsi="Times New Roman" w:eastAsia="宋体"/>
          <w:color w:val="auto"/>
          <w:kern w:val="2"/>
          <w:sz w:val="32"/>
          <w:szCs w:val="24"/>
          <w:u w:val="single"/>
          <w:lang w:eastAsia="zh-CN"/>
        </w:rPr>
        <w:t>234.08</w:t>
      </w:r>
      <w:r>
        <w:rPr>
          <w:rFonts w:hint="eastAsia" w:ascii="仿宋_GB2312" w:hAnsi="仿宋_GB2312" w:eastAsia="仿宋_GB2312"/>
          <w:color w:val="auto"/>
          <w:kern w:val="2"/>
          <w:sz w:val="32"/>
          <w:szCs w:val="24"/>
        </w:rPr>
        <w:t>万元。资金来源包括年初结转结余</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万元，本年财政拨款金额</w:t>
      </w:r>
      <w:r>
        <w:rPr>
          <w:rFonts w:hint="eastAsia" w:ascii="Times New Roman" w:hAnsi="Times New Roman" w:eastAsia="宋体"/>
          <w:color w:val="auto"/>
          <w:kern w:val="2"/>
          <w:sz w:val="32"/>
          <w:szCs w:val="24"/>
          <w:u w:val="single"/>
          <w:lang w:eastAsia="zh-CN"/>
        </w:rPr>
        <w:t>234.08</w:t>
      </w:r>
      <w:r>
        <w:rPr>
          <w:rFonts w:hint="eastAsia" w:ascii="仿宋_GB2312" w:hAnsi="仿宋_GB2312" w:eastAsia="仿宋_GB2312"/>
          <w:color w:val="auto"/>
          <w:kern w:val="2"/>
          <w:sz w:val="32"/>
          <w:szCs w:val="24"/>
        </w:rPr>
        <w:t>万元，本年其他资金</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w:t>
      </w:r>
    </w:p>
    <w:p>
      <w:pPr>
        <w:spacing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十二、机构运行经费支出决算情况说明</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人民政府2022年度机构运行经费支出决算</w:t>
      </w:r>
      <w:r>
        <w:rPr>
          <w:rFonts w:hint="default" w:ascii="Times New Roman" w:hAnsi="Times New Roman" w:eastAsia="Times New Roman"/>
          <w:color w:val="auto"/>
          <w:kern w:val="2"/>
          <w:sz w:val="32"/>
          <w:szCs w:val="24"/>
          <w:u w:val="single"/>
        </w:rPr>
        <w:t>124.66</w:t>
      </w:r>
      <w:r>
        <w:rPr>
          <w:rFonts w:hint="eastAsia" w:ascii="仿宋_GB2312" w:hAnsi="仿宋_GB2312" w:eastAsia="仿宋_GB2312"/>
          <w:color w:val="auto"/>
          <w:kern w:val="2"/>
          <w:sz w:val="32"/>
          <w:szCs w:val="24"/>
        </w:rPr>
        <w:t>万元。比上年决算相比，减少</w:t>
      </w:r>
      <w:r>
        <w:rPr>
          <w:rFonts w:hint="default" w:ascii="Times New Roman" w:hAnsi="Times New Roman" w:eastAsia="Times New Roman"/>
          <w:color w:val="auto"/>
          <w:kern w:val="2"/>
          <w:sz w:val="32"/>
          <w:szCs w:val="24"/>
          <w:u w:val="single"/>
        </w:rPr>
        <w:t>145.92</w:t>
      </w:r>
      <w:r>
        <w:rPr>
          <w:rFonts w:hint="eastAsia" w:ascii="仿宋_GB2312" w:hAnsi="仿宋_GB2312" w:eastAsia="仿宋_GB2312"/>
          <w:color w:val="auto"/>
          <w:kern w:val="2"/>
          <w:sz w:val="32"/>
          <w:szCs w:val="24"/>
        </w:rPr>
        <w:t>万元，减少</w:t>
      </w:r>
      <w:r>
        <w:rPr>
          <w:rFonts w:hint="default" w:ascii="Times New Roman" w:hAnsi="Times New Roman" w:eastAsia="Times New Roman"/>
          <w:color w:val="auto"/>
          <w:kern w:val="2"/>
          <w:sz w:val="32"/>
          <w:szCs w:val="24"/>
          <w:u w:val="single"/>
        </w:rPr>
        <w:t>53.93</w:t>
      </w:r>
      <w:r>
        <w:rPr>
          <w:rFonts w:hint="eastAsia" w:ascii="仿宋_GB2312" w:hAnsi="仿宋_GB2312" w:eastAsia="仿宋_GB2312"/>
          <w:color w:val="auto"/>
          <w:kern w:val="2"/>
          <w:sz w:val="32"/>
          <w:szCs w:val="24"/>
        </w:rPr>
        <w:t>%，变动原因：</w:t>
      </w:r>
      <w:r>
        <w:rPr>
          <w:rFonts w:hint="eastAsia" w:ascii="仿宋_GB2312" w:hAnsi="仿宋_GB2312" w:eastAsia="仿宋_GB2312"/>
          <w:color w:val="auto"/>
          <w:kern w:val="2"/>
          <w:sz w:val="32"/>
          <w:szCs w:val="24"/>
          <w:lang w:val="en-US" w:eastAsia="zh-CN"/>
        </w:rPr>
        <w:t>本年资金紧张，缩减了机构运行经费支出</w:t>
      </w:r>
      <w:r>
        <w:rPr>
          <w:rFonts w:hint="eastAsia" w:ascii="仿宋_GB2312" w:hAnsi="仿宋_GB2312" w:eastAsia="仿宋_GB2312"/>
          <w:color w:val="auto"/>
          <w:kern w:val="2"/>
          <w:sz w:val="32"/>
          <w:szCs w:val="24"/>
        </w:rPr>
        <w:t>。</w:t>
      </w:r>
    </w:p>
    <w:p>
      <w:pPr>
        <w:spacing w:line="600" w:lineRule="exact"/>
        <w:ind w:firstLine="643" w:firstLineChars="200"/>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十三、政府采购支出决算情况说明</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人民政府2022年度政府采购支出总额</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万元，其中：政府采购货物支出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万元、政府采购工程支出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万元、政府采购服务支出</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万元。政府采购授予中小企业合同金额</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万元，占政府采购支出总额的</w:t>
      </w:r>
      <w:r>
        <w:rPr>
          <w:rFonts w:hint="eastAsia" w:ascii="Times New Roman"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%，其中：授予小微企业合同金额</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万元，占政府采购支出总额的</w:t>
      </w:r>
      <w:r>
        <w:rPr>
          <w:rFonts w:hint="eastAsia" w:ascii="Times New Roman" w:hAnsi="Times New Roman" w:eastAsia="宋体"/>
          <w:color w:val="auto"/>
          <w:kern w:val="2"/>
          <w:sz w:val="32"/>
          <w:szCs w:val="24"/>
          <w:u w:val="single"/>
          <w:lang w:val="en-US" w:eastAsia="zh-CN"/>
        </w:rPr>
        <w:t>0</w:t>
      </w:r>
      <w:r>
        <w:rPr>
          <w:rFonts w:hint="eastAsia" w:ascii="仿宋_GB2312" w:hAnsi="仿宋_GB2312" w:eastAsia="仿宋_GB2312"/>
          <w:color w:val="auto"/>
          <w:kern w:val="2"/>
          <w:sz w:val="32"/>
          <w:szCs w:val="24"/>
        </w:rPr>
        <w:t>%；</w:t>
      </w:r>
      <w:r>
        <w:rPr>
          <w:rFonts w:hint="eastAsia" w:ascii="仿宋_GB2312" w:hAnsi="仿宋_GB2312" w:eastAsia="仿宋_GB2312"/>
          <w:color w:val="auto"/>
          <w:sz w:val="32"/>
          <w:szCs w:val="24"/>
        </w:rPr>
        <w:t>货物采购授予中小企业合同金额占货物支出金额的</w:t>
      </w:r>
      <w:r>
        <w:rPr>
          <w:rFonts w:hint="eastAsia" w:ascii="仿宋_GB2312" w:hAnsi="仿宋_GB2312" w:eastAsia="仿宋_GB2312"/>
          <w:color w:val="auto"/>
          <w:sz w:val="32"/>
          <w:szCs w:val="24"/>
          <w:u w:val="single"/>
          <w:lang w:val="en-US" w:eastAsia="zh-CN"/>
        </w:rPr>
        <w:t>0</w:t>
      </w:r>
      <w:r>
        <w:rPr>
          <w:rFonts w:hint="eastAsia" w:ascii="仿宋_GB2312" w:hAnsi="仿宋_GB2312" w:eastAsia="仿宋_GB2312"/>
          <w:color w:val="auto"/>
          <w:sz w:val="32"/>
          <w:szCs w:val="24"/>
        </w:rPr>
        <w:t>%，工程采购授予中小企业合同金额占工程支出金额的</w:t>
      </w:r>
      <w:r>
        <w:rPr>
          <w:rFonts w:hint="eastAsia" w:ascii="Times New Roman" w:hAnsi="Times New Roman" w:eastAsia="宋体"/>
          <w:color w:val="auto"/>
          <w:kern w:val="2"/>
          <w:sz w:val="32"/>
          <w:szCs w:val="24"/>
          <w:u w:val="single"/>
          <w:lang w:val="en-US" w:eastAsia="zh-CN"/>
        </w:rPr>
        <w:t>0</w:t>
      </w:r>
      <w:r>
        <w:rPr>
          <w:rFonts w:hint="eastAsia" w:ascii="仿宋_GB2312" w:hAnsi="仿宋_GB2312" w:eastAsia="仿宋_GB2312"/>
          <w:color w:val="auto"/>
          <w:sz w:val="32"/>
          <w:szCs w:val="24"/>
        </w:rPr>
        <w:t>%，服务采购授予中小企业合同金额占服务支出金额的</w:t>
      </w:r>
      <w:r>
        <w:rPr>
          <w:rFonts w:hint="eastAsia" w:ascii="Times New Roman" w:hAnsi="Times New Roman" w:eastAsia="宋体"/>
          <w:color w:val="auto"/>
          <w:kern w:val="2"/>
          <w:sz w:val="32"/>
          <w:szCs w:val="24"/>
          <w:u w:val="single"/>
          <w:lang w:val="en-US" w:eastAsia="zh-CN"/>
        </w:rPr>
        <w:t>0</w:t>
      </w:r>
      <w:r>
        <w:rPr>
          <w:rFonts w:hint="eastAsia" w:ascii="仿宋_GB2312" w:hAnsi="仿宋_GB2312" w:eastAsia="仿宋_GB2312"/>
          <w:color w:val="auto"/>
          <w:sz w:val="32"/>
          <w:szCs w:val="24"/>
        </w:rPr>
        <w:t>%。</w:t>
      </w:r>
    </w:p>
    <w:p>
      <w:pPr>
        <w:keepNext/>
        <w:spacing w:line="600" w:lineRule="exact"/>
        <w:ind w:firstLine="643"/>
        <w:jc w:val="both"/>
        <w:rPr>
          <w:rFonts w:hint="default" w:ascii="Times New Roman" w:hAnsi="Times New Roman" w:eastAsia="Times New Roman"/>
          <w:b/>
          <w:color w:val="auto"/>
          <w:kern w:val="2"/>
          <w:sz w:val="32"/>
          <w:szCs w:val="24"/>
        </w:rPr>
      </w:pPr>
      <w:r>
        <w:rPr>
          <w:rFonts w:hint="eastAsia" w:ascii="黑体" w:hAnsi="黑体" w:eastAsia="黑体"/>
          <w:b/>
          <w:color w:val="auto"/>
          <w:kern w:val="2"/>
          <w:sz w:val="32"/>
          <w:szCs w:val="24"/>
        </w:rPr>
        <w:t>十四、国有资产占用情况说明</w:t>
      </w:r>
    </w:p>
    <w:p>
      <w:pPr>
        <w:spacing w:line="560" w:lineRule="exact"/>
        <w:ind w:firstLine="640"/>
        <w:jc w:val="both"/>
        <w:rPr>
          <w:rFonts w:hint="eastAsia" w:ascii="黑体" w:hAnsi="黑体" w:eastAsia="黑体"/>
          <w:b/>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人民政府截至</w:t>
      </w:r>
      <w:r>
        <w:rPr>
          <w:rFonts w:hint="default" w:ascii="Times New Roman" w:hAnsi="Times New Roman" w:eastAsia="Times New Roman"/>
          <w:color w:val="auto"/>
          <w:kern w:val="2"/>
          <w:sz w:val="32"/>
          <w:szCs w:val="24"/>
        </w:rPr>
        <w:t>2022</w:t>
      </w:r>
      <w:r>
        <w:rPr>
          <w:rFonts w:hint="eastAsia" w:ascii="仿宋_GB2312" w:hAnsi="仿宋_GB2312" w:eastAsia="仿宋_GB2312"/>
          <w:color w:val="auto"/>
          <w:kern w:val="2"/>
          <w:sz w:val="32"/>
          <w:szCs w:val="24"/>
        </w:rPr>
        <w:t>年</w:t>
      </w:r>
      <w:r>
        <w:rPr>
          <w:rFonts w:hint="default" w:ascii="Times New Roman" w:hAnsi="Times New Roman" w:eastAsia="Times New Roman"/>
          <w:color w:val="auto"/>
          <w:kern w:val="2"/>
          <w:sz w:val="32"/>
          <w:szCs w:val="24"/>
        </w:rPr>
        <w:t>12</w:t>
      </w:r>
      <w:r>
        <w:rPr>
          <w:rFonts w:hint="eastAsia" w:ascii="仿宋_GB2312" w:hAnsi="仿宋_GB2312" w:eastAsia="仿宋_GB2312"/>
          <w:color w:val="auto"/>
          <w:kern w:val="2"/>
          <w:sz w:val="32"/>
          <w:szCs w:val="24"/>
        </w:rPr>
        <w:t>月</w:t>
      </w:r>
      <w:r>
        <w:rPr>
          <w:rFonts w:hint="default" w:ascii="Times New Roman" w:hAnsi="Times New Roman" w:eastAsia="Times New Roman"/>
          <w:color w:val="auto"/>
          <w:kern w:val="2"/>
          <w:sz w:val="32"/>
          <w:szCs w:val="24"/>
        </w:rPr>
        <w:t>31</w:t>
      </w:r>
      <w:r>
        <w:rPr>
          <w:rFonts w:hint="eastAsia" w:ascii="仿宋_GB2312" w:hAnsi="仿宋_GB2312" w:eastAsia="仿宋_GB2312"/>
          <w:color w:val="auto"/>
          <w:kern w:val="2"/>
          <w:sz w:val="32"/>
          <w:szCs w:val="24"/>
        </w:rPr>
        <w:t>日，本共有车辆</w:t>
      </w:r>
      <w:r>
        <w:rPr>
          <w:rFonts w:hint="default" w:ascii="Times New Roman" w:hAnsi="Times New Roman" w:eastAsia="Times New Roman"/>
          <w:color w:val="auto"/>
          <w:kern w:val="2"/>
          <w:sz w:val="32"/>
          <w:szCs w:val="24"/>
          <w:u w:val="single"/>
        </w:rPr>
        <w:t>4</w:t>
      </w:r>
      <w:r>
        <w:rPr>
          <w:rFonts w:hint="eastAsia" w:ascii="仿宋_GB2312" w:hAnsi="仿宋_GB2312" w:eastAsia="仿宋_GB2312"/>
          <w:color w:val="auto"/>
          <w:kern w:val="2"/>
          <w:sz w:val="32"/>
          <w:szCs w:val="24"/>
        </w:rPr>
        <w:t>辆，其中：副部（省）级及以上领导用车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辆、主要领导干部用车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辆、机要通信用车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辆、应急保障用车</w:t>
      </w:r>
      <w:r>
        <w:rPr>
          <w:rFonts w:hint="default" w:ascii="Times New Roman" w:hAnsi="Times New Roman" w:eastAsia="Times New Roman"/>
          <w:color w:val="auto"/>
          <w:kern w:val="2"/>
          <w:sz w:val="32"/>
          <w:szCs w:val="24"/>
          <w:u w:val="single"/>
        </w:rPr>
        <w:t>4</w:t>
      </w:r>
      <w:r>
        <w:rPr>
          <w:rFonts w:hint="eastAsia" w:ascii="仿宋_GB2312" w:hAnsi="仿宋_GB2312" w:eastAsia="仿宋_GB2312"/>
          <w:color w:val="auto"/>
          <w:kern w:val="2"/>
          <w:sz w:val="32"/>
          <w:szCs w:val="24"/>
        </w:rPr>
        <w:t>辆、执法执勤用车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辆、特种专业技术用车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辆、离退休干部用车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辆，其他用车</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辆；单价</w:t>
      </w:r>
      <w:r>
        <w:rPr>
          <w:rFonts w:hint="default" w:ascii="Times New Roman" w:hAnsi="Times New Roman" w:eastAsia="Times New Roman"/>
          <w:color w:val="auto"/>
          <w:kern w:val="2"/>
          <w:sz w:val="32"/>
          <w:szCs w:val="24"/>
        </w:rPr>
        <w:t>100</w:t>
      </w:r>
      <w:r>
        <w:rPr>
          <w:rFonts w:hint="eastAsia" w:ascii="仿宋_GB2312" w:hAnsi="仿宋_GB2312" w:eastAsia="仿宋_GB2312"/>
          <w:color w:val="auto"/>
          <w:kern w:val="2"/>
          <w:sz w:val="32"/>
          <w:szCs w:val="24"/>
        </w:rPr>
        <w:t>万元（含）以上的设备（不含车辆）</w:t>
      </w:r>
      <w:r>
        <w:rPr>
          <w:rFonts w:hint="default" w:ascii="Times New Roman" w:hAnsi="Times New Roman" w:eastAsia="Times New Roman"/>
          <w:color w:val="auto"/>
          <w:kern w:val="2"/>
          <w:sz w:val="32"/>
          <w:szCs w:val="24"/>
          <w:u w:val="single"/>
        </w:rPr>
        <w:t>0</w:t>
      </w:r>
      <w:r>
        <w:rPr>
          <w:rFonts w:hint="eastAsia" w:ascii="仿宋_GB2312" w:hAnsi="仿宋_GB2312" w:eastAsia="仿宋_GB2312"/>
          <w:color w:val="auto"/>
          <w:kern w:val="2"/>
          <w:sz w:val="32"/>
          <w:szCs w:val="24"/>
        </w:rPr>
        <w:t>台（套）。</w:t>
      </w:r>
    </w:p>
    <w:p>
      <w:pPr>
        <w:numPr>
          <w:ilvl w:val="0"/>
          <w:numId w:val="4"/>
        </w:numPr>
        <w:spacing w:line="600" w:lineRule="exact"/>
        <w:ind w:firstLine="643"/>
        <w:jc w:val="both"/>
        <w:rPr>
          <w:rFonts w:hint="eastAsia" w:ascii="黑体" w:hAnsi="黑体" w:eastAsia="黑体"/>
          <w:b/>
          <w:color w:val="auto"/>
          <w:kern w:val="2"/>
          <w:sz w:val="32"/>
          <w:szCs w:val="24"/>
        </w:rPr>
      </w:pPr>
      <w:r>
        <w:rPr>
          <w:rFonts w:hint="eastAsia" w:ascii="黑体" w:hAnsi="黑体" w:eastAsia="黑体"/>
          <w:b/>
          <w:color w:val="auto"/>
          <w:kern w:val="2"/>
          <w:sz w:val="32"/>
          <w:szCs w:val="24"/>
        </w:rPr>
        <w:t>预算绩效情况说明</w:t>
      </w:r>
    </w:p>
    <w:p>
      <w:pPr>
        <w:ind w:firstLine="643"/>
        <w:jc w:val="both"/>
        <w:rPr>
          <w:rFonts w:hint="eastAsia" w:ascii="楷体" w:hAnsi="楷体" w:eastAsia="楷体"/>
          <w:b/>
          <w:color w:val="auto"/>
          <w:kern w:val="2"/>
          <w:sz w:val="32"/>
          <w:szCs w:val="24"/>
        </w:rPr>
      </w:pPr>
    </w:p>
    <w:p>
      <w:pPr>
        <w:ind w:firstLine="643"/>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（一）预算绩效管理工作开展情况。</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人民政府根据预算绩效管理要求组织对2022年一般公共预算项目支出全面开展绩效自评，其中一级项目</w:t>
      </w:r>
      <w:r>
        <w:rPr>
          <w:rFonts w:hint="eastAsia" w:ascii="仿宋_GB2312" w:hAnsi="仿宋_GB2312" w:eastAsia="仿宋_GB2312"/>
          <w:color w:val="auto"/>
          <w:kern w:val="2"/>
          <w:sz w:val="32"/>
          <w:szCs w:val="24"/>
          <w:u w:val="single"/>
          <w:lang w:val="en-US" w:eastAsia="zh-CN"/>
        </w:rPr>
        <w:t>6</w:t>
      </w:r>
      <w:r>
        <w:rPr>
          <w:rFonts w:hint="eastAsia" w:ascii="仿宋_GB2312" w:hAnsi="仿宋_GB2312" w:eastAsia="仿宋_GB2312"/>
          <w:color w:val="auto"/>
          <w:kern w:val="2"/>
          <w:sz w:val="32"/>
          <w:szCs w:val="24"/>
        </w:rPr>
        <w:t>个，二级项目</w:t>
      </w:r>
      <w:r>
        <w:rPr>
          <w:rFonts w:hint="eastAsia" w:ascii="Times New Roman" w:hAnsi="Times New Roman" w:eastAsia="宋体"/>
          <w:color w:val="auto"/>
          <w:kern w:val="2"/>
          <w:sz w:val="32"/>
          <w:szCs w:val="24"/>
          <w:u w:val="single"/>
          <w:lang w:val="en-US" w:eastAsia="zh-CN"/>
        </w:rPr>
        <w:t>8</w:t>
      </w:r>
      <w:r>
        <w:rPr>
          <w:rFonts w:hint="eastAsia" w:ascii="仿宋_GB2312" w:hAnsi="仿宋_GB2312" w:eastAsia="仿宋_GB2312"/>
          <w:color w:val="auto"/>
          <w:kern w:val="2"/>
          <w:sz w:val="32"/>
          <w:szCs w:val="24"/>
        </w:rPr>
        <w:t>个，共涉及资金</w:t>
      </w:r>
      <w:r>
        <w:rPr>
          <w:rFonts w:hint="eastAsia" w:ascii="Times New Roman" w:hAnsi="Times New Roman" w:eastAsia="宋体"/>
          <w:color w:val="auto"/>
          <w:kern w:val="2"/>
          <w:sz w:val="32"/>
          <w:szCs w:val="24"/>
          <w:u w:val="single"/>
          <w:lang w:eastAsia="zh-CN"/>
        </w:rPr>
        <w:t>234.08</w:t>
      </w:r>
      <w:r>
        <w:rPr>
          <w:rFonts w:hint="eastAsia" w:ascii="仿宋_GB2312" w:hAnsi="仿宋_GB2312" w:eastAsia="仿宋_GB2312"/>
          <w:color w:val="auto"/>
          <w:kern w:val="2"/>
          <w:sz w:val="32"/>
          <w:szCs w:val="24"/>
        </w:rPr>
        <w:t>万元，占一般公共预算项目支出总额的</w:t>
      </w:r>
      <w:r>
        <w:rPr>
          <w:rFonts w:hint="default" w:ascii="Times New Roman" w:hAnsi="Times New Roman" w:eastAsia="Times New Roman"/>
          <w:color w:val="auto"/>
          <w:kern w:val="2"/>
          <w:sz w:val="32"/>
          <w:szCs w:val="24"/>
        </w:rPr>
        <w:t>100</w:t>
      </w:r>
      <w:r>
        <w:rPr>
          <w:rFonts w:hint="eastAsia" w:ascii="仿宋_GB2312" w:hAnsi="仿宋_GB2312" w:eastAsia="仿宋_GB2312"/>
          <w:color w:val="auto"/>
          <w:kern w:val="2"/>
          <w:sz w:val="32"/>
          <w:szCs w:val="24"/>
        </w:rPr>
        <w:t>%。</w:t>
      </w:r>
    </w:p>
    <w:p>
      <w:pPr>
        <w:spacing w:line="560" w:lineRule="exact"/>
        <w:ind w:firstLine="64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组织对“提前下达2021年文化馆免费开放补助资金”等</w:t>
      </w:r>
      <w:r>
        <w:rPr>
          <w:rFonts w:hint="eastAsia" w:ascii="Times New Roman" w:hAnsi="Times New Roman" w:eastAsia="宋体"/>
          <w:color w:val="auto"/>
          <w:kern w:val="2"/>
          <w:sz w:val="32"/>
          <w:szCs w:val="24"/>
          <w:u w:val="single"/>
          <w:lang w:val="en-US" w:eastAsia="zh-CN"/>
        </w:rPr>
        <w:t>1</w:t>
      </w:r>
      <w:r>
        <w:rPr>
          <w:rFonts w:hint="eastAsia" w:ascii="仿宋_GB2312" w:hAnsi="仿宋_GB2312" w:eastAsia="仿宋_GB2312"/>
          <w:color w:val="auto"/>
          <w:kern w:val="2"/>
          <w:sz w:val="32"/>
          <w:szCs w:val="24"/>
        </w:rPr>
        <w:t>个项目开展了评价，涉及一般公共预算支出</w:t>
      </w:r>
      <w:r>
        <w:rPr>
          <w:rFonts w:hint="eastAsia" w:ascii="仿宋_GB2312" w:hAnsi="仿宋_GB2312" w:eastAsia="仿宋_GB2312"/>
          <w:color w:val="auto"/>
          <w:kern w:val="2"/>
          <w:sz w:val="32"/>
          <w:szCs w:val="24"/>
          <w:u w:val="single"/>
          <w:lang w:val="en-US" w:eastAsia="zh-CN"/>
        </w:rPr>
        <w:t>3.07</w:t>
      </w:r>
      <w:r>
        <w:rPr>
          <w:rFonts w:hint="eastAsia" w:ascii="仿宋_GB2312" w:hAnsi="仿宋_GB2312" w:eastAsia="仿宋_GB2312"/>
          <w:color w:val="auto"/>
          <w:kern w:val="2"/>
          <w:sz w:val="32"/>
          <w:szCs w:val="24"/>
        </w:rPr>
        <w:t>万元。委托相关第三方机构开展绩效评价。从评价情况看，以上项目</w:t>
      </w:r>
      <w:r>
        <w:rPr>
          <w:rFonts w:hint="eastAsia" w:ascii="仿宋_GB2312" w:hAnsi="仿宋_GB2312" w:eastAsia="仿宋_GB2312"/>
          <w:color w:val="auto"/>
          <w:kern w:val="2"/>
          <w:sz w:val="32"/>
          <w:szCs w:val="24"/>
          <w:lang w:val="en-US" w:eastAsia="zh-CN"/>
        </w:rPr>
        <w:t>在旗委、旗政府及旗文化和旅游局的监督下圆满完成</w:t>
      </w:r>
      <w:r>
        <w:rPr>
          <w:rFonts w:hint="eastAsia" w:ascii="仿宋_GB2312" w:hAnsi="仿宋_GB2312" w:eastAsia="仿宋_GB2312"/>
          <w:color w:val="auto"/>
          <w:kern w:val="2"/>
          <w:sz w:val="32"/>
          <w:szCs w:val="24"/>
        </w:rPr>
        <w:t>。</w:t>
      </w:r>
    </w:p>
    <w:p>
      <w:pPr>
        <w:jc w:val="both"/>
        <w:rPr>
          <w:rFonts w:hint="eastAsia" w:ascii="楷体" w:hAnsi="楷体" w:eastAsia="楷体"/>
          <w:b/>
          <w:color w:val="auto"/>
          <w:kern w:val="2"/>
          <w:sz w:val="32"/>
          <w:szCs w:val="24"/>
        </w:rPr>
      </w:pPr>
    </w:p>
    <w:p>
      <w:pPr>
        <w:ind w:firstLine="643" w:firstLineChars="200"/>
        <w:jc w:val="both"/>
        <w:rPr>
          <w:rFonts w:hint="default" w:ascii="Times New Roman" w:hAnsi="Times New Roman" w:eastAsia="Times New Roman"/>
          <w:b/>
          <w:color w:val="auto"/>
          <w:kern w:val="2"/>
          <w:sz w:val="32"/>
          <w:szCs w:val="24"/>
        </w:rPr>
      </w:pPr>
      <w:r>
        <w:rPr>
          <w:rFonts w:hint="eastAsia" w:ascii="楷体" w:hAnsi="楷体" w:eastAsia="楷体"/>
          <w:b/>
          <w:color w:val="auto"/>
          <w:kern w:val="2"/>
          <w:sz w:val="32"/>
          <w:szCs w:val="24"/>
        </w:rPr>
        <w:t>（二）决算中项目绩效自评结果。</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莫力达瓦达斡尔族自治旗</w:t>
      </w:r>
      <w:r>
        <w:rPr>
          <w:rFonts w:hint="eastAsia" w:ascii="仿宋_GB2312" w:hAnsi="仿宋_GB2312" w:eastAsia="仿宋_GB2312"/>
          <w:color w:val="auto"/>
          <w:kern w:val="2"/>
          <w:sz w:val="32"/>
          <w:szCs w:val="24"/>
          <w:lang w:eastAsia="zh-CN"/>
        </w:rPr>
        <w:t>阿尔拉镇</w:t>
      </w:r>
      <w:r>
        <w:rPr>
          <w:rFonts w:hint="eastAsia" w:ascii="仿宋_GB2312" w:hAnsi="仿宋_GB2312" w:eastAsia="仿宋_GB2312"/>
          <w:color w:val="auto"/>
          <w:kern w:val="2"/>
          <w:sz w:val="32"/>
          <w:szCs w:val="24"/>
        </w:rPr>
        <w:t>人民政府2022年度在决算中反映</w:t>
      </w:r>
      <w:r>
        <w:rPr>
          <w:rFonts w:hint="eastAsia" w:ascii="Times New Roman" w:hAnsi="Times New Roman" w:eastAsia="宋体"/>
          <w:color w:val="auto"/>
          <w:kern w:val="2"/>
          <w:sz w:val="32"/>
          <w:szCs w:val="24"/>
          <w:u w:val="single"/>
          <w:lang w:val="en-US" w:eastAsia="zh-CN"/>
        </w:rPr>
        <w:t>1</w:t>
      </w:r>
      <w:r>
        <w:rPr>
          <w:rFonts w:hint="eastAsia" w:ascii="仿宋_GB2312" w:hAnsi="仿宋_GB2312" w:eastAsia="仿宋_GB2312"/>
          <w:color w:val="auto"/>
          <w:kern w:val="2"/>
          <w:sz w:val="32"/>
          <w:szCs w:val="24"/>
        </w:rPr>
        <w:t>个一般公共预算项目的绩效自评结果。</w:t>
      </w:r>
    </w:p>
    <w:p>
      <w:pPr>
        <w:spacing w:line="56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提前下达2021年文化馆免费开放补助资金项目自评综述：根据年初设定的绩效目标，项目自评得分</w:t>
      </w:r>
      <w:r>
        <w:rPr>
          <w:rFonts w:hint="eastAsia" w:ascii="Times New Roman" w:hAnsi="Times New Roman" w:eastAsia="宋体"/>
          <w:color w:val="auto"/>
          <w:kern w:val="2"/>
          <w:sz w:val="32"/>
          <w:szCs w:val="24"/>
          <w:u w:val="single"/>
          <w:lang w:val="en-US" w:eastAsia="zh-CN"/>
        </w:rPr>
        <w:t>90</w:t>
      </w:r>
      <w:r>
        <w:rPr>
          <w:rFonts w:hint="eastAsia" w:ascii="仿宋_GB2312" w:hAnsi="仿宋_GB2312" w:eastAsia="仿宋_GB2312"/>
          <w:color w:val="auto"/>
          <w:kern w:val="2"/>
          <w:sz w:val="32"/>
          <w:szCs w:val="24"/>
        </w:rPr>
        <w:t>分。全年预算数为</w:t>
      </w:r>
      <w:r>
        <w:rPr>
          <w:rFonts w:hint="default"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u w:val="single"/>
          <w:lang w:val="en-US" w:eastAsia="zh-CN"/>
        </w:rPr>
        <w:t>4.5</w:t>
      </w:r>
      <w:r>
        <w:rPr>
          <w:rFonts w:hint="eastAsia" w:ascii="仿宋_GB2312" w:hAnsi="仿宋_GB2312" w:eastAsia="仿宋_GB2312"/>
          <w:color w:val="auto"/>
          <w:kern w:val="2"/>
          <w:sz w:val="32"/>
          <w:szCs w:val="24"/>
        </w:rPr>
        <w:t>元，执行数为</w:t>
      </w:r>
      <w:r>
        <w:rPr>
          <w:rFonts w:hint="eastAsia" w:ascii="Times New Roman" w:hAnsi="Times New Roman" w:eastAsia="宋体"/>
          <w:color w:val="auto"/>
          <w:kern w:val="2"/>
          <w:sz w:val="32"/>
          <w:szCs w:val="24"/>
          <w:u w:val="single"/>
          <w:lang w:val="en-US" w:eastAsia="zh-CN"/>
        </w:rPr>
        <w:t>3.07</w:t>
      </w:r>
      <w:r>
        <w:rPr>
          <w:rFonts w:hint="eastAsia" w:ascii="仿宋_GB2312" w:hAnsi="仿宋_GB2312" w:eastAsia="仿宋_GB2312"/>
          <w:color w:val="auto"/>
          <w:kern w:val="2"/>
          <w:sz w:val="32"/>
          <w:szCs w:val="24"/>
        </w:rPr>
        <w:t>万元，完成预算的</w:t>
      </w:r>
      <w:r>
        <w:rPr>
          <w:rFonts w:hint="eastAsia" w:ascii="Times New Roman" w:hAnsi="Times New Roman" w:eastAsia="宋体"/>
          <w:color w:val="auto"/>
          <w:kern w:val="2"/>
          <w:sz w:val="32"/>
          <w:szCs w:val="24"/>
          <w:u w:val="single"/>
          <w:lang w:val="en-US" w:eastAsia="zh-CN"/>
        </w:rPr>
        <w:t>68.22</w:t>
      </w:r>
      <w:r>
        <w:rPr>
          <w:rFonts w:hint="eastAsia" w:ascii="仿宋_GB2312" w:hAnsi="仿宋_GB2312" w:eastAsia="仿宋_GB2312"/>
          <w:color w:val="auto"/>
          <w:kern w:val="2"/>
          <w:sz w:val="32"/>
          <w:szCs w:val="24"/>
        </w:rPr>
        <w:t>%。项目绩效目标完成情况：</w:t>
      </w:r>
      <w:r>
        <w:rPr>
          <w:rFonts w:hint="eastAsia" w:ascii="仿宋_GB2312" w:hAnsi="仿宋_GB2312" w:eastAsia="仿宋_GB2312"/>
          <w:color w:val="auto"/>
          <w:kern w:val="2"/>
          <w:sz w:val="32"/>
          <w:szCs w:val="24"/>
          <w:lang w:val="en-US" w:eastAsia="zh-CN"/>
        </w:rPr>
        <w:t>吸引全乡居民积极参与活动</w:t>
      </w:r>
      <w:r>
        <w:rPr>
          <w:rFonts w:hint="eastAsia" w:ascii="仿宋_GB2312" w:hAnsi="仿宋_GB2312" w:eastAsia="仿宋_GB2312"/>
          <w:color w:val="auto"/>
          <w:kern w:val="2"/>
          <w:sz w:val="32"/>
          <w:szCs w:val="24"/>
        </w:rPr>
        <w:t>。发现的主要问题及原因：</w:t>
      </w:r>
      <w:r>
        <w:rPr>
          <w:rFonts w:hint="eastAsia" w:ascii="仿宋_GB2312" w:hAnsi="仿宋_GB2312" w:eastAsia="仿宋_GB2312"/>
          <w:color w:val="auto"/>
          <w:kern w:val="2"/>
          <w:sz w:val="32"/>
          <w:szCs w:val="24"/>
          <w:lang w:val="en-US" w:eastAsia="zh-CN"/>
        </w:rPr>
        <w:t>由于居民没有参观馆所的习惯及宣传力度不够等问题导致开放普及率不高，参观人次较少</w:t>
      </w:r>
      <w:r>
        <w:rPr>
          <w:rFonts w:hint="eastAsia" w:ascii="仿宋_GB2312" w:hAnsi="仿宋_GB2312" w:eastAsia="仿宋_GB2312"/>
          <w:color w:val="auto"/>
          <w:kern w:val="2"/>
          <w:sz w:val="32"/>
          <w:szCs w:val="24"/>
        </w:rPr>
        <w:t>。下一步改进措施：</w:t>
      </w:r>
      <w:r>
        <w:rPr>
          <w:rFonts w:hint="eastAsia" w:ascii="仿宋_GB2312" w:hAnsi="仿宋_GB2312" w:eastAsia="仿宋_GB2312"/>
          <w:color w:val="auto"/>
          <w:kern w:val="2"/>
          <w:sz w:val="32"/>
          <w:szCs w:val="24"/>
          <w:lang w:val="en-US" w:eastAsia="zh-CN"/>
        </w:rPr>
        <w:t>充分调动社会资源，加大宣传力度</w:t>
      </w:r>
      <w:r>
        <w:rPr>
          <w:rFonts w:hint="eastAsia" w:ascii="仿宋_GB2312" w:hAnsi="仿宋_GB2312" w:eastAsia="仿宋_GB2312"/>
          <w:color w:val="auto"/>
          <w:kern w:val="2"/>
          <w:sz w:val="32"/>
          <w:szCs w:val="24"/>
        </w:rPr>
        <w:t>。</w:t>
      </w:r>
    </w:p>
    <w:p>
      <w:pPr>
        <w:ind w:firstLine="643"/>
        <w:jc w:val="both"/>
        <w:rPr>
          <w:rFonts w:hint="eastAsia" w:ascii="楷体" w:hAnsi="楷体" w:eastAsia="楷体"/>
          <w:b/>
          <w:color w:val="auto"/>
          <w:kern w:val="2"/>
          <w:sz w:val="32"/>
          <w:szCs w:val="24"/>
        </w:rPr>
      </w:pPr>
    </w:p>
    <w:p>
      <w:pPr>
        <w:numPr>
          <w:ilvl w:val="0"/>
          <w:numId w:val="5"/>
        </w:numPr>
        <w:ind w:firstLine="643"/>
        <w:jc w:val="both"/>
        <w:rPr>
          <w:rFonts w:hint="eastAsia" w:ascii="楷体" w:hAnsi="楷体" w:eastAsia="楷体"/>
          <w:b/>
          <w:color w:val="auto"/>
          <w:kern w:val="2"/>
          <w:sz w:val="32"/>
          <w:szCs w:val="24"/>
        </w:rPr>
      </w:pPr>
      <w:r>
        <w:rPr>
          <w:rFonts w:hint="eastAsia" w:ascii="楷体" w:hAnsi="楷体" w:eastAsia="楷体"/>
          <w:b/>
          <w:color w:val="auto"/>
          <w:kern w:val="2"/>
          <w:sz w:val="32"/>
          <w:szCs w:val="24"/>
        </w:rPr>
        <w:t>项目绩效评价结果。</w:t>
      </w:r>
    </w:p>
    <w:p>
      <w:pPr>
        <w:numPr>
          <w:ilvl w:val="0"/>
          <w:numId w:val="0"/>
        </w:numPr>
        <w:jc w:val="both"/>
        <w:rPr>
          <w:rFonts w:hint="eastAsia" w:ascii="楷体" w:hAnsi="楷体" w:eastAsia="楷体"/>
          <w:b/>
          <w:color w:val="auto"/>
          <w:kern w:val="2"/>
          <w:sz w:val="32"/>
          <w:szCs w:val="24"/>
        </w:rPr>
      </w:pPr>
    </w:p>
    <w:p>
      <w:pPr>
        <w:spacing w:line="360" w:lineRule="auto"/>
        <w:ind w:firstLine="641"/>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以提前下达2021年文化馆免费开放补助资金项目为例，该项目绩效评价综合得分为</w:t>
      </w:r>
      <w:r>
        <w:rPr>
          <w:rFonts w:hint="eastAsia" w:ascii="Times New Roman" w:hAnsi="Times New Roman" w:eastAsia="宋体"/>
          <w:color w:val="auto"/>
          <w:kern w:val="2"/>
          <w:sz w:val="32"/>
          <w:szCs w:val="24"/>
          <w:u w:val="single"/>
          <w:lang w:val="en-US" w:eastAsia="zh-CN"/>
        </w:rPr>
        <w:t>100</w:t>
      </w:r>
      <w:r>
        <w:rPr>
          <w:rFonts w:hint="eastAsia" w:ascii="仿宋_GB2312" w:hAnsi="仿宋_GB2312" w:eastAsia="仿宋_GB2312"/>
          <w:color w:val="auto"/>
          <w:kern w:val="2"/>
          <w:sz w:val="32"/>
          <w:szCs w:val="24"/>
        </w:rPr>
        <w:t>分，绩效评价结果为“优”。重点项目绩效评价得分情况详见具体绩效评价结果。</w:t>
      </w:r>
    </w:p>
    <w:p>
      <w:pPr>
        <w:spacing w:line="560" w:lineRule="exact"/>
        <w:jc w:val="both"/>
        <w:rPr>
          <w:rFonts w:hint="default" w:ascii="Times New Roman" w:hAnsi="Times New Roman" w:eastAsia="Times New Roman"/>
          <w:color w:val="auto"/>
          <w:kern w:val="2"/>
          <w:sz w:val="32"/>
          <w:szCs w:val="24"/>
        </w:rPr>
      </w:pPr>
    </w:p>
    <w:p>
      <w:pPr>
        <w:pStyle w:val="3"/>
        <w:keepNext/>
        <w:keepLines/>
        <w:tabs>
          <w:tab w:val="left" w:pos="4392"/>
        </w:tabs>
        <w:spacing w:line="360" w:lineRule="auto"/>
        <w:jc w:val="center"/>
        <w:rPr>
          <w:rFonts w:hint="default" w:ascii="Times New Roman" w:hAnsi="Times New Roman" w:eastAsia="Times New Roman"/>
          <w:color w:val="auto"/>
          <w:kern w:val="2"/>
          <w:sz w:val="36"/>
          <w:szCs w:val="24"/>
        </w:rPr>
      </w:pPr>
      <w:r>
        <w:rPr>
          <w:rFonts w:hint="eastAsia" w:ascii="方正小标宋简体" w:hAnsi="方正小标宋简体" w:eastAsia="方正小标宋简体"/>
          <w:color w:val="auto"/>
          <w:kern w:val="2"/>
          <w:sz w:val="36"/>
          <w:szCs w:val="24"/>
        </w:rPr>
        <w:t>第三部分  名词解释</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一、财政拨款收入：</w:t>
      </w:r>
      <w:r>
        <w:rPr>
          <w:rFonts w:hint="eastAsia" w:ascii="仿宋_GB2312" w:hAnsi="仿宋_GB2312" w:eastAsia="仿宋_GB2312"/>
          <w:color w:val="auto"/>
          <w:kern w:val="2"/>
          <w:sz w:val="32"/>
          <w:szCs w:val="24"/>
        </w:rPr>
        <w:t>从同级财政部门取得的各类财政拨款，包括一般公共预算财政拨款、政府性基金预算财政拨款、国有资本经营预算财政拨款。</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二、上级补助收入：</w:t>
      </w:r>
      <w:r>
        <w:rPr>
          <w:rFonts w:hint="eastAsia" w:ascii="仿宋_GB2312" w:hAnsi="仿宋_GB2312" w:eastAsia="仿宋_GB2312"/>
          <w:color w:val="auto"/>
          <w:kern w:val="2"/>
          <w:sz w:val="32"/>
          <w:szCs w:val="24"/>
        </w:rPr>
        <w:t>指事业单位从主管部门和上级单位取得的非财政补助收入。</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三、财政专户管理教育收费：</w:t>
      </w:r>
      <w:r>
        <w:rPr>
          <w:rFonts w:hint="eastAsia" w:ascii="仿宋_GB2312" w:hAnsi="仿宋_GB2312" w:eastAsia="仿宋_GB2312"/>
          <w:color w:val="auto"/>
          <w:kern w:val="2"/>
          <w:sz w:val="32"/>
          <w:szCs w:val="24"/>
        </w:rPr>
        <w:t>指缴入财政专户、实行专项管理的高中以上学费、住宿费、高校委托培养费、函大、电大、夜大及短训班培训费等教育收费。</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四、事业收入：</w:t>
      </w:r>
      <w:r>
        <w:rPr>
          <w:rFonts w:hint="eastAsia" w:ascii="仿宋_GB2312" w:hAnsi="仿宋_GB2312" w:eastAsia="仿宋_GB2312"/>
          <w:color w:val="auto"/>
          <w:kern w:val="2"/>
          <w:sz w:val="32"/>
          <w:szCs w:val="24"/>
        </w:rPr>
        <w:t>指事业单位开展专业业务活动及其辅助活动取得的收入。</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五、经营收入：</w:t>
      </w:r>
      <w:r>
        <w:rPr>
          <w:rFonts w:hint="eastAsia" w:ascii="仿宋_GB2312" w:hAnsi="仿宋_GB2312" w:eastAsia="仿宋_GB2312"/>
          <w:color w:val="auto"/>
          <w:kern w:val="2"/>
          <w:sz w:val="32"/>
          <w:szCs w:val="24"/>
        </w:rPr>
        <w:t>指事业单位在专业业务活动及其辅助活动之外开展非独立核算经营活动取得的收入。</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六、附属单位上缴收入：</w:t>
      </w:r>
      <w:r>
        <w:rPr>
          <w:rFonts w:hint="eastAsia" w:ascii="仿宋_GB2312" w:hAnsi="仿宋_GB2312" w:eastAsia="仿宋_GB2312"/>
          <w:color w:val="auto"/>
          <w:kern w:val="2"/>
          <w:sz w:val="32"/>
          <w:szCs w:val="24"/>
        </w:rPr>
        <w:t>指事业单位附属独立核算单位按照有关规定上缴的收入。</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七、其他收入：</w:t>
      </w:r>
      <w:r>
        <w:rPr>
          <w:rFonts w:hint="eastAsia" w:ascii="仿宋_GB2312" w:hAnsi="仿宋_GB2312" w:eastAsia="仿宋_GB2312"/>
          <w:color w:val="auto"/>
          <w:kern w:val="2"/>
          <w:sz w:val="32"/>
          <w:szCs w:val="24"/>
        </w:rPr>
        <w:t>取得的除上述“财政拨款收入”、“上级补助收入”、“事业收入”、“经营收入”、“附属单位上缴收入”等以外的各项收入。</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八、使用非财政拨款结余：</w:t>
      </w:r>
      <w:r>
        <w:rPr>
          <w:rFonts w:hint="eastAsia" w:ascii="仿宋_GB2312" w:hAnsi="仿宋_GB2312" w:eastAsia="仿宋_GB2312"/>
          <w:color w:val="auto"/>
          <w:kern w:val="2"/>
          <w:sz w:val="32"/>
          <w:szCs w:val="24"/>
        </w:rPr>
        <w:t>指事业单位按照预算管理要求使用非财政拨款结余弥补当年收支差额的数额。</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九、年初结转和结余：</w:t>
      </w:r>
      <w:r>
        <w:rPr>
          <w:rFonts w:hint="eastAsia" w:ascii="仿宋_GB2312" w:hAnsi="仿宋_GB2312" w:eastAsia="仿宋_GB2312"/>
          <w:color w:val="auto"/>
          <w:kern w:val="2"/>
          <w:sz w:val="32"/>
          <w:szCs w:val="24"/>
        </w:rPr>
        <w:t>指单位上年结转本年使用的基本支出结转、项目支出结转和结余、经营结余。</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十、结余分配：</w:t>
      </w:r>
      <w:r>
        <w:rPr>
          <w:rFonts w:hint="eastAsia" w:ascii="仿宋_GB2312" w:hAnsi="仿宋_GB2312" w:eastAsia="仿宋_GB2312"/>
          <w:color w:val="auto"/>
          <w:kern w:val="2"/>
          <w:sz w:val="32"/>
          <w:szCs w:val="24"/>
        </w:rPr>
        <w:t>指事业单位按规定缴纳的所得税以及从非财政拨款结余中提取各类结余的情况。</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十一、年末结转和结余资金：</w:t>
      </w:r>
      <w:r>
        <w:rPr>
          <w:rFonts w:hint="eastAsia" w:ascii="仿宋_GB2312" w:hAnsi="仿宋_GB2312" w:eastAsia="仿宋_GB2312"/>
          <w:color w:val="auto"/>
          <w:kern w:val="2"/>
          <w:sz w:val="32"/>
          <w:szCs w:val="24"/>
        </w:rPr>
        <w:t>指单位结转下年的基本支出结转、项目支出结转和结余、经营结余。</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十二、基本支出：</w:t>
      </w:r>
      <w:r>
        <w:rPr>
          <w:rFonts w:hint="eastAsia" w:ascii="仿宋_GB2312" w:hAnsi="仿宋_GB2312" w:eastAsia="仿宋_GB2312"/>
          <w:color w:val="auto"/>
          <w:kern w:val="2"/>
          <w:sz w:val="32"/>
          <w:szCs w:val="24"/>
        </w:rPr>
        <w:t>指为保障机构正常运转、完成日常工作任务所发生的支出，包括人员经费和公用经费。</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十三、项目支出：</w:t>
      </w:r>
      <w:r>
        <w:rPr>
          <w:rFonts w:hint="eastAsia" w:ascii="仿宋_GB2312" w:hAnsi="仿宋_GB2312" w:eastAsia="仿宋_GB2312"/>
          <w:color w:val="auto"/>
          <w:kern w:val="2"/>
          <w:sz w:val="32"/>
          <w:szCs w:val="24"/>
        </w:rPr>
        <w:t>指在为完成特定的工作任务和事业发展目标所发生的支出。</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十四、上缴上级支出：</w:t>
      </w:r>
      <w:r>
        <w:rPr>
          <w:rFonts w:hint="eastAsia" w:ascii="仿宋_GB2312" w:hAnsi="仿宋_GB2312" w:eastAsia="仿宋_GB2312"/>
          <w:color w:val="auto"/>
          <w:kern w:val="2"/>
          <w:sz w:val="32"/>
          <w:szCs w:val="24"/>
        </w:rPr>
        <w:t>指事业单位按照财政部门和主管部门的规定上缴上级单位的支出。</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十五、经营支出：</w:t>
      </w:r>
      <w:r>
        <w:rPr>
          <w:rFonts w:hint="eastAsia" w:ascii="仿宋_GB2312" w:hAnsi="仿宋_GB2312" w:eastAsia="仿宋_GB2312"/>
          <w:color w:val="auto"/>
          <w:kern w:val="2"/>
          <w:sz w:val="32"/>
          <w:szCs w:val="24"/>
        </w:rPr>
        <w:t>指事业单位在专业业务活动及其辅助活动之外开展非独立核算经营活动发生的支出。</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十六、对附属单位补助支出：</w:t>
      </w:r>
      <w:r>
        <w:rPr>
          <w:rFonts w:hint="eastAsia" w:ascii="仿宋_GB2312" w:hAnsi="仿宋_GB2312" w:eastAsia="仿宋_GB2312"/>
          <w:color w:val="auto"/>
          <w:kern w:val="2"/>
          <w:sz w:val="32"/>
          <w:szCs w:val="24"/>
        </w:rPr>
        <w:t>指事业单位用财政拨款收入之外的收入对附属单位补助发生的支出。</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十七、“三公”经费：</w:t>
      </w:r>
      <w:r>
        <w:rPr>
          <w:rFonts w:hint="eastAsia" w:ascii="仿宋_GB2312" w:hAnsi="仿宋_GB2312" w:eastAsia="仿宋_GB2312"/>
          <w:color w:val="auto"/>
          <w:kern w:val="2"/>
          <w:sz w:val="32"/>
          <w:szCs w:val="24"/>
        </w:rPr>
        <w:t>指用财政拨款安排的因公出国（境）费、公务用车购置及运行维护费和公务接待费。其中，因公出国（境）费反映)公务出国（境）的国际旅费、国外城市间交通费、住宿费、伙食费、培训费、公杂费等支出；公务用车购置及运行维护费反映公务用车购置支出（含车辆购置税、牌照费）以及按规定保留的公务用车燃料费、维修费、过路过桥费、保险费、安全奖励费用等支出；公务接待费反映按规定开支的各类公务接待（含外宾接待）费用。</w:t>
      </w:r>
    </w:p>
    <w:p>
      <w:pPr>
        <w:spacing w:line="560" w:lineRule="exact"/>
        <w:ind w:firstLine="643"/>
        <w:jc w:val="both"/>
        <w:rPr>
          <w:rFonts w:hint="default" w:ascii="Times New Roman" w:hAnsi="Times New Roman" w:eastAsia="Times New Roman"/>
          <w:color w:val="auto"/>
          <w:kern w:val="2"/>
          <w:sz w:val="32"/>
          <w:szCs w:val="24"/>
        </w:rPr>
      </w:pPr>
      <w:r>
        <w:rPr>
          <w:rFonts w:hint="eastAsia" w:ascii="仿宋_GB2312" w:hAnsi="仿宋_GB2312" w:eastAsia="仿宋_GB2312"/>
          <w:b/>
          <w:color w:val="auto"/>
          <w:kern w:val="2"/>
          <w:sz w:val="32"/>
          <w:szCs w:val="24"/>
        </w:rPr>
        <w:t>十八、机构运行经费：</w:t>
      </w:r>
      <w:r>
        <w:rPr>
          <w:rFonts w:hint="eastAsia" w:ascii="仿宋_GB2312" w:hAnsi="仿宋_GB2312" w:eastAsia="仿宋_GB2312"/>
          <w:color w:val="auto"/>
          <w:kern w:val="2"/>
          <w:sz w:val="32"/>
          <w:szCs w:val="24"/>
        </w:rPr>
        <w:t>指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after="120"/>
        <w:ind w:left="420" w:firstLine="420"/>
        <w:jc w:val="both"/>
        <w:rPr>
          <w:rFonts w:hint="default" w:ascii="Times New Roman" w:hAnsi="Times New Roman" w:eastAsia="Times New Roman"/>
          <w:color w:val="auto"/>
          <w:kern w:val="2"/>
          <w:sz w:val="21"/>
          <w:szCs w:val="24"/>
        </w:rPr>
      </w:pPr>
    </w:p>
    <w:p>
      <w:pPr>
        <w:pStyle w:val="3"/>
        <w:keepNext/>
        <w:keepLines/>
        <w:tabs>
          <w:tab w:val="left" w:pos="4392"/>
        </w:tabs>
        <w:spacing w:line="360" w:lineRule="auto"/>
        <w:jc w:val="center"/>
        <w:rPr>
          <w:rFonts w:hint="default" w:ascii="Times New Roman" w:hAnsi="Times New Roman" w:eastAsia="Times New Roman"/>
          <w:color w:val="auto"/>
          <w:kern w:val="2"/>
          <w:sz w:val="36"/>
          <w:szCs w:val="24"/>
        </w:rPr>
      </w:pPr>
      <w:r>
        <w:rPr>
          <w:rFonts w:hint="eastAsia" w:ascii="方正小标宋简体" w:hAnsi="方正小标宋简体" w:eastAsia="方正小标宋简体"/>
          <w:color w:val="auto"/>
          <w:kern w:val="2"/>
          <w:sz w:val="36"/>
          <w:szCs w:val="24"/>
        </w:rPr>
        <w:t>第四部分 决算公开联系方式及信息反馈渠道</w:t>
      </w:r>
    </w:p>
    <w:p>
      <w:pPr>
        <w:spacing w:line="600" w:lineRule="exact"/>
        <w:ind w:firstLine="640"/>
        <w:jc w:val="both"/>
        <w:rPr>
          <w:rFonts w:hint="default" w:ascii="Times New Roman" w:hAnsi="Times New Roman" w:eastAsia="Times New Roman"/>
          <w:color w:val="auto"/>
          <w:kern w:val="2"/>
          <w:sz w:val="32"/>
          <w:szCs w:val="24"/>
        </w:rPr>
      </w:pPr>
      <w:r>
        <w:rPr>
          <w:rFonts w:hint="eastAsia" w:ascii="仿宋_GB2312" w:hAnsi="仿宋_GB2312" w:eastAsia="仿宋_GB2312"/>
          <w:color w:val="auto"/>
          <w:kern w:val="2"/>
          <w:sz w:val="32"/>
          <w:szCs w:val="24"/>
        </w:rPr>
        <w:t>本单位决算公开信息反馈和联系方式：</w:t>
      </w:r>
    </w:p>
    <w:p>
      <w:pPr>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rPr>
        <w:t>联系人：</w:t>
      </w:r>
      <w:r>
        <w:rPr>
          <w:rFonts w:hint="eastAsia" w:ascii="仿宋_GB2312" w:hAnsi="仿宋_GB2312" w:eastAsia="仿宋_GB2312"/>
          <w:color w:val="auto"/>
          <w:kern w:val="2"/>
          <w:sz w:val="32"/>
          <w:szCs w:val="24"/>
          <w:lang w:eastAsia="zh-CN"/>
        </w:rPr>
        <w:t>敖俊玲</w:t>
      </w:r>
      <w:r>
        <w:rPr>
          <w:rFonts w:hint="eastAsia" w:ascii="仿宋_GB2312" w:hAnsi="仿宋_GB2312" w:eastAsia="仿宋_GB2312"/>
          <w:color w:val="auto"/>
          <w:kern w:val="2"/>
          <w:sz w:val="32"/>
          <w:szCs w:val="24"/>
        </w:rPr>
        <w:t xml:space="preserve">           联系电话：0470-</w:t>
      </w:r>
      <w:r>
        <w:rPr>
          <w:rFonts w:hint="eastAsia" w:ascii="仿宋_GB2312" w:hAnsi="仿宋_GB2312" w:eastAsia="仿宋_GB2312"/>
          <w:color w:val="auto"/>
          <w:kern w:val="2"/>
          <w:sz w:val="32"/>
          <w:szCs w:val="24"/>
          <w:lang w:val="en-US" w:eastAsia="zh-CN"/>
        </w:rPr>
        <w:t>4882106</w:t>
      </w:r>
    </w:p>
    <w:p>
      <w:pPr>
        <w:jc w:val="both"/>
        <w:rPr>
          <w:rFonts w:hint="eastAsia" w:ascii="方正小标宋简体" w:hAnsi="方正小标宋简体" w:eastAsia="方正小标宋简体"/>
          <w:color w:val="auto"/>
          <w:kern w:val="2"/>
          <w:sz w:val="36"/>
          <w:szCs w:val="24"/>
        </w:rPr>
      </w:pPr>
    </w:p>
    <w:p>
      <w:pPr>
        <w:ind w:firstLine="2160" w:firstLineChars="600"/>
        <w:jc w:val="both"/>
        <w:rPr>
          <w:rFonts w:hint="eastAsia" w:ascii="方正小标宋简体" w:hAnsi="方正小标宋简体" w:eastAsia="方正小标宋简体"/>
          <w:color w:val="auto"/>
          <w:kern w:val="2"/>
          <w:sz w:val="36"/>
          <w:szCs w:val="24"/>
        </w:rPr>
      </w:pPr>
      <w:r>
        <w:rPr>
          <w:rFonts w:hint="eastAsia" w:ascii="方正小标宋简体" w:hAnsi="方正小标宋简体" w:eastAsia="方正小标宋简体"/>
          <w:color w:val="auto"/>
          <w:kern w:val="2"/>
          <w:sz w:val="36"/>
          <w:szCs w:val="24"/>
        </w:rPr>
        <w:t>第五部分 2022年度决算表</w:t>
      </w:r>
    </w:p>
    <w:p>
      <w:pPr>
        <w:rPr>
          <w:rFonts w:hint="eastAsia" w:ascii="方正小标宋简体" w:hAnsi="方正小标宋简体" w:eastAsia="方正小标宋简体"/>
          <w:color w:val="auto"/>
          <w:kern w:val="2"/>
          <w:sz w:val="36"/>
          <w:szCs w:val="24"/>
        </w:rPr>
      </w:pPr>
      <w:r>
        <w:rPr>
          <w:rFonts w:hint="eastAsia" w:ascii="仿宋_GB2312" w:hAnsi="仿宋_GB2312" w:eastAsia="仿宋_GB2312"/>
          <w:color w:val="auto"/>
          <w:kern w:val="2"/>
          <w:sz w:val="32"/>
          <w:szCs w:val="24"/>
        </w:rPr>
        <w:tab/>
      </w:r>
      <w:r>
        <w:rPr>
          <w:rFonts w:hint="eastAsia" w:ascii="仿宋_GB2312" w:hAnsi="仿宋_GB2312" w:eastAsia="仿宋_GB2312"/>
          <w:color w:val="auto"/>
          <w:kern w:val="2"/>
          <w:sz w:val="32"/>
          <w:szCs w:val="24"/>
        </w:rPr>
        <w:t>见附件。</w:t>
      </w:r>
    </w:p>
    <w:p>
      <w:pPr>
        <w:jc w:val="center"/>
        <w:rPr>
          <w:rFonts w:hint="eastAsia" w:ascii="仿宋_GB2312" w:hAnsi="仿宋_GB2312" w:eastAsia="仿宋_GB2312"/>
          <w:color w:val="auto"/>
          <w:kern w:val="2"/>
          <w:sz w:val="32"/>
          <w:szCs w:val="24"/>
        </w:rPr>
      </w:pPr>
    </w:p>
    <w:tbl>
      <w:tblPr>
        <w:tblStyle w:val="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44"/>
        <w:gridCol w:w="598"/>
        <w:gridCol w:w="362"/>
        <w:gridCol w:w="1298"/>
        <w:gridCol w:w="22"/>
        <w:gridCol w:w="1007"/>
        <w:gridCol w:w="345"/>
        <w:gridCol w:w="855"/>
        <w:gridCol w:w="865"/>
        <w:gridCol w:w="680"/>
        <w:gridCol w:w="630"/>
        <w:gridCol w:w="640"/>
        <w:gridCol w:w="6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8845" w:type="dxa"/>
            <w:gridSpan w:val="13"/>
            <w:tcBorders>
              <w:top w:val="nil"/>
              <w:left w:val="nil"/>
              <w:bottom w:val="nil"/>
              <w:right w:val="nil"/>
              <w:tl2br w:val="nil"/>
              <w:tr2bl w:val="nil"/>
            </w:tcBorders>
            <w:noWrap w:val="0"/>
            <w:vAlign w:val="top"/>
          </w:tcPr>
          <w:p>
            <w:pPr>
              <w:jc w:val="center"/>
              <w:rPr>
                <w:rFonts w:hint="default" w:ascii="Times New Roman" w:hAnsi="Times New Roman" w:eastAsia="Times New Roman"/>
                <w:color w:val="auto"/>
                <w:kern w:val="2"/>
                <w:sz w:val="44"/>
                <w:szCs w:val="24"/>
              </w:rPr>
            </w:pPr>
            <w:r>
              <w:rPr>
                <w:rFonts w:hint="eastAsia" w:ascii="方正小标宋简体" w:hAnsi="方正小标宋简体" w:eastAsia="方正小标宋简体"/>
                <w:color w:val="auto"/>
                <w:spacing w:val="20"/>
                <w:kern w:val="2"/>
                <w:sz w:val="44"/>
                <w:szCs w:val="24"/>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8845" w:type="dxa"/>
            <w:gridSpan w:val="13"/>
            <w:tcBorders>
              <w:top w:val="nil"/>
              <w:left w:val="nil"/>
              <w:bottom w:val="nil"/>
              <w:right w:val="nil"/>
              <w:tl2br w:val="nil"/>
              <w:tr2bl w:val="nil"/>
            </w:tcBorders>
            <w:noWrap w:val="0"/>
            <w:vAlign w:val="top"/>
          </w:tcPr>
          <w:p>
            <w:pPr>
              <w:jc w:val="center"/>
              <w:rPr>
                <w:rFonts w:hint="default" w:ascii="Times New Roman" w:hAnsi="Times New Roman" w:eastAsia="Times New Roman"/>
                <w:color w:val="auto"/>
                <w:kern w:val="2"/>
                <w:sz w:val="21"/>
                <w:szCs w:val="24"/>
              </w:rPr>
            </w:pPr>
            <w:r>
              <w:rPr>
                <w:rFonts w:hint="eastAsia" w:ascii="方正楷体简体" w:hAnsi="方正楷体简体" w:eastAsia="方正楷体简体"/>
                <w:color w:val="auto"/>
                <w:kern w:val="2"/>
                <w:sz w:val="32"/>
                <w:szCs w:val="24"/>
              </w:rPr>
              <w:t xml:space="preserve">（  </w:t>
            </w:r>
            <w:r>
              <w:rPr>
                <w:rFonts w:hint="eastAsia" w:ascii="方正楷体简体" w:hAnsi="方正楷体简体" w:eastAsia="方正楷体简体"/>
                <w:color w:val="auto"/>
                <w:kern w:val="2"/>
                <w:sz w:val="32"/>
                <w:szCs w:val="24"/>
                <w:lang w:val="en-US" w:eastAsia="zh-CN"/>
              </w:rPr>
              <w:t>2022</w:t>
            </w:r>
            <w:r>
              <w:rPr>
                <w:rFonts w:hint="eastAsia" w:ascii="方正楷体简体" w:hAnsi="方正楷体简体" w:eastAsia="方正楷体简体"/>
                <w:color w:val="auto"/>
                <w:kern w:val="2"/>
                <w:sz w:val="32"/>
                <w:szCs w:val="24"/>
              </w:rPr>
              <w:t xml:space="preserve">  年度）</w:t>
            </w:r>
            <w:bookmarkStart w:id="0" w:name="_GoBack"/>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1442" w:type="dxa"/>
            <w:gridSpan w:val="2"/>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default" w:ascii="Times New Roman" w:hAnsi="Courier New" w:eastAsia="Times New Roman"/>
                <w:color w:val="auto"/>
                <w:kern w:val="2"/>
                <w:sz w:val="18"/>
                <w:szCs w:val="24"/>
              </w:rPr>
              <w:t>项目名称</w:t>
            </w:r>
          </w:p>
        </w:tc>
        <w:tc>
          <w:tcPr>
            <w:tcW w:w="7403" w:type="dxa"/>
            <w:gridSpan w:val="11"/>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default" w:ascii="Times New Roman" w:hAnsi="Courier New" w:eastAsia="Times New Roman"/>
                <w:color w:val="auto"/>
                <w:kern w:val="2"/>
                <w:sz w:val="18"/>
                <w:szCs w:val="24"/>
              </w:rPr>
              <w:t>提前下达2021年文化馆免费开放补助资金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1442" w:type="dxa"/>
            <w:gridSpan w:val="2"/>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default" w:ascii="Times New Roman" w:hAnsi="Courier New" w:eastAsia="Times New Roman"/>
                <w:color w:val="auto"/>
                <w:kern w:val="2"/>
                <w:sz w:val="18"/>
                <w:szCs w:val="24"/>
              </w:rPr>
              <w:t>主管部门及代码</w:t>
            </w:r>
          </w:p>
        </w:tc>
        <w:tc>
          <w:tcPr>
            <w:tcW w:w="3889" w:type="dxa"/>
            <w:gridSpan w:val="6"/>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莫力达瓦达斡尔族自治旗阿尔拉镇人民政府（部门）</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实施单位</w:t>
            </w:r>
          </w:p>
        </w:tc>
        <w:tc>
          <w:tcPr>
            <w:tcW w:w="2649" w:type="dxa"/>
            <w:gridSpan w:val="4"/>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lang w:val="en-US" w:eastAsia="zh-CN"/>
              </w:rPr>
              <w:t>莫力达瓦达斡尔族自治旗阿尔拉镇人民政府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1442" w:type="dxa"/>
            <w:gridSpan w:val="2"/>
            <w:vMerge w:val="restart"/>
            <w:tcBorders>
              <w:top w:val="single" w:color="auto" w:sz="6" w:space="0"/>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default" w:ascii="Times New Roman" w:hAnsi="Courier New" w:eastAsia="Times New Roman"/>
                <w:color w:val="auto"/>
                <w:kern w:val="2"/>
                <w:sz w:val="18"/>
                <w:szCs w:val="24"/>
              </w:rPr>
              <w:t>项目资金</w:t>
            </w:r>
            <w:r>
              <w:rPr>
                <w:rFonts w:hint="eastAsia" w:ascii="宋体" w:hAnsi="宋体" w:eastAsia="宋体"/>
                <w:color w:val="auto"/>
                <w:kern w:val="2"/>
                <w:sz w:val="18"/>
                <w:szCs w:val="24"/>
              </w:rPr>
              <w:t xml:space="preserve"> </w:t>
            </w:r>
            <w:r>
              <w:rPr>
                <w:rFonts w:hint="eastAsia" w:ascii="Courier New" w:hAnsi="Courier New" w:eastAsia="宋体"/>
                <w:color w:val="auto"/>
                <w:kern w:val="2"/>
                <w:sz w:val="18"/>
                <w:szCs w:val="24"/>
              </w:rPr>
              <w:t>（万元）</w:t>
            </w:r>
          </w:p>
        </w:tc>
        <w:tc>
          <w:tcPr>
            <w:tcW w:w="1660"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4.5</w:t>
            </w:r>
          </w:p>
        </w:tc>
        <w:tc>
          <w:tcPr>
            <w:tcW w:w="1029" w:type="dxa"/>
            <w:gridSpan w:val="2"/>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年初预算数</w:t>
            </w:r>
          </w:p>
        </w:tc>
        <w:tc>
          <w:tcPr>
            <w:tcW w:w="1200" w:type="dxa"/>
            <w:gridSpan w:val="2"/>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全年预算数</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全年执行数</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分值</w:t>
            </w:r>
          </w:p>
        </w:tc>
        <w:tc>
          <w:tcPr>
            <w:tcW w:w="1270"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执行率</w:t>
            </w:r>
          </w:p>
        </w:tc>
        <w:tc>
          <w:tcPr>
            <w:tcW w:w="699"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1442" w:type="dxa"/>
            <w:gridSpan w:val="2"/>
            <w:vMerge w:val="continue"/>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1660"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年度资金总额</w:t>
            </w:r>
          </w:p>
        </w:tc>
        <w:tc>
          <w:tcPr>
            <w:tcW w:w="1029" w:type="dxa"/>
            <w:gridSpan w:val="2"/>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lang w:val="en-US" w:eastAsia="zh-CN"/>
              </w:rPr>
              <w:t>4.5</w:t>
            </w:r>
          </w:p>
        </w:tc>
        <w:tc>
          <w:tcPr>
            <w:tcW w:w="1200" w:type="dxa"/>
            <w:gridSpan w:val="2"/>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lang w:val="en-US" w:eastAsia="zh-CN"/>
              </w:rPr>
              <w:t>4.5</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rPr>
            </w:pPr>
            <w:r>
              <w:rPr>
                <w:rFonts w:hint="eastAsia" w:ascii="Courier New" w:hAnsi="Courier New" w:eastAsia="宋体"/>
                <w:color w:val="auto"/>
                <w:kern w:val="2"/>
                <w:sz w:val="18"/>
                <w:szCs w:val="24"/>
                <w:lang w:val="en-US" w:eastAsia="zh-CN"/>
              </w:rPr>
              <w:t>3.07</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宋体" w:hAnsi="宋体" w:eastAsia="宋体"/>
                <w:color w:val="auto"/>
                <w:kern w:val="2"/>
                <w:sz w:val="18"/>
                <w:szCs w:val="24"/>
              </w:rPr>
              <w:t>10</w:t>
            </w:r>
          </w:p>
        </w:tc>
        <w:tc>
          <w:tcPr>
            <w:tcW w:w="1270"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68.22%</w:t>
            </w:r>
          </w:p>
        </w:tc>
        <w:tc>
          <w:tcPr>
            <w:tcW w:w="699"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trHeight w:val="218" w:hRule="atLeast"/>
          <w:jc w:val="center"/>
        </w:trPr>
        <w:tc>
          <w:tcPr>
            <w:tcW w:w="1442" w:type="dxa"/>
            <w:gridSpan w:val="2"/>
            <w:vMerge w:val="continue"/>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1660"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其中：财政拨款</w:t>
            </w:r>
          </w:p>
        </w:tc>
        <w:tc>
          <w:tcPr>
            <w:tcW w:w="1029" w:type="dxa"/>
            <w:gridSpan w:val="2"/>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lang w:val="en-US" w:eastAsia="zh-CN"/>
              </w:rPr>
              <w:t>4.5</w:t>
            </w:r>
          </w:p>
        </w:tc>
        <w:tc>
          <w:tcPr>
            <w:tcW w:w="1200" w:type="dxa"/>
            <w:gridSpan w:val="2"/>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lang w:val="en-US" w:eastAsia="zh-CN"/>
              </w:rPr>
              <w:t>4.5</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rPr>
            </w:pPr>
            <w:r>
              <w:rPr>
                <w:rFonts w:hint="eastAsia" w:ascii="Courier New" w:hAnsi="Courier New" w:eastAsia="宋体"/>
                <w:color w:val="auto"/>
                <w:kern w:val="2"/>
                <w:sz w:val="18"/>
                <w:szCs w:val="24"/>
                <w:lang w:val="en-US" w:eastAsia="zh-CN"/>
              </w:rPr>
              <w:t>3.07</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default" w:ascii="Courier New" w:hAnsi="Courier New" w:eastAsia="宋体"/>
                <w:color w:val="auto"/>
                <w:kern w:val="2"/>
                <w:sz w:val="18"/>
                <w:szCs w:val="24"/>
              </w:rPr>
              <w:t>-</w:t>
            </w:r>
          </w:p>
        </w:tc>
        <w:tc>
          <w:tcPr>
            <w:tcW w:w="1270"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lang w:val="en-US" w:eastAsia="zh-CN"/>
              </w:rPr>
              <w:t>68.22%</w:t>
            </w:r>
          </w:p>
        </w:tc>
        <w:tc>
          <w:tcPr>
            <w:tcW w:w="699"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default" w:ascii="Courier New" w:hAnsi="Courier New" w:eastAsia="宋体"/>
                <w:color w:val="auto"/>
                <w:kern w:val="2"/>
                <w:sz w:val="18"/>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trHeight w:val="218" w:hRule="atLeast"/>
          <w:jc w:val="center"/>
        </w:trPr>
        <w:tc>
          <w:tcPr>
            <w:tcW w:w="1442" w:type="dxa"/>
            <w:gridSpan w:val="2"/>
            <w:vMerge w:val="continue"/>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1660"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其他资金</w:t>
            </w:r>
          </w:p>
        </w:tc>
        <w:tc>
          <w:tcPr>
            <w:tcW w:w="1029" w:type="dxa"/>
            <w:gridSpan w:val="2"/>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0</w:t>
            </w:r>
          </w:p>
        </w:tc>
        <w:tc>
          <w:tcPr>
            <w:tcW w:w="1200" w:type="dxa"/>
            <w:gridSpan w:val="2"/>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0</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0</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default" w:ascii="Courier New" w:hAnsi="Courier New" w:eastAsia="宋体"/>
                <w:color w:val="auto"/>
                <w:kern w:val="2"/>
                <w:sz w:val="18"/>
                <w:szCs w:val="24"/>
              </w:rPr>
              <w:t>-</w:t>
            </w:r>
          </w:p>
        </w:tc>
        <w:tc>
          <w:tcPr>
            <w:tcW w:w="1270"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default" w:ascii="Courier New" w:hAnsi="Courier New" w:eastAsia="宋体"/>
                <w:color w:val="auto"/>
                <w:kern w:val="2"/>
                <w:sz w:val="18"/>
                <w:szCs w:val="24"/>
              </w:rPr>
              <w:t>-</w:t>
            </w:r>
          </w:p>
        </w:tc>
        <w:tc>
          <w:tcPr>
            <w:tcW w:w="699"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default" w:ascii="Courier New" w:hAnsi="Courier New" w:eastAsia="宋体"/>
                <w:color w:val="auto"/>
                <w:kern w:val="2"/>
                <w:sz w:val="18"/>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844" w:type="dxa"/>
            <w:vMerge w:val="restart"/>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default" w:ascii="Times New Roman" w:hAnsi="Courier New" w:eastAsia="Times New Roman"/>
                <w:color w:val="auto"/>
                <w:kern w:val="2"/>
                <w:sz w:val="18"/>
                <w:szCs w:val="24"/>
              </w:rPr>
              <w:t>年度总体目标</w:t>
            </w:r>
          </w:p>
        </w:tc>
        <w:tc>
          <w:tcPr>
            <w:tcW w:w="4487" w:type="dxa"/>
            <w:gridSpan w:val="7"/>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预期目标</w:t>
            </w:r>
          </w:p>
        </w:tc>
        <w:tc>
          <w:tcPr>
            <w:tcW w:w="3514" w:type="dxa"/>
            <w:gridSpan w:val="5"/>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844" w:type="dxa"/>
            <w:vMerge w:val="continue"/>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4487" w:type="dxa"/>
            <w:gridSpan w:val="7"/>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全乡居民积极参与，场馆开放人次超过1000.</w:t>
            </w:r>
          </w:p>
        </w:tc>
        <w:tc>
          <w:tcPr>
            <w:tcW w:w="3514" w:type="dxa"/>
            <w:gridSpan w:val="5"/>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居民具有一定的参与积极性。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844" w:type="dxa"/>
            <w:vMerge w:val="restart"/>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default" w:ascii="Times New Roman" w:hAnsi="Courier New" w:eastAsia="Times New Roman"/>
                <w:color w:val="auto"/>
                <w:kern w:val="2"/>
                <w:sz w:val="18"/>
                <w:szCs w:val="24"/>
              </w:rPr>
              <w:t>绩</w:t>
            </w:r>
            <w:r>
              <w:rPr>
                <w:rFonts w:hint="eastAsia" w:ascii="宋体" w:hAnsi="宋体" w:eastAsia="宋体"/>
                <w:color w:val="auto"/>
                <w:kern w:val="2"/>
                <w:sz w:val="18"/>
                <w:szCs w:val="24"/>
              </w:rPr>
              <w:t xml:space="preserve">  </w:t>
            </w:r>
            <w:r>
              <w:rPr>
                <w:rFonts w:hint="eastAsia" w:ascii="Courier New" w:hAnsi="Courier New" w:eastAsia="宋体"/>
                <w:color w:val="auto"/>
                <w:kern w:val="2"/>
                <w:sz w:val="18"/>
                <w:szCs w:val="24"/>
              </w:rPr>
              <w:t>效</w:t>
            </w:r>
            <w:r>
              <w:rPr>
                <w:rFonts w:hint="eastAsia" w:ascii="宋体" w:hAnsi="宋体" w:eastAsia="宋体"/>
                <w:color w:val="auto"/>
                <w:kern w:val="2"/>
                <w:sz w:val="18"/>
                <w:szCs w:val="24"/>
              </w:rPr>
              <w:t xml:space="preserve">  </w:t>
            </w:r>
            <w:r>
              <w:rPr>
                <w:rFonts w:hint="eastAsia" w:ascii="Courier New" w:hAnsi="Courier New" w:eastAsia="宋体"/>
                <w:color w:val="auto"/>
                <w:kern w:val="2"/>
                <w:sz w:val="18"/>
                <w:szCs w:val="24"/>
              </w:rPr>
              <w:t>指</w:t>
            </w:r>
            <w:r>
              <w:rPr>
                <w:rFonts w:hint="eastAsia" w:ascii="宋体" w:hAnsi="宋体" w:eastAsia="宋体"/>
                <w:color w:val="auto"/>
                <w:kern w:val="2"/>
                <w:sz w:val="18"/>
                <w:szCs w:val="24"/>
              </w:rPr>
              <w:t xml:space="preserve">  </w:t>
            </w:r>
            <w:r>
              <w:rPr>
                <w:rFonts w:hint="eastAsia" w:ascii="Courier New" w:hAnsi="Courier New" w:eastAsia="宋体"/>
                <w:color w:val="auto"/>
                <w:kern w:val="2"/>
                <w:sz w:val="18"/>
                <w:szCs w:val="24"/>
              </w:rPr>
              <w:t>标（</w:t>
            </w:r>
            <w:r>
              <w:rPr>
                <w:rFonts w:hint="eastAsia" w:ascii="宋体" w:hAnsi="宋体" w:eastAsia="宋体"/>
                <w:color w:val="auto"/>
                <w:kern w:val="2"/>
                <w:sz w:val="18"/>
                <w:szCs w:val="24"/>
              </w:rPr>
              <w:t>90</w:t>
            </w:r>
            <w:r>
              <w:rPr>
                <w:rFonts w:hint="eastAsia" w:ascii="Courier New" w:hAnsi="Courier New" w:eastAsia="宋体"/>
                <w:color w:val="auto"/>
                <w:kern w:val="2"/>
                <w:sz w:val="18"/>
                <w:szCs w:val="24"/>
              </w:rPr>
              <w:t>）</w:t>
            </w:r>
          </w:p>
        </w:tc>
        <w:tc>
          <w:tcPr>
            <w:tcW w:w="960" w:type="dxa"/>
            <w:gridSpan w:val="2"/>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一级指标</w:t>
            </w:r>
          </w:p>
        </w:tc>
        <w:tc>
          <w:tcPr>
            <w:tcW w:w="1320" w:type="dxa"/>
            <w:gridSpan w:val="2"/>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二级指标</w:t>
            </w:r>
          </w:p>
        </w:tc>
        <w:tc>
          <w:tcPr>
            <w:tcW w:w="1352"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三级指标</w:t>
            </w:r>
          </w:p>
        </w:tc>
        <w:tc>
          <w:tcPr>
            <w:tcW w:w="85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年度指标值</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实际完成值</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分值</w:t>
            </w:r>
          </w:p>
        </w:tc>
        <w:tc>
          <w:tcPr>
            <w:tcW w:w="63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得分</w:t>
            </w:r>
          </w:p>
        </w:tc>
        <w:tc>
          <w:tcPr>
            <w:tcW w:w="1339"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844" w:type="dxa"/>
            <w:vMerge w:val="continue"/>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960" w:type="dxa"/>
            <w:gridSpan w:val="2"/>
            <w:vMerge w:val="restart"/>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产出指标（</w:t>
            </w:r>
            <w:r>
              <w:rPr>
                <w:rFonts w:hint="eastAsia" w:ascii="宋体" w:hAnsi="宋体" w:eastAsia="宋体"/>
                <w:color w:val="auto"/>
                <w:kern w:val="2"/>
                <w:sz w:val="18"/>
                <w:szCs w:val="24"/>
              </w:rPr>
              <w:t>50</w:t>
            </w:r>
            <w:r>
              <w:rPr>
                <w:rFonts w:hint="eastAsia" w:ascii="Courier New" w:hAnsi="Courier New" w:eastAsia="宋体"/>
                <w:color w:val="auto"/>
                <w:kern w:val="2"/>
                <w:sz w:val="18"/>
                <w:szCs w:val="24"/>
              </w:rPr>
              <w:t>）</w:t>
            </w:r>
          </w:p>
        </w:tc>
        <w:tc>
          <w:tcPr>
            <w:tcW w:w="1320" w:type="dxa"/>
            <w:gridSpan w:val="2"/>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数量指标</w:t>
            </w:r>
          </w:p>
        </w:tc>
        <w:tc>
          <w:tcPr>
            <w:tcW w:w="1352"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开放次数</w:t>
            </w:r>
          </w:p>
        </w:tc>
        <w:tc>
          <w:tcPr>
            <w:tcW w:w="85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100</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lang w:val="en-US" w:eastAsia="zh-CN"/>
              </w:rPr>
              <w:t>120</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14.29</w:t>
            </w:r>
          </w:p>
        </w:tc>
        <w:tc>
          <w:tcPr>
            <w:tcW w:w="63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14.29</w:t>
            </w:r>
          </w:p>
        </w:tc>
        <w:tc>
          <w:tcPr>
            <w:tcW w:w="1339"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844" w:type="dxa"/>
            <w:vMerge w:val="continue"/>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960" w:type="dxa"/>
            <w:gridSpan w:val="2"/>
            <w:vMerge w:val="continue"/>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1320" w:type="dxa"/>
            <w:gridSpan w:val="2"/>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质量指标</w:t>
            </w:r>
          </w:p>
        </w:tc>
        <w:tc>
          <w:tcPr>
            <w:tcW w:w="1352"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开放能力</w:t>
            </w:r>
          </w:p>
        </w:tc>
        <w:tc>
          <w:tcPr>
            <w:tcW w:w="85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29</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lang w:val="en-US" w:eastAsia="zh-CN"/>
              </w:rPr>
              <w:t>50</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14.29</w:t>
            </w:r>
          </w:p>
        </w:tc>
        <w:tc>
          <w:tcPr>
            <w:tcW w:w="63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14.29</w:t>
            </w:r>
          </w:p>
        </w:tc>
        <w:tc>
          <w:tcPr>
            <w:tcW w:w="1339"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844" w:type="dxa"/>
            <w:vMerge w:val="continue"/>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960" w:type="dxa"/>
            <w:gridSpan w:val="2"/>
            <w:vMerge w:val="continue"/>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1320" w:type="dxa"/>
            <w:gridSpan w:val="2"/>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时效指标</w:t>
            </w:r>
          </w:p>
        </w:tc>
        <w:tc>
          <w:tcPr>
            <w:tcW w:w="1352"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eastAsia="zh-CN"/>
              </w:rPr>
            </w:pPr>
            <w:r>
              <w:rPr>
                <w:rFonts w:hint="eastAsia" w:ascii="Courier New" w:hAnsi="Courier New" w:eastAsia="宋体"/>
                <w:color w:val="auto"/>
                <w:kern w:val="2"/>
                <w:sz w:val="18"/>
                <w:szCs w:val="24"/>
                <w:lang w:val="en-US" w:eastAsia="zh-CN"/>
              </w:rPr>
              <w:t>开放时间</w:t>
            </w:r>
          </w:p>
        </w:tc>
        <w:tc>
          <w:tcPr>
            <w:tcW w:w="85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工作日</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工作日</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lang w:val="en-US" w:eastAsia="zh-CN"/>
              </w:rPr>
              <w:t>5</w:t>
            </w:r>
          </w:p>
        </w:tc>
        <w:tc>
          <w:tcPr>
            <w:tcW w:w="63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lang w:val="en-US" w:eastAsia="zh-CN"/>
              </w:rPr>
              <w:t>5</w:t>
            </w:r>
          </w:p>
        </w:tc>
        <w:tc>
          <w:tcPr>
            <w:tcW w:w="1339"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844" w:type="dxa"/>
            <w:vMerge w:val="continue"/>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960" w:type="dxa"/>
            <w:gridSpan w:val="2"/>
            <w:vMerge w:val="continue"/>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1320" w:type="dxa"/>
            <w:gridSpan w:val="2"/>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成本指标</w:t>
            </w:r>
          </w:p>
        </w:tc>
        <w:tc>
          <w:tcPr>
            <w:tcW w:w="1352"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成本控制额</w:t>
            </w:r>
          </w:p>
        </w:tc>
        <w:tc>
          <w:tcPr>
            <w:tcW w:w="85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4.5</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4.5</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5</w:t>
            </w:r>
          </w:p>
        </w:tc>
        <w:tc>
          <w:tcPr>
            <w:tcW w:w="63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5</w:t>
            </w:r>
          </w:p>
        </w:tc>
        <w:tc>
          <w:tcPr>
            <w:tcW w:w="1339"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844" w:type="dxa"/>
            <w:vMerge w:val="continue"/>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960" w:type="dxa"/>
            <w:gridSpan w:val="2"/>
            <w:vMerge w:val="restart"/>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效益指标（</w:t>
            </w:r>
            <w:r>
              <w:rPr>
                <w:rFonts w:hint="eastAsia" w:ascii="宋体" w:hAnsi="宋体" w:eastAsia="宋体"/>
                <w:color w:val="auto"/>
                <w:kern w:val="2"/>
                <w:sz w:val="18"/>
                <w:szCs w:val="24"/>
                <w:lang w:eastAsia="zh-CN"/>
              </w:rPr>
              <w:t>29</w:t>
            </w:r>
            <w:r>
              <w:rPr>
                <w:rFonts w:hint="eastAsia" w:ascii="Courier New" w:hAnsi="Courier New" w:eastAsia="宋体"/>
                <w:color w:val="auto"/>
                <w:kern w:val="2"/>
                <w:sz w:val="18"/>
                <w:szCs w:val="24"/>
              </w:rPr>
              <w:t>）</w:t>
            </w:r>
          </w:p>
        </w:tc>
        <w:tc>
          <w:tcPr>
            <w:tcW w:w="1320" w:type="dxa"/>
            <w:gridSpan w:val="2"/>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社会效益指标</w:t>
            </w:r>
          </w:p>
        </w:tc>
        <w:tc>
          <w:tcPr>
            <w:tcW w:w="1352"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宋体" w:hAnsi="宋体" w:eastAsia="宋体"/>
                <w:color w:val="auto"/>
                <w:kern w:val="2"/>
                <w:sz w:val="18"/>
                <w:szCs w:val="24"/>
                <w:lang w:val="en-US" w:eastAsia="zh-CN"/>
              </w:rPr>
              <w:t>开放影响范围</w:t>
            </w:r>
          </w:p>
        </w:tc>
        <w:tc>
          <w:tcPr>
            <w:tcW w:w="85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全乡</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全乡</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10</w:t>
            </w:r>
          </w:p>
        </w:tc>
        <w:tc>
          <w:tcPr>
            <w:tcW w:w="63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10</w:t>
            </w:r>
          </w:p>
        </w:tc>
        <w:tc>
          <w:tcPr>
            <w:tcW w:w="1339"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844" w:type="dxa"/>
            <w:vMerge w:val="continue"/>
            <w:tcBorders>
              <w:top w:val="nil"/>
              <w:left w:val="single" w:color="auto" w:sz="6" w:space="0"/>
              <w:bottom w:val="nil"/>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960" w:type="dxa"/>
            <w:gridSpan w:val="2"/>
            <w:vMerge w:val="continue"/>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1320" w:type="dxa"/>
            <w:gridSpan w:val="2"/>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可持续影响</w:t>
            </w:r>
            <w:r>
              <w:rPr>
                <w:rFonts w:hint="eastAsia" w:ascii="宋体" w:hAnsi="宋体" w:eastAsia="宋体"/>
                <w:color w:val="auto"/>
                <w:kern w:val="2"/>
                <w:sz w:val="18"/>
                <w:szCs w:val="24"/>
              </w:rPr>
              <w:t xml:space="preserve"> </w:t>
            </w:r>
            <w:r>
              <w:rPr>
                <w:rFonts w:hint="eastAsia" w:ascii="Courier New" w:hAnsi="Courier New" w:eastAsia="宋体"/>
                <w:color w:val="auto"/>
                <w:kern w:val="2"/>
                <w:sz w:val="18"/>
                <w:szCs w:val="24"/>
              </w:rPr>
              <w:t>指</w:t>
            </w:r>
            <w:r>
              <w:rPr>
                <w:rFonts w:hint="eastAsia" w:ascii="宋体" w:hAnsi="宋体" w:eastAsia="宋体"/>
                <w:color w:val="auto"/>
                <w:kern w:val="2"/>
                <w:sz w:val="18"/>
                <w:szCs w:val="24"/>
              </w:rPr>
              <w:t xml:space="preserve">    </w:t>
            </w:r>
            <w:r>
              <w:rPr>
                <w:rFonts w:hint="eastAsia" w:ascii="Courier New" w:hAnsi="Courier New" w:eastAsia="宋体"/>
                <w:color w:val="auto"/>
                <w:kern w:val="2"/>
                <w:sz w:val="18"/>
                <w:szCs w:val="24"/>
              </w:rPr>
              <w:t>标</w:t>
            </w:r>
          </w:p>
        </w:tc>
        <w:tc>
          <w:tcPr>
            <w:tcW w:w="1352"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影响时限</w:t>
            </w:r>
          </w:p>
        </w:tc>
        <w:tc>
          <w:tcPr>
            <w:tcW w:w="85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长期</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lang w:val="en-US" w:eastAsia="zh-CN"/>
              </w:rPr>
              <w:t>长期</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14.29</w:t>
            </w:r>
          </w:p>
        </w:tc>
        <w:tc>
          <w:tcPr>
            <w:tcW w:w="63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14.29</w:t>
            </w:r>
          </w:p>
        </w:tc>
        <w:tc>
          <w:tcPr>
            <w:tcW w:w="1339"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844" w:type="dxa"/>
            <w:vMerge w:val="continue"/>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c>
          <w:tcPr>
            <w:tcW w:w="960" w:type="dxa"/>
            <w:gridSpan w:val="2"/>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满意度</w:t>
            </w:r>
            <w:r>
              <w:rPr>
                <w:rFonts w:hint="eastAsia" w:ascii="宋体" w:hAnsi="宋体" w:eastAsia="宋体"/>
                <w:color w:val="auto"/>
                <w:kern w:val="2"/>
                <w:sz w:val="18"/>
                <w:szCs w:val="24"/>
              </w:rPr>
              <w:t xml:space="preserve"> </w:t>
            </w:r>
            <w:r>
              <w:rPr>
                <w:rFonts w:hint="eastAsia" w:ascii="Courier New" w:hAnsi="Courier New" w:eastAsia="宋体"/>
                <w:color w:val="auto"/>
                <w:kern w:val="2"/>
                <w:sz w:val="18"/>
                <w:szCs w:val="24"/>
              </w:rPr>
              <w:t>指</w:t>
            </w:r>
            <w:r>
              <w:rPr>
                <w:rFonts w:hint="eastAsia" w:ascii="宋体" w:hAnsi="宋体" w:eastAsia="宋体"/>
                <w:color w:val="auto"/>
                <w:kern w:val="2"/>
                <w:sz w:val="18"/>
                <w:szCs w:val="24"/>
              </w:rPr>
              <w:t xml:space="preserve">  </w:t>
            </w:r>
            <w:r>
              <w:rPr>
                <w:rFonts w:hint="eastAsia" w:ascii="Courier New" w:hAnsi="Courier New" w:eastAsia="宋体"/>
                <w:color w:val="auto"/>
                <w:kern w:val="2"/>
                <w:sz w:val="18"/>
                <w:szCs w:val="24"/>
              </w:rPr>
              <w:t>标（</w:t>
            </w:r>
            <w:r>
              <w:rPr>
                <w:rFonts w:hint="eastAsia" w:ascii="宋体" w:hAnsi="宋体" w:eastAsia="宋体"/>
                <w:color w:val="auto"/>
                <w:kern w:val="2"/>
                <w:sz w:val="18"/>
                <w:szCs w:val="24"/>
              </w:rPr>
              <w:t>10</w:t>
            </w:r>
            <w:r>
              <w:rPr>
                <w:rFonts w:hint="eastAsia" w:ascii="Courier New" w:hAnsi="Courier New" w:eastAsia="宋体"/>
                <w:color w:val="auto"/>
                <w:kern w:val="2"/>
                <w:sz w:val="18"/>
                <w:szCs w:val="24"/>
              </w:rPr>
              <w:t>）</w:t>
            </w:r>
          </w:p>
        </w:tc>
        <w:tc>
          <w:tcPr>
            <w:tcW w:w="1320" w:type="dxa"/>
            <w:gridSpan w:val="2"/>
            <w:tcBorders>
              <w:top w:val="nil"/>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rPr>
              <w:t>服务对象</w:t>
            </w:r>
            <w:r>
              <w:rPr>
                <w:rFonts w:hint="eastAsia" w:ascii="宋体" w:hAnsi="宋体" w:eastAsia="宋体"/>
                <w:color w:val="auto"/>
                <w:kern w:val="2"/>
                <w:sz w:val="18"/>
                <w:szCs w:val="24"/>
              </w:rPr>
              <w:t xml:space="preserve"> </w:t>
            </w:r>
            <w:r>
              <w:rPr>
                <w:rFonts w:hint="eastAsia" w:ascii="Courier New" w:hAnsi="Courier New" w:eastAsia="宋体"/>
                <w:color w:val="auto"/>
                <w:kern w:val="2"/>
                <w:sz w:val="18"/>
                <w:szCs w:val="24"/>
              </w:rPr>
              <w:t>满意度指标</w:t>
            </w:r>
          </w:p>
        </w:tc>
        <w:tc>
          <w:tcPr>
            <w:tcW w:w="1352"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eastAsia="zh-CN"/>
              </w:rPr>
            </w:pPr>
            <w:r>
              <w:rPr>
                <w:rFonts w:hint="eastAsia" w:ascii="Courier New" w:hAnsi="Courier New" w:eastAsia="宋体"/>
                <w:color w:val="auto"/>
                <w:kern w:val="2"/>
                <w:sz w:val="18"/>
                <w:szCs w:val="24"/>
                <w:lang w:val="en-US" w:eastAsia="zh-CN"/>
              </w:rPr>
              <w:t>参与活动居民满意度</w:t>
            </w:r>
          </w:p>
        </w:tc>
        <w:tc>
          <w:tcPr>
            <w:tcW w:w="85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eastAsia" w:ascii="Courier New" w:hAnsi="Courier New" w:eastAsia="宋体"/>
                <w:color w:val="auto"/>
                <w:kern w:val="2"/>
                <w:sz w:val="18"/>
                <w:szCs w:val="24"/>
                <w:lang w:val="en-US" w:eastAsia="zh-CN"/>
              </w:rPr>
              <w:t>95</w:t>
            </w:r>
          </w:p>
        </w:tc>
        <w:tc>
          <w:tcPr>
            <w:tcW w:w="865"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98</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10</w:t>
            </w:r>
          </w:p>
        </w:tc>
        <w:tc>
          <w:tcPr>
            <w:tcW w:w="630" w:type="dxa"/>
            <w:tcBorders>
              <w:top w:val="nil"/>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10</w:t>
            </w:r>
          </w:p>
        </w:tc>
        <w:tc>
          <w:tcPr>
            <w:tcW w:w="1339"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6196" w:type="dxa"/>
            <w:gridSpan w:val="9"/>
            <w:tcBorders>
              <w:top w:val="single" w:color="auto" w:sz="6" w:space="0"/>
              <w:left w:val="single" w:color="auto" w:sz="6" w:space="0"/>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r>
              <w:rPr>
                <w:rFonts w:hint="default" w:ascii="Times New Roman" w:hAnsi="Courier New" w:eastAsia="Times New Roman"/>
                <w:color w:val="auto"/>
                <w:kern w:val="2"/>
                <w:sz w:val="18"/>
                <w:szCs w:val="24"/>
              </w:rPr>
              <w:t>总</w:t>
            </w:r>
            <w:r>
              <w:rPr>
                <w:rFonts w:hint="eastAsia" w:ascii="宋体" w:hAnsi="宋体" w:eastAsia="宋体"/>
                <w:color w:val="auto"/>
                <w:kern w:val="2"/>
                <w:sz w:val="18"/>
                <w:szCs w:val="24"/>
              </w:rPr>
              <w:t xml:space="preserve">    </w:t>
            </w:r>
            <w:r>
              <w:rPr>
                <w:rFonts w:hint="eastAsia" w:ascii="Courier New" w:hAnsi="Courier New" w:eastAsia="宋体"/>
                <w:color w:val="auto"/>
                <w:kern w:val="2"/>
                <w:sz w:val="18"/>
                <w:szCs w:val="24"/>
              </w:rPr>
              <w:t>分</w:t>
            </w:r>
          </w:p>
        </w:tc>
        <w:tc>
          <w:tcPr>
            <w:tcW w:w="680" w:type="dxa"/>
            <w:tcBorders>
              <w:top w:val="nil"/>
              <w:left w:val="nil"/>
              <w:bottom w:val="single" w:color="auto" w:sz="6" w:space="0"/>
              <w:right w:val="single" w:color="auto" w:sz="6" w:space="0"/>
              <w:tl2br w:val="nil"/>
              <w:tr2bl w:val="nil"/>
            </w:tcBorders>
            <w:noWrap w:val="0"/>
            <w:vAlign w:val="center"/>
          </w:tcPr>
          <w:p>
            <w:pPr>
              <w:jc w:val="center"/>
              <w:rPr>
                <w:rFonts w:hint="default" w:ascii="宋体" w:hAnsi="宋体" w:eastAsia="宋体"/>
                <w:color w:val="auto"/>
                <w:kern w:val="2"/>
                <w:sz w:val="18"/>
                <w:szCs w:val="24"/>
                <w:lang w:val="en-US" w:eastAsia="zh-CN"/>
              </w:rPr>
            </w:pPr>
            <w:r>
              <w:rPr>
                <w:rFonts w:hint="eastAsia" w:ascii="宋体" w:hAnsi="宋体" w:eastAsia="宋体"/>
                <w:color w:val="auto"/>
                <w:kern w:val="2"/>
                <w:sz w:val="18"/>
                <w:szCs w:val="24"/>
                <w:lang w:val="en-US" w:eastAsia="zh-CN"/>
              </w:rPr>
              <w:t>90</w:t>
            </w:r>
          </w:p>
        </w:tc>
        <w:tc>
          <w:tcPr>
            <w:tcW w:w="630" w:type="dxa"/>
            <w:tcBorders>
              <w:top w:val="nil"/>
              <w:left w:val="nil"/>
              <w:bottom w:val="single" w:color="auto" w:sz="6" w:space="0"/>
              <w:right w:val="single" w:color="auto" w:sz="6" w:space="0"/>
              <w:tl2br w:val="nil"/>
              <w:tr2bl w:val="nil"/>
            </w:tcBorders>
            <w:noWrap w:val="0"/>
            <w:vAlign w:val="center"/>
          </w:tcPr>
          <w:p>
            <w:pPr>
              <w:jc w:val="center"/>
              <w:rPr>
                <w:rFonts w:hint="default" w:ascii="宋体" w:hAnsi="宋体" w:eastAsia="宋体"/>
                <w:color w:val="auto"/>
                <w:kern w:val="2"/>
                <w:sz w:val="18"/>
                <w:szCs w:val="24"/>
                <w:lang w:val="en-US" w:eastAsia="zh-CN"/>
              </w:rPr>
            </w:pPr>
            <w:r>
              <w:rPr>
                <w:rFonts w:hint="eastAsia" w:ascii="Courier New" w:hAnsi="Courier New" w:eastAsia="宋体"/>
                <w:color w:val="auto"/>
                <w:kern w:val="2"/>
                <w:sz w:val="18"/>
                <w:szCs w:val="24"/>
                <w:lang w:val="en-US" w:eastAsia="zh-CN"/>
              </w:rPr>
              <w:t>90</w:t>
            </w:r>
          </w:p>
        </w:tc>
        <w:tc>
          <w:tcPr>
            <w:tcW w:w="1339" w:type="dxa"/>
            <w:gridSpan w:val="2"/>
            <w:tcBorders>
              <w:top w:val="single" w:color="auto" w:sz="6" w:space="0"/>
              <w:left w:val="nil"/>
              <w:bottom w:val="single" w:color="auto" w:sz="6" w:space="0"/>
              <w:right w:val="single" w:color="auto" w:sz="6" w:space="0"/>
              <w:tl2br w:val="nil"/>
              <w:tr2bl w:val="nil"/>
            </w:tcBorders>
            <w:noWrap w:val="0"/>
            <w:vAlign w:val="center"/>
          </w:tcPr>
          <w:p>
            <w:pPr>
              <w:jc w:val="center"/>
              <w:rPr>
                <w:rFonts w:hint="eastAsia" w:ascii="宋体" w:hAnsi="宋体" w:eastAsia="宋体"/>
                <w:color w:val="auto"/>
                <w:kern w:val="2"/>
                <w:sz w:val="18"/>
                <w:szCs w:val="24"/>
              </w:rPr>
            </w:pPr>
          </w:p>
        </w:tc>
      </w:tr>
    </w:tbl>
    <w:p>
      <w:pPr>
        <w:rPr>
          <w:rFonts w:hint="eastAsia" w:ascii="宋体" w:hAnsi="宋体" w:eastAsia="宋体"/>
          <w:color w:val="auto"/>
          <w:sz w:val="18"/>
          <w:szCs w:val="24"/>
          <w:lang w:val="zh-CN"/>
        </w:rPr>
      </w:pPr>
    </w:p>
    <w:sectPr>
      <w:pgSz w:w="12240" w:h="15840"/>
      <w:pgMar w:top="1440" w:right="1800" w:bottom="1440" w:left="1800" w:header="720" w:footer="720" w:gutter="0"/>
      <w:lnNumType w:countBy="0" w:distance="36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Courier New">
    <w:panose1 w:val="02070309020205020404"/>
    <w:charset w:val="00"/>
    <w:family w:val="modern"/>
    <w:pitch w:val="default"/>
    <w:sig w:usb0="E0002AFF" w:usb1="C0007843" w:usb2="00000009" w:usb3="00000000" w:csb0="400001FF" w:csb1="FFFF0000"/>
  </w:font>
  <w:font w:name="方正小标宋简体">
    <w:altName w:val="黑体"/>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楷体简体">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38ABA4"/>
    <w:multiLevelType w:val="multilevel"/>
    <w:tmpl w:val="D738ABA4"/>
    <w:lvl w:ilvl="0" w:tentative="0">
      <w:start w:val="3"/>
      <w:numFmt w:val="chineseCounting"/>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1">
    <w:nsid w:val="45BBD11F"/>
    <w:multiLevelType w:val="multilevel"/>
    <w:tmpl w:val="45BBD11F"/>
    <w:lvl w:ilvl="0" w:tentative="0">
      <w:start w:val="15"/>
      <w:numFmt w:val="chineseCounting"/>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2">
    <w:nsid w:val="4693A0E8"/>
    <w:multiLevelType w:val="multilevel"/>
    <w:tmpl w:val="4693A0E8"/>
    <w:lvl w:ilvl="0" w:tentative="0">
      <w:start w:val="1"/>
      <w:numFmt w:val="chineseCounting"/>
      <w:suff w:val="space"/>
      <w:lvlText w:val="第%1部分"/>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3">
    <w:nsid w:val="5660E7A6"/>
    <w:multiLevelType w:val="multilevel"/>
    <w:tmpl w:val="5660E7A6"/>
    <w:lvl w:ilvl="0" w:tentative="0">
      <w:start w:val="2"/>
      <w:numFmt w:val="chineseCounting"/>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4">
    <w:nsid w:val="76659C3B"/>
    <w:multiLevelType w:val="multilevel"/>
    <w:tmpl w:val="76659C3B"/>
    <w:lvl w:ilvl="0" w:tentative="0">
      <w:start w:val="1"/>
      <w:numFmt w:val="decimal"/>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HorizontalSpacing w:val="120"/>
  <w:drawingGridVerticalSpacing w:val="120"/>
  <w:displayHorizontalDrawingGridEvery w:val="1"/>
  <w:displayVerticalDrawingGridEvery w:val="1"/>
  <w:doNotUseMarginsForDrawingGridOrigin w:val="1"/>
  <w:drawingGridHorizontalOrigin w:val="1701"/>
  <w:drawingGridVerticalOrigin w:val="1984"/>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3ZTQzMDE1MGM2OTZiNjE2YThlOTI4MGI3NTBhOGUifQ=="/>
  </w:docVars>
  <w:rsids>
    <w:rsidRoot w:val="00172A27"/>
    <w:rsid w:val="37870590"/>
    <w:rsid w:val="3F5F64EF"/>
    <w:rsid w:val="678278F4"/>
    <w:rsid w:val="788E570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99" w:semiHidden="0" w:name="caption"/>
    <w:lsdException w:qFormat="1" w:unhideWhenUsed="0"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99" w:semiHidden="0" w:name="Title"/>
    <w:lsdException w:qFormat="1" w:unhideWhenUsed="0" w:uiPriority="99" w:semiHidden="0" w:name="Closing"/>
    <w:lsdException w:qFormat="1" w:unhideWhenUsed="0" w:uiPriority="99" w:semiHidden="0" w:name="Signature"/>
    <w:lsdException w:uiPriority="99" w:semiHidden="0"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qFormat="1" w:unhideWhenUsed="0" w:uiPriority="99" w:semiHidden="0" w:name="E-mail Signature"/>
    <w:lsdException w:qFormat="1" w:unhideWhenUsed="0" w:uiPriority="99" w:semiHidden="0" w:name="Normal (Web)"/>
    <w:lsdException w:qFormat="1" w:unhideWhenUsed="0" w:uiPriority="99" w:semiHidden="0" w:name="HTML Acronym"/>
    <w:lsdException w:qFormat="1" w:unhideWhenUsed="0" w:uiPriority="99"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nhideWhenUsed="0" w:uiPriority="99" w:semiHidden="0" w:name="Normal Table"/>
    <w:lsdException w:qFormat="1" w:unhideWhenUsed="0" w:uiPriority="99" w:semiHidden="0" w:name="annotation subject"/>
    <w:lsdException w:qFormat="1" w:unhideWhenUsed="0" w:uiPriority="99" w:semiHidden="0" w:name="Table Simple 1"/>
    <w:lsdException w:qFormat="1" w:unhideWhenUsed="0" w:uiPriority="99" w:semiHidden="0" w:name="Table Simple 2"/>
    <w:lsdException w:qFormat="1" w:unhideWhenUsed="0" w:uiPriority="99" w:semiHidden="0" w:name="Table Simple 3"/>
    <w:lsdException w:qFormat="1" w:unhideWhenUsed="0" w:uiPriority="99" w:semiHidden="0" w:name="Table Classic 1"/>
    <w:lsdException w:qFormat="1" w:unhideWhenUsed="0" w:uiPriority="99" w:semiHidden="0" w:name="Table Classic 2"/>
    <w:lsdException w:qFormat="1" w:unhideWhenUsed="0" w:uiPriority="99" w:semiHidden="0" w:name="Table Classic 3"/>
    <w:lsdException w:qFormat="1" w:unhideWhenUsed="0" w:uiPriority="99" w:semiHidden="0" w:name="Table Classic 4"/>
    <w:lsdException w:qFormat="1" w:unhideWhenUsed="0" w:uiPriority="99" w:semiHidden="0" w:name="Table Colorful 1"/>
    <w:lsdException w:qFormat="1" w:unhideWhenUsed="0" w:uiPriority="99" w:semiHidden="0" w:name="Table Colorful 2"/>
    <w:lsdException w:qFormat="1" w:unhideWhenUsed="0" w:uiPriority="99" w:semiHidden="0" w:name="Table Colorful 3"/>
    <w:lsdException w:qFormat="1" w:unhideWhenUsed="0" w:uiPriority="99" w:semiHidden="0" w:name="Table Columns 1"/>
    <w:lsdException w:qFormat="1" w:unhideWhenUsed="0" w:uiPriority="99" w:semiHidden="0" w:name="Table Columns 2"/>
    <w:lsdException w:qFormat="1" w:unhideWhenUsed="0" w:uiPriority="99" w:semiHidden="0" w:name="Table Columns 3"/>
    <w:lsdException w:qFormat="1" w:unhideWhenUsed="0" w:uiPriority="99" w:semiHidden="0" w:name="Table Columns 4"/>
    <w:lsdException w:qFormat="1" w:unhideWhenUsed="0" w:uiPriority="99" w:semiHidden="0" w:name="Table Columns 5"/>
    <w:lsdException w:qFormat="1" w:unhideWhenUsed="0" w:uiPriority="99" w:semiHidden="0" w:name="Table Grid 1"/>
    <w:lsdException w:qFormat="1" w:unhideWhenUsed="0" w:uiPriority="99" w:semiHidden="0" w:name="Table Grid 2"/>
    <w:lsdException w:qFormat="1" w:unhideWhenUsed="0" w:uiPriority="99" w:semiHidden="0" w:name="Table Grid 3"/>
    <w:lsdException w:qFormat="1" w:unhideWhenUsed="0" w:uiPriority="99" w:semiHidden="0" w:name="Table Grid 4"/>
    <w:lsdException w:qFormat="1" w:unhideWhenUsed="0" w:uiPriority="99" w:semiHidden="0" w:name="Table Grid 5"/>
    <w:lsdException w:qFormat="1" w:unhideWhenUsed="0" w:uiPriority="99" w:semiHidden="0" w:name="Table Grid 6"/>
    <w:lsdException w:qFormat="1" w:unhideWhenUsed="0" w:uiPriority="99" w:semiHidden="0" w:name="Table Grid 7"/>
    <w:lsdException w:qFormat="1" w:unhideWhenUsed="0" w:uiPriority="99" w:semiHidden="0" w:name="Table Grid 8"/>
    <w:lsdException w:qFormat="1" w:unhideWhenUsed="0" w:uiPriority="99" w:semiHidden="0" w:name="Table List 1"/>
    <w:lsdException w:qFormat="1" w:unhideWhenUsed="0" w:uiPriority="99" w:semiHidden="0" w:name="Table List 2"/>
    <w:lsdException w:qFormat="1" w:unhideWhenUsed="0" w:uiPriority="99" w:semiHidden="0" w:name="Table List 3"/>
    <w:lsdException w:qFormat="1" w:unhideWhenUsed="0" w:uiPriority="99" w:semiHidden="0" w:name="Table List 4"/>
    <w:lsdException w:qFormat="1" w:unhideWhenUsed="0" w:uiPriority="99" w:semiHidden="0" w:name="Table List 5"/>
    <w:lsdException w:qFormat="1" w:unhideWhenUsed="0" w:uiPriority="99" w:semiHidden="0" w:name="Table List 6"/>
    <w:lsdException w:qFormat="1" w:unhideWhenUsed="0" w:uiPriority="99" w:semiHidden="0" w:name="Table List 7"/>
    <w:lsdException w:qFormat="1" w:unhideWhenUsed="0" w:uiPriority="99" w:semiHidden="0" w:name="Table List 8"/>
    <w:lsdException w:qFormat="1" w:unhideWhenUsed="0" w:uiPriority="99" w:semiHidden="0" w:name="Table 3D effects 1"/>
    <w:lsdException w:qFormat="1" w:unhideWhenUsed="0" w:uiPriority="99" w:semiHidden="0" w:name="Table 3D effects 2"/>
    <w:lsdException w:qFormat="1" w:unhideWhenUsed="0" w:uiPriority="99" w:semiHidden="0" w:name="Table 3D effects 3"/>
    <w:lsdException w:qFormat="1" w:unhideWhenUsed="0" w:uiPriority="99" w:semiHidden="0" w:name="Table Contemporary"/>
    <w:lsdException w:qFormat="1" w:unhideWhenUsed="0" w:uiPriority="99" w:semiHidden="0" w:name="Table Elegant"/>
    <w:lsdException w:qFormat="1" w:unhideWhenUsed="0" w:uiPriority="99" w:semiHidden="0" w:name="Table Professional"/>
    <w:lsdException w:qFormat="1" w:unhideWhenUsed="0" w:uiPriority="99" w:semiHidden="0" w:name="Table Subtle 1"/>
    <w:lsdException w:qFormat="1" w:unhideWhenUsed="0" w:uiPriority="99" w:semiHidden="0" w:name="Table Subtle 2"/>
    <w:lsdException w:qFormat="1" w:unhideWhenUsed="0" w:uiPriority="99" w:semiHidden="0" w:name="Table Web 1"/>
    <w:lsdException w:qFormat="1" w:unhideWhenUsed="0" w:uiPriority="99" w:semiHidden="0" w:name="Table Web 2"/>
    <w:lsdException w:qFormat="1" w:unhideWhenUsed="0" w:uiPriority="99" w:semiHidden="0" w:name="Table Web 3"/>
    <w:lsdException w:qFormat="1" w:unhideWhenUsed="0" w:uiPriority="99" w:semiHidden="0" w:name="Balloon Text"/>
    <w:lsdException w:qFormat="1" w:unhideWhenUsed="0" w:uiPriority="99" w:semiHidden="0" w:name="Table Grid"/>
    <w:lsdException w:qFormat="1" w:unhideWhenUsed="0" w:uiPriority="99" w:semiHidden="0" w:name="Table Theme"/>
    <w:lsdException w:qFormat="1" w:unhideWhenUsed="0" w:uiPriority="99" w:semiHidden="0" w:name="Light Shading"/>
    <w:lsdException w:qFormat="1" w:unhideWhenUsed="0" w:uiPriority="99" w:semiHidden="0" w:name="Light List"/>
    <w:lsdException w:qFormat="1" w:unhideWhenUsed="0" w:uiPriority="99" w:semiHidden="0" w:name="Light Grid"/>
    <w:lsdException w:qFormat="1" w:unhideWhenUsed="0" w:uiPriority="99" w:semiHidden="0" w:name="Medium Shading 1"/>
    <w:lsdException w:qFormat="1" w:unhideWhenUsed="0" w:uiPriority="99" w:semiHidden="0" w:name="Medium Shading 2"/>
    <w:lsdException w:qFormat="1" w:unhideWhenUsed="0" w:uiPriority="99" w:semiHidden="0" w:name="Medium List 1"/>
    <w:lsdException w:qFormat="1" w:unhideWhenUsed="0" w:uiPriority="99" w:semiHidden="0" w:name="Medium List 2"/>
    <w:lsdException w:qFormat="1" w:unhideWhenUsed="0" w:uiPriority="99" w:semiHidden="0" w:name="Medium Grid 1"/>
    <w:lsdException w:qFormat="1" w:unhideWhenUsed="0" w:uiPriority="99" w:semiHidden="0" w:name="Medium Grid 2"/>
    <w:lsdException w:qFormat="1" w:unhideWhenUsed="0" w:uiPriority="99" w:semiHidden="0" w:name="Medium Grid 3"/>
    <w:lsdException w:qFormat="1" w:unhideWhenUsed="0" w:uiPriority="99" w:semiHidden="0" w:name="Dark List"/>
    <w:lsdException w:qFormat="1" w:unhideWhenUsed="0" w:uiPriority="99" w:semiHidden="0" w:name="Colorful Shading"/>
    <w:lsdException w:qFormat="1" w:unhideWhenUsed="0" w:uiPriority="99" w:semiHidden="0" w:name="Colorful List"/>
    <w:lsdException w:qFormat="1" w:unhideWhenUsed="0" w:uiPriority="99" w:semiHidden="0" w:name="Colorful Grid"/>
    <w:lsdException w:qFormat="1" w:unhideWhenUsed="0" w:uiPriority="99" w:semiHidden="0" w:name="Light Shading Accent 1"/>
    <w:lsdException w:qFormat="1" w:unhideWhenUsed="0" w:uiPriority="99" w:semiHidden="0" w:name="Light List Accent 1"/>
    <w:lsdException w:qFormat="1" w:unhideWhenUsed="0" w:uiPriority="99" w:semiHidden="0" w:name="Light Grid Accent 1"/>
    <w:lsdException w:qFormat="1" w:unhideWhenUsed="0" w:uiPriority="99" w:semiHidden="0" w:name="Medium Shading 1 Accent 1"/>
    <w:lsdException w:qFormat="1" w:unhideWhenUsed="0" w:uiPriority="99" w:semiHidden="0" w:name="Medium Shading 2 Accent 1"/>
    <w:lsdException w:qFormat="1" w:unhideWhenUsed="0" w:uiPriority="99" w:semiHidden="0" w:name="Medium List 1 Accent 1"/>
    <w:lsdException w:qFormat="1" w:unhideWhenUsed="0" w:uiPriority="99" w:semiHidden="0" w:name="Medium List 2 Accent 1"/>
    <w:lsdException w:qFormat="1" w:unhideWhenUsed="0" w:uiPriority="99" w:semiHidden="0" w:name="Medium Grid 1 Accent 1"/>
    <w:lsdException w:qFormat="1" w:unhideWhenUsed="0" w:uiPriority="99" w:semiHidden="0" w:name="Medium Grid 2 Accent 1"/>
    <w:lsdException w:qFormat="1" w:unhideWhenUsed="0" w:uiPriority="99" w:semiHidden="0" w:name="Medium Grid 3 Accent 1"/>
    <w:lsdException w:qFormat="1" w:unhideWhenUsed="0" w:uiPriority="99" w:semiHidden="0" w:name="Dark List Accent 1"/>
    <w:lsdException w:qFormat="1" w:unhideWhenUsed="0" w:uiPriority="99" w:semiHidden="0" w:name="Colorful Shading Accent 1"/>
    <w:lsdException w:qFormat="1" w:unhideWhenUsed="0" w:uiPriority="99" w:semiHidden="0" w:name="Colorful List Accent 1"/>
    <w:lsdException w:qFormat="1" w:unhideWhenUsed="0" w:uiPriority="99" w:semiHidden="0" w:name="Colorful Grid Accent 1"/>
    <w:lsdException w:qFormat="1" w:unhideWhenUsed="0" w:uiPriority="99" w:semiHidden="0" w:name="Light Shading Accent 2"/>
    <w:lsdException w:qFormat="1" w:unhideWhenUsed="0" w:uiPriority="99" w:semiHidden="0" w:name="Light List Accent 2"/>
    <w:lsdException w:qFormat="1" w:unhideWhenUsed="0" w:uiPriority="99" w:semiHidden="0" w:name="Light Grid Accent 2"/>
    <w:lsdException w:qFormat="1" w:unhideWhenUsed="0" w:uiPriority="99" w:semiHidden="0" w:name="Medium Shading 1 Accent 2"/>
    <w:lsdException w:qFormat="1" w:unhideWhenUsed="0" w:uiPriority="99" w:semiHidden="0" w:name="Medium Shading 2 Accent 2"/>
    <w:lsdException w:qFormat="1" w:unhideWhenUsed="0" w:uiPriority="99" w:semiHidden="0" w:name="Medium List 1 Accent 2"/>
    <w:lsdException w:qFormat="1" w:unhideWhenUsed="0" w:uiPriority="99" w:semiHidden="0" w:name="Medium List 2 Accent 2"/>
    <w:lsdException w:qFormat="1" w:unhideWhenUsed="0" w:uiPriority="99" w:semiHidden="0" w:name="Medium Grid 1 Accent 2"/>
    <w:lsdException w:qFormat="1" w:unhideWhenUsed="0" w:uiPriority="99" w:semiHidden="0" w:name="Medium Grid 2 Accent 2"/>
    <w:lsdException w:qFormat="1" w:unhideWhenUsed="0" w:uiPriority="99" w:semiHidden="0" w:name="Medium Grid 3 Accent 2"/>
    <w:lsdException w:qFormat="1" w:unhideWhenUsed="0" w:uiPriority="99" w:semiHidden="0" w:name="Dark List Accent 2"/>
    <w:lsdException w:qFormat="1" w:unhideWhenUsed="0" w:uiPriority="99" w:semiHidden="0" w:name="Colorful Shading Accent 2"/>
    <w:lsdException w:qFormat="1" w:unhideWhenUsed="0" w:uiPriority="99" w:semiHidden="0" w:name="Colorful List Accent 2"/>
    <w:lsdException w:qFormat="1" w:unhideWhenUsed="0" w:uiPriority="99" w:semiHidden="0" w:name="Colorful Grid Accent 2"/>
    <w:lsdException w:qFormat="1" w:unhideWhenUsed="0" w:uiPriority="99" w:semiHidden="0" w:name="Light Shading Accent 3"/>
    <w:lsdException w:qFormat="1" w:unhideWhenUsed="0" w:uiPriority="99" w:semiHidden="0" w:name="Light List Accent 3"/>
    <w:lsdException w:qFormat="1" w:unhideWhenUsed="0" w:uiPriority="99" w:semiHidden="0" w:name="Light Grid Accent 3"/>
    <w:lsdException w:qFormat="1" w:unhideWhenUsed="0" w:uiPriority="99" w:semiHidden="0" w:name="Medium Shading 1 Accent 3"/>
    <w:lsdException w:qFormat="1" w:unhideWhenUsed="0" w:uiPriority="99" w:semiHidden="0" w:name="Medium Shading 2 Accent 3"/>
    <w:lsdException w:qFormat="1" w:unhideWhenUsed="0" w:uiPriority="99" w:semiHidden="0" w:name="Medium List 1 Accent 3"/>
    <w:lsdException w:qFormat="1" w:unhideWhenUsed="0" w:uiPriority="99" w:semiHidden="0" w:name="Medium List 2 Accent 3"/>
    <w:lsdException w:qFormat="1" w:unhideWhenUsed="0" w:uiPriority="99" w:semiHidden="0" w:name="Medium Grid 1 Accent 3"/>
    <w:lsdException w:qFormat="1" w:unhideWhenUsed="0" w:uiPriority="99" w:semiHidden="0" w:name="Medium Grid 2 Accent 3"/>
    <w:lsdException w:qFormat="1" w:unhideWhenUsed="0" w:uiPriority="99" w:semiHidden="0" w:name="Medium Grid 3 Accent 3"/>
    <w:lsdException w:qFormat="1" w:unhideWhenUsed="0" w:uiPriority="99" w:semiHidden="0" w:name="Dark List Accent 3"/>
    <w:lsdException w:qFormat="1" w:unhideWhenUsed="0" w:uiPriority="99" w:semiHidden="0" w:name="Colorful Shading Accent 3"/>
    <w:lsdException w:qFormat="1" w:unhideWhenUsed="0" w:uiPriority="99" w:semiHidden="0" w:name="Colorful List Accent 3"/>
    <w:lsdException w:qFormat="1" w:unhideWhenUsed="0" w:uiPriority="99" w:semiHidden="0" w:name="Colorful Grid Accent 3"/>
    <w:lsdException w:qFormat="1" w:unhideWhenUsed="0" w:uiPriority="99" w:semiHidden="0" w:name="Light Shading Accent 4"/>
    <w:lsdException w:qFormat="1" w:unhideWhenUsed="0" w:uiPriority="99" w:semiHidden="0" w:name="Light List Accent 4"/>
    <w:lsdException w:qFormat="1" w:unhideWhenUsed="0" w:uiPriority="99" w:semiHidden="0" w:name="Light Grid Accent 4"/>
    <w:lsdException w:qFormat="1" w:unhideWhenUsed="0" w:uiPriority="99" w:semiHidden="0" w:name="Medium Shading 1 Accent 4"/>
    <w:lsdException w:qFormat="1" w:unhideWhenUsed="0" w:uiPriority="99" w:semiHidden="0" w:name="Medium Shading 2 Accent 4"/>
    <w:lsdException w:qFormat="1" w:unhideWhenUsed="0" w:uiPriority="99" w:semiHidden="0" w:name="Medium List 1 Accent 4"/>
    <w:lsdException w:qFormat="1" w:unhideWhenUsed="0" w:uiPriority="99" w:semiHidden="0" w:name="Medium List 2 Accent 4"/>
    <w:lsdException w:qFormat="1" w:unhideWhenUsed="0" w:uiPriority="99" w:semiHidden="0" w:name="Medium Grid 1 Accent 4"/>
    <w:lsdException w:qFormat="1" w:unhideWhenUsed="0" w:uiPriority="99" w:semiHidden="0" w:name="Medium Grid 2 Accent 4"/>
    <w:lsdException w:qFormat="1" w:unhideWhenUsed="0" w:uiPriority="99" w:semiHidden="0" w:name="Medium Grid 3 Accent 4"/>
    <w:lsdException w:qFormat="1" w:unhideWhenUsed="0" w:uiPriority="99" w:semiHidden="0" w:name="Dark List Accent 4"/>
    <w:lsdException w:qFormat="1" w:unhideWhenUsed="0" w:uiPriority="99" w:semiHidden="0" w:name="Colorful Shading Accent 4"/>
    <w:lsdException w:qFormat="1" w:unhideWhenUsed="0" w:uiPriority="99" w:semiHidden="0" w:name="Colorful List Accent 4"/>
    <w:lsdException w:qFormat="1" w:unhideWhenUsed="0" w:uiPriority="99" w:semiHidden="0" w:name="Colorful Grid Accent 4"/>
    <w:lsdException w:qFormat="1" w:unhideWhenUsed="0" w:uiPriority="99" w:semiHidden="0" w:name="Light Shading Accent 5"/>
    <w:lsdException w:qFormat="1" w:unhideWhenUsed="0" w:uiPriority="99" w:semiHidden="0" w:name="Light List Accent 5"/>
    <w:lsdException w:qFormat="1" w:unhideWhenUsed="0" w:uiPriority="99" w:semiHidden="0" w:name="Light Grid Accent 5"/>
    <w:lsdException w:qFormat="1" w:unhideWhenUsed="0" w:uiPriority="99" w:semiHidden="0" w:name="Medium Shading 1 Accent 5"/>
    <w:lsdException w:qFormat="1" w:unhideWhenUsed="0" w:uiPriority="99" w:semiHidden="0" w:name="Medium Shading 2 Accent 5"/>
    <w:lsdException w:qFormat="1" w:unhideWhenUsed="0" w:uiPriority="99" w:semiHidden="0" w:name="Medium List 1 Accent 5"/>
    <w:lsdException w:qFormat="1" w:unhideWhenUsed="0" w:uiPriority="99" w:semiHidden="0" w:name="Medium List 2 Accent 5"/>
    <w:lsdException w:qFormat="1" w:unhideWhenUsed="0" w:uiPriority="99" w:semiHidden="0" w:name="Medium Grid 1 Accent 5"/>
    <w:lsdException w:qFormat="1" w:unhideWhenUsed="0" w:uiPriority="99" w:semiHidden="0" w:name="Medium Grid 2 Accent 5"/>
    <w:lsdException w:qFormat="1" w:unhideWhenUsed="0" w:uiPriority="99" w:semiHidden="0" w:name="Medium Grid 3 Accent 5"/>
    <w:lsdException w:qFormat="1" w:unhideWhenUsed="0" w:uiPriority="99" w:semiHidden="0" w:name="Dark List Accent 5"/>
    <w:lsdException w:qFormat="1" w:unhideWhenUsed="0" w:uiPriority="99" w:semiHidden="0" w:name="Colorful Shading Accent 5"/>
    <w:lsdException w:qFormat="1" w:unhideWhenUsed="0" w:uiPriority="99" w:semiHidden="0" w:name="Colorful List Accent 5"/>
    <w:lsdException w:qFormat="1" w:unhideWhenUsed="0" w:uiPriority="99" w:semiHidden="0" w:name="Colorful Grid Accent 5"/>
    <w:lsdException w:qFormat="1" w:unhideWhenUsed="0" w:uiPriority="99" w:semiHidden="0" w:name="Light Shading Accent 6"/>
    <w:lsdException w:qFormat="1" w:unhideWhenUsed="0" w:uiPriority="99" w:semiHidden="0" w:name="Light List Accent 6"/>
    <w:lsdException w:qFormat="1" w:unhideWhenUsed="0" w:uiPriority="99" w:semiHidden="0" w:name="Light Grid Accent 6"/>
    <w:lsdException w:qFormat="1" w:unhideWhenUsed="0" w:uiPriority="99" w:semiHidden="0" w:name="Medium Shading 1 Accent 6"/>
    <w:lsdException w:qFormat="1" w:unhideWhenUsed="0" w:uiPriority="99" w:semiHidden="0" w:name="Medium Shading 2 Accent 6"/>
    <w:lsdException w:qFormat="1" w:unhideWhenUsed="0" w:uiPriority="99" w:semiHidden="0" w:name="Medium List 1 Accent 6"/>
    <w:lsdException w:qFormat="1" w:unhideWhenUsed="0" w:uiPriority="99" w:semiHidden="0" w:name="Medium List 2 Accent 6"/>
    <w:lsdException w:qFormat="1" w:unhideWhenUsed="0" w:uiPriority="99" w:semiHidden="0" w:name="Medium Grid 1 Accent 6"/>
    <w:lsdException w:qFormat="1" w:unhideWhenUsed="0" w:uiPriority="99" w:semiHidden="0" w:name="Medium Grid 2 Accent 6"/>
    <w:lsdException w:qFormat="1" w:unhideWhenUsed="0" w:uiPriority="99" w:semiHidden="0" w:name="Medium Grid 3 Accent 6"/>
    <w:lsdException w:qFormat="1" w:unhideWhenUsed="0" w:uiPriority="99" w:semiHidden="0" w:name="Dark List Accent 6"/>
    <w:lsdException w:qFormat="1" w:unhideWhenUsed="0" w:uiPriority="99" w:semiHidden="0" w:name="Colorful Shading Accent 6"/>
    <w:lsdException w:qFormat="1" w:unhideWhenUsed="0" w:uiPriority="99" w:semiHidden="0" w:name="Colorful List Accent 6"/>
    <w:lsdException w:qFormat="1" w:unhideWhenUsed="0" w:uiPriority="99" w:semiHidden="0" w:name="Colorful Grid Accent 6"/>
  </w:latentStyles>
  <w:style w:type="paragraph" w:default="1" w:styleId="1">
    <w:name w:val="Normal"/>
    <w:unhideWhenUsed/>
    <w:uiPriority w:val="99"/>
    <w:pPr>
      <w:widowControl w:val="0"/>
      <w:autoSpaceDE w:val="0"/>
      <w:autoSpaceDN w:val="0"/>
      <w:adjustRightInd w:val="0"/>
    </w:pPr>
    <w:rPr>
      <w:rFonts w:hint="default"/>
      <w:sz w:val="24"/>
      <w:szCs w:val="24"/>
    </w:rPr>
  </w:style>
  <w:style w:type="paragraph" w:styleId="2">
    <w:name w:val="heading 1"/>
    <w:unhideWhenUsed/>
    <w:uiPriority w:val="99"/>
    <w:pPr>
      <w:widowControl w:val="0"/>
      <w:autoSpaceDE w:val="0"/>
      <w:autoSpaceDN w:val="0"/>
      <w:adjustRightInd w:val="0"/>
    </w:pPr>
    <w:rPr>
      <w:rFonts w:hint="default"/>
      <w:sz w:val="24"/>
      <w:szCs w:val="24"/>
    </w:rPr>
  </w:style>
  <w:style w:type="paragraph" w:styleId="3">
    <w:name w:val="heading 2"/>
    <w:unhideWhenUsed/>
    <w:uiPriority w:val="99"/>
    <w:pPr>
      <w:widowControl w:val="0"/>
      <w:autoSpaceDE w:val="0"/>
      <w:autoSpaceDN w:val="0"/>
      <w:adjustRightInd w:val="0"/>
    </w:pPr>
    <w:rPr>
      <w:rFonts w:hint="default"/>
      <w:sz w:val="24"/>
      <w:szCs w:val="24"/>
    </w:rPr>
  </w:style>
  <w:style w:type="character" w:default="1" w:styleId="5">
    <w:name w:val="Default Paragraph Font"/>
    <w:unhideWhenUsed/>
    <w:uiPriority w:val="99"/>
    <w:rPr>
      <w:rFonts w:hint="default"/>
      <w:sz w:val="24"/>
      <w:szCs w:val="24"/>
    </w:rPr>
  </w:style>
  <w:style w:type="table" w:default="1" w:styleId="4">
    <w:name w:val="Normal Table"/>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21</Pages>
  <Words>8011</Words>
  <Characters>8803</Characters>
  <TotalTime>13</TotalTime>
  <ScaleCrop>false</ScaleCrop>
  <LinksUpToDate>false</LinksUpToDate>
  <CharactersWithSpaces>8860</CharactersWithSpaces>
  <Application>WPS Office_12.1.0.15712_F1E327BC-269C-435d-A152-05C5408002CA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2023-10-23T02:05:01Z</dcterms:created>
  <dc:creator>Administrator</dc:creator>
  <cp:lastModifiedBy>Administrator</cp:lastModifiedBy>
  <dcterms:modified xsi:type="dcterms:W3CDTF">2023-10-23T02:21:05Z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2B4D0B1568184A2CA10B04B6913791BD_12</vt:lpwstr>
  </property>
</Properties>
</file>