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tabs>
          <w:tab w:val="left" w:pos="6669"/>
        </w:tabs>
        <w:spacing w:before="340" w:beforeLines="0" w:after="330" w:afterLines="0" w:line="576" w:lineRule="auto"/>
        <w:ind w:left="198"/>
        <w:jc w:val="both"/>
        <w:rPr>
          <w:rFonts w:hint="default" w:ascii="Times New Roman" w:hAnsi="Times New Roman" w:eastAsia="Times New Roman"/>
          <w:b/>
          <w:color w:val="auto"/>
          <w:kern w:val="44"/>
          <w:sz w:val="32"/>
          <w:szCs w:val="24"/>
        </w:rPr>
      </w:pPr>
    </w:p>
    <w:p>
      <w:pPr>
        <w:spacing w:beforeLines="0" w:afterLines="0"/>
        <w:jc w:val="both"/>
        <w:rPr>
          <w:rFonts w:hint="default" w:ascii="Times New Roman" w:hAnsi="Times New Roman" w:eastAsia="Times New Roman"/>
          <w:color w:val="auto"/>
          <w:kern w:val="2"/>
          <w:sz w:val="32"/>
          <w:szCs w:val="24"/>
        </w:rPr>
      </w:pPr>
    </w:p>
    <w:p>
      <w:pPr>
        <w:spacing w:beforeLines="0" w:after="120" w:afterLines="0"/>
        <w:ind w:left="420" w:firstLine="640"/>
        <w:jc w:val="both"/>
        <w:rPr>
          <w:rFonts w:hint="default" w:ascii="Times New Roman" w:hAnsi="Times New Roman" w:eastAsia="Times New Roman"/>
          <w:color w:val="auto"/>
          <w:kern w:val="2"/>
          <w:sz w:val="32"/>
          <w:szCs w:val="24"/>
        </w:rPr>
      </w:pPr>
    </w:p>
    <w:p>
      <w:pPr>
        <w:spacing w:beforeLines="0" w:after="120" w:afterLines="0"/>
        <w:ind w:left="420" w:firstLine="640"/>
        <w:jc w:val="both"/>
        <w:rPr>
          <w:rFonts w:hint="default" w:ascii="Times New Roman" w:hAnsi="Times New Roman" w:eastAsia="Times New Roman"/>
          <w:color w:val="auto"/>
          <w:kern w:val="2"/>
          <w:sz w:val="32"/>
          <w:szCs w:val="24"/>
        </w:rPr>
      </w:pPr>
    </w:p>
    <w:p>
      <w:pPr>
        <w:spacing w:beforeLines="0" w:after="120" w:afterLines="0"/>
        <w:ind w:left="420" w:firstLine="640"/>
        <w:jc w:val="both"/>
        <w:rPr>
          <w:rFonts w:hint="default" w:ascii="Times New Roman" w:hAnsi="Times New Roman" w:eastAsia="Times New Roman"/>
          <w:color w:val="auto"/>
          <w:kern w:val="2"/>
          <w:sz w:val="32"/>
          <w:szCs w:val="24"/>
        </w:rPr>
      </w:pPr>
    </w:p>
    <w:p>
      <w:pPr>
        <w:spacing w:beforeLines="0" w:after="120" w:afterLines="0"/>
        <w:ind w:left="420" w:firstLine="640"/>
        <w:jc w:val="both"/>
        <w:rPr>
          <w:rFonts w:hint="default" w:ascii="Times New Roman" w:hAnsi="Times New Roman" w:eastAsia="Times New Roman"/>
          <w:color w:val="auto"/>
          <w:kern w:val="2"/>
          <w:sz w:val="32"/>
          <w:szCs w:val="24"/>
        </w:rPr>
      </w:pPr>
    </w:p>
    <w:p>
      <w:pPr>
        <w:spacing w:beforeLines="0" w:after="120" w:afterLines="0"/>
        <w:ind w:left="420" w:firstLine="640"/>
        <w:jc w:val="both"/>
        <w:rPr>
          <w:rFonts w:hint="default" w:ascii="Times New Roman" w:hAnsi="Times New Roman" w:eastAsia="Times New Roman"/>
          <w:color w:val="auto"/>
          <w:kern w:val="2"/>
          <w:sz w:val="32"/>
          <w:szCs w:val="24"/>
        </w:rPr>
      </w:pPr>
    </w:p>
    <w:p>
      <w:pPr>
        <w:keepNext/>
        <w:keepLines/>
        <w:tabs>
          <w:tab w:val="left" w:pos="6669"/>
        </w:tabs>
        <w:spacing w:beforeLines="0" w:afterLines="0"/>
        <w:ind w:left="198"/>
        <w:jc w:val="center"/>
        <w:rPr>
          <w:rFonts w:hint="default" w:ascii="Times New Roman" w:hAnsi="Times New Roman" w:eastAsia="Times New Roman"/>
          <w:b/>
          <w:color w:val="auto"/>
          <w:kern w:val="2"/>
          <w:sz w:val="52"/>
          <w:szCs w:val="24"/>
        </w:rPr>
      </w:pPr>
      <w:r>
        <w:rPr>
          <w:rFonts w:hint="eastAsia" w:ascii="方正小标宋简体" w:hAnsi="方正小标宋简体" w:eastAsia="方正小标宋简体"/>
          <w:color w:val="auto"/>
          <w:kern w:val="2"/>
          <w:sz w:val="44"/>
          <w:szCs w:val="24"/>
        </w:rPr>
        <w:t>2022年度莫力达瓦达斡尔族自治旗哈达阳镇人民政府决算公开</w:t>
      </w:r>
    </w:p>
    <w:p>
      <w:pPr>
        <w:spacing w:beforeLines="0" w:afterLines="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Lines="0" w:after="120" w:afterLines="0"/>
        <w:ind w:left="420" w:firstLine="420"/>
        <w:jc w:val="both"/>
        <w:rPr>
          <w:rFonts w:hint="default" w:ascii="Times New Roman" w:hAnsi="Times New Roman" w:eastAsia="Times New Roman"/>
          <w:color w:val="auto"/>
          <w:kern w:val="2"/>
          <w:sz w:val="21"/>
          <w:szCs w:val="24"/>
        </w:rPr>
      </w:pPr>
    </w:p>
    <w:p>
      <w:pPr>
        <w:spacing w:before="3" w:beforeLines="0" w:after="120" w:afterLines="0"/>
        <w:ind w:firstLine="200"/>
        <w:jc w:val="both"/>
        <w:rPr>
          <w:rFonts w:hint="eastAsia" w:ascii="黑体" w:hAnsi="黑体" w:eastAsia="黑体"/>
          <w:color w:val="auto"/>
          <w:kern w:val="2"/>
          <w:sz w:val="32"/>
          <w:szCs w:val="24"/>
        </w:rPr>
      </w:pPr>
    </w:p>
    <w:p>
      <w:pPr>
        <w:spacing w:before="3" w:beforeLines="0" w:after="120" w:afterLines="0"/>
        <w:ind w:firstLine="200"/>
        <w:jc w:val="both"/>
        <w:rPr>
          <w:rFonts w:hint="eastAsia" w:ascii="仿宋_GB2312" w:hAnsi="仿宋_GB2312" w:eastAsia="仿宋_GB2312"/>
          <w:color w:val="0000FF"/>
          <w:kern w:val="2"/>
          <w:sz w:val="32"/>
          <w:szCs w:val="24"/>
        </w:rPr>
      </w:pPr>
    </w:p>
    <w:p>
      <w:pPr>
        <w:spacing w:before="3" w:beforeLines="0" w:after="120" w:afterLines="0"/>
        <w:ind w:firstLine="200"/>
        <w:jc w:val="both"/>
        <w:rPr>
          <w:rFonts w:hint="eastAsia" w:ascii="仿宋_GB2312" w:hAnsi="仿宋_GB2312" w:eastAsia="仿宋_GB2312"/>
          <w:color w:val="0000FF"/>
          <w:kern w:val="2"/>
          <w:sz w:val="32"/>
          <w:szCs w:val="24"/>
        </w:rPr>
      </w:pPr>
    </w:p>
    <w:p>
      <w:pPr>
        <w:spacing w:before="3" w:beforeLines="0" w:after="120" w:afterLines="0"/>
        <w:ind w:firstLine="200"/>
        <w:jc w:val="both"/>
        <w:rPr>
          <w:rFonts w:hint="eastAsia" w:ascii="仿宋_GB2312" w:hAnsi="仿宋_GB2312" w:eastAsia="仿宋_GB2312"/>
          <w:color w:val="0000FF"/>
          <w:kern w:val="2"/>
          <w:sz w:val="32"/>
          <w:szCs w:val="24"/>
        </w:rPr>
      </w:pPr>
    </w:p>
    <w:p>
      <w:pPr>
        <w:spacing w:before="3" w:beforeLines="0" w:after="120" w:afterLines="0"/>
        <w:ind w:firstLine="200"/>
        <w:jc w:val="both"/>
        <w:rPr>
          <w:rFonts w:hint="eastAsia" w:ascii="仿宋_GB2312" w:hAnsi="仿宋_GB2312" w:eastAsia="仿宋_GB2312"/>
          <w:color w:val="0000FF"/>
          <w:kern w:val="2"/>
          <w:sz w:val="32"/>
          <w:szCs w:val="24"/>
        </w:rPr>
      </w:pPr>
    </w:p>
    <w:p>
      <w:pPr>
        <w:spacing w:before="3" w:beforeLines="0" w:after="120" w:afterLines="0"/>
        <w:ind w:firstLine="200"/>
        <w:jc w:val="both"/>
        <w:rPr>
          <w:rFonts w:hint="default" w:ascii="Times New Roman" w:hAnsi="Times New Roman" w:eastAsia="Times New Roman"/>
          <w:color w:val="auto"/>
          <w:kern w:val="2"/>
          <w:sz w:val="10"/>
          <w:szCs w:val="24"/>
        </w:rPr>
      </w:pPr>
    </w:p>
    <w:p>
      <w:pPr>
        <w:spacing w:beforeLines="0" w:afterLines="0"/>
        <w:jc w:val="center"/>
        <w:rPr>
          <w:rFonts w:hint="default" w:ascii="Times New Roman" w:hAnsi="Times New Roman" w:eastAsia="Times New Roman"/>
          <w:b/>
          <w:color w:val="auto"/>
          <w:kern w:val="2"/>
          <w:sz w:val="48"/>
          <w:szCs w:val="24"/>
        </w:rPr>
      </w:pPr>
      <w:r>
        <w:rPr>
          <w:rFonts w:hint="default" w:ascii="Times New Roman" w:hAnsi="Courier New" w:eastAsia="Times New Roman"/>
          <w:b/>
          <w:color w:val="auto"/>
          <w:kern w:val="2"/>
          <w:sz w:val="48"/>
          <w:szCs w:val="24"/>
        </w:rPr>
        <w:t>目</w:t>
      </w:r>
      <w:r>
        <w:rPr>
          <w:rFonts w:hint="default" w:ascii="Times New Roman" w:hAnsi="Times New Roman" w:eastAsia="Times New Roman"/>
          <w:b/>
          <w:color w:val="auto"/>
          <w:kern w:val="2"/>
          <w:sz w:val="48"/>
          <w:szCs w:val="24"/>
        </w:rPr>
        <w:tab/>
      </w:r>
      <w:r>
        <w:rPr>
          <w:rFonts w:hint="default" w:ascii="Times New Roman" w:hAnsi="Courier New" w:eastAsia="Times New Roman"/>
          <w:b/>
          <w:color w:val="auto"/>
          <w:kern w:val="2"/>
          <w:sz w:val="48"/>
          <w:szCs w:val="24"/>
        </w:rPr>
        <w:t>录</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第一部分 概况</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一、主要职能、职责</w:t>
      </w:r>
    </w:p>
    <w:p>
      <w:pPr>
        <w:tabs>
          <w:tab w:val="left" w:pos="994"/>
        </w:tabs>
        <w:spacing w:before="6" w:beforeLines="0" w:after="120" w:afterLines="0" w:line="228" w:lineRule="auto"/>
        <w:ind w:right="167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二、机构设置及决算单位构成情况</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第二部分 2022年度决算情况说明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一、收入支出决算总体情况说明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二、收入决算情况说明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三、支出决算情况说明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四、财政拨款收入支出决算总体情况说明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五、一般公共预算支出决算情况说明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六、一般公共预算基本支出决算情况说明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七、一般公共预算项目支出决算情况说明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八、财政拨款“三公”经费支出决算情况说明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九、政府性基金预算财政拨款支出决算情况说明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十、国有资本经营预算财政拨款支出决算情况说明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十一、项目支出决算情况说明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十二、机构运行经费支出决算情况说明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十三、政府采购支出决算情况说明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十四、国有资产占用情况说明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十五、预算绩效情况说明</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第三部分 名词解释</w:t>
      </w:r>
    </w:p>
    <w:p>
      <w:pPr>
        <w:spacing w:beforeLines="0" w:afterLines="0" w:line="600" w:lineRule="exact"/>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第四部分 决算公开联系方式及信息反馈渠道</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第五部分 2022年度决算表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一、收入支出决算总表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二、收入决算表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三、支出决算表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四、财政拨款收入支出决算总表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五、项目收入支出决算表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六、一般公共预算财政拨款支出决算表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七、一般公共预算财政拨款基本支出决算明细表</w:t>
      </w:r>
    </w:p>
    <w:p>
      <w:pPr>
        <w:spacing w:beforeLines="0" w:afterLines="0" w:line="360" w:lineRule="auto"/>
        <w:jc w:val="both"/>
        <w:rPr>
          <w:rFonts w:hint="default" w:ascii="Times New Roman" w:hAnsi="Times New Roman" w:eastAsia="Times New Roman"/>
          <w:color w:val="FF0000"/>
          <w:kern w:val="2"/>
          <w:sz w:val="32"/>
          <w:szCs w:val="24"/>
        </w:rPr>
      </w:pPr>
      <w:r>
        <w:rPr>
          <w:rFonts w:hint="eastAsia" w:ascii="仿宋_GB2312" w:hAnsi="仿宋_GB2312" w:eastAsia="仿宋_GB2312"/>
          <w:color w:val="000000"/>
          <w:kern w:val="2"/>
          <w:sz w:val="32"/>
          <w:szCs w:val="24"/>
        </w:rPr>
        <w:t>八、一般公共预算财政拨款项目支出决算明细表</w:t>
      </w:r>
    </w:p>
    <w:p>
      <w:pPr>
        <w:spacing w:beforeLines="0" w:afterLines="0" w:line="360" w:lineRule="auto"/>
        <w:jc w:val="both"/>
        <w:rPr>
          <w:rFonts w:hint="default" w:ascii="Times New Roman" w:hAnsi="Times New Roman" w:eastAsia="Times New Roman"/>
          <w:color w:val="000000"/>
          <w:kern w:val="2"/>
          <w:sz w:val="32"/>
          <w:szCs w:val="24"/>
        </w:rPr>
      </w:pPr>
      <w:r>
        <w:rPr>
          <w:rFonts w:hint="eastAsia" w:ascii="仿宋_GB2312" w:hAnsi="仿宋_GB2312" w:eastAsia="仿宋_GB2312"/>
          <w:color w:val="000000"/>
          <w:kern w:val="2"/>
          <w:sz w:val="32"/>
          <w:szCs w:val="24"/>
        </w:rPr>
        <w:t>九、政府性基金预算财政拨款收入支出决算表</w:t>
      </w:r>
    </w:p>
    <w:p>
      <w:pPr>
        <w:spacing w:beforeLines="0" w:afterLines="0" w:line="360" w:lineRule="auto"/>
        <w:jc w:val="both"/>
        <w:rPr>
          <w:rFonts w:hint="default" w:ascii="Times New Roman" w:hAnsi="Times New Roman" w:eastAsia="Times New Roman"/>
          <w:color w:val="000000"/>
          <w:kern w:val="2"/>
          <w:sz w:val="32"/>
          <w:szCs w:val="24"/>
        </w:rPr>
      </w:pPr>
      <w:r>
        <w:rPr>
          <w:rFonts w:hint="eastAsia" w:ascii="仿宋_GB2312" w:hAnsi="仿宋_GB2312" w:eastAsia="仿宋_GB2312"/>
          <w:color w:val="000000"/>
          <w:kern w:val="2"/>
          <w:sz w:val="32"/>
          <w:szCs w:val="24"/>
        </w:rPr>
        <w:t>十、国有资本经营预算财政拨款支出决算表</w:t>
      </w:r>
    </w:p>
    <w:p>
      <w:pPr>
        <w:spacing w:beforeLines="0" w:afterLines="0" w:line="360" w:lineRule="auto"/>
        <w:jc w:val="both"/>
        <w:rPr>
          <w:rFonts w:hint="default" w:ascii="Times New Roman" w:hAnsi="Times New Roman" w:eastAsia="Times New Roman"/>
          <w:color w:val="000000"/>
          <w:kern w:val="2"/>
          <w:sz w:val="32"/>
          <w:szCs w:val="24"/>
        </w:rPr>
      </w:pPr>
      <w:r>
        <w:rPr>
          <w:rFonts w:hint="eastAsia" w:ascii="仿宋_GB2312" w:hAnsi="仿宋_GB2312" w:eastAsia="仿宋_GB2312"/>
          <w:color w:val="000000"/>
          <w:kern w:val="2"/>
          <w:sz w:val="32"/>
          <w:szCs w:val="24"/>
        </w:rPr>
        <w:t>十一、财政拨款“三公”经费支出决算表</w:t>
      </w:r>
    </w:p>
    <w:p>
      <w:pPr>
        <w:spacing w:beforeLines="0" w:afterLines="0"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000000"/>
          <w:kern w:val="2"/>
          <w:sz w:val="32"/>
          <w:szCs w:val="24"/>
        </w:rPr>
        <w:t>十二、机构运行经费支出、国有资产占用情况及政府采购支出信息表</w:t>
      </w:r>
    </w:p>
    <w:p>
      <w:pPr>
        <w:pStyle w:val="3"/>
        <w:keepNext/>
        <w:keepLines/>
        <w:tabs>
          <w:tab w:val="left" w:pos="4392"/>
        </w:tabs>
        <w:spacing w:beforeLines="0" w:afterLines="0" w:line="600" w:lineRule="exact"/>
        <w:jc w:val="center"/>
        <w:rPr>
          <w:rFonts w:hint="default" w:ascii="Times New Roman" w:hAnsi="Times New Roman" w:eastAsia="Times New Roman"/>
          <w:color w:val="auto"/>
          <w:kern w:val="2"/>
          <w:sz w:val="36"/>
          <w:szCs w:val="24"/>
        </w:rPr>
      </w:pPr>
      <w:r>
        <w:rPr>
          <w:rFonts w:hint="eastAsia" w:ascii="方正小标宋简体" w:hAnsi="方正小标宋简体" w:eastAsia="方正小标宋简体"/>
          <w:color w:val="auto"/>
          <w:kern w:val="2"/>
          <w:sz w:val="36"/>
          <w:szCs w:val="24"/>
        </w:rPr>
        <w:t>第一部分  概况</w:t>
      </w:r>
    </w:p>
    <w:p>
      <w:pPr>
        <w:spacing w:beforeLines="0" w:afterLines="0" w:line="600" w:lineRule="exact"/>
        <w:ind w:left="424" w:firstLine="212"/>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一、主要职能、职责</w:t>
      </w:r>
    </w:p>
    <w:p>
      <w:pPr>
        <w:pStyle w:val="6"/>
        <w:spacing w:before="0" w:beforeLines="0" w:beforeAutospacing="0" w:after="0" w:afterLines="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(一)执行上级国家行政机关的决定、命令和国家制定的法令、法规，接受同级党委的领导，执行本级人民代表大会的各项决议，并报告执行决议、决定和命令的情况。</w:t>
      </w:r>
    </w:p>
    <w:p>
      <w:pPr>
        <w:pStyle w:val="6"/>
        <w:spacing w:before="0" w:beforeLines="0" w:beforeAutospacing="0" w:after="0" w:afterLines="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二）制定并落实本行政区域的经济计划和措施，促进产业结构调整及其他经济保持平衡协调发展，全面提高人民群众的生活水平和生活质量。开展社会主义民主和法制的宣传教育，保障公民的权利;制定社会治安综合治理工作规划并组织实施;加强社区管理工作，依法管理外来流动人口，处理人民来信来访，调解民间纠纷，打击违法犯罪，维护社会稳定。</w:t>
      </w:r>
    </w:p>
    <w:p>
      <w:pPr>
        <w:pStyle w:val="6"/>
        <w:spacing w:before="0" w:beforeLines="0" w:beforeAutospacing="0" w:after="0" w:afterLines="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三）制定社会各项事业发展计划，发展教育、卫生、科技、民政、广播电视、文化、体育事业;组织实施义务教育和其他各类教育;加强计划生育工作;推进社会保障、社会福利事业和养老保险工作;做好劳动管理、科普、老龄及宗教、侨务等工作。</w:t>
      </w:r>
    </w:p>
    <w:p>
      <w:pPr>
        <w:pStyle w:val="6"/>
        <w:spacing w:before="0" w:beforeLines="0" w:beforeAutospacing="0" w:after="0" w:afterLines="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（四）加强镇级财政的监督和管理，按计划组织、管理镇财政收入和支出，执行国家有关财经纪律和政策，做好统计工作。承办旗人民政府交办的其它事项。</w:t>
      </w:r>
    </w:p>
    <w:p>
      <w:pPr>
        <w:pStyle w:val="6"/>
        <w:spacing w:before="0" w:beforeLines="0" w:beforeAutospacing="0" w:after="0" w:afterLines="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（五）承办旗人民政府交办的其他事项。</w:t>
      </w:r>
    </w:p>
    <w:p>
      <w:pPr>
        <w:spacing w:beforeLines="0" w:afterLines="0" w:line="600" w:lineRule="exact"/>
        <w:ind w:left="424" w:firstLine="212"/>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二、机构设置及决算单位构成情况</w:t>
      </w:r>
    </w:p>
    <w:p>
      <w:pPr>
        <w:tabs>
          <w:tab w:val="left" w:pos="1151"/>
        </w:tabs>
        <w:spacing w:beforeLines="0" w:afterLines="0" w:line="360" w:lineRule="auto"/>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根据职责分工，本内设机构</w:t>
      </w:r>
      <w:r>
        <w:rPr>
          <w:rFonts w:hint="eastAsia" w:ascii="仿宋" w:hAnsi="仿宋" w:eastAsia="仿宋"/>
          <w:color w:val="333333"/>
          <w:sz w:val="32"/>
          <w:szCs w:val="24"/>
        </w:rPr>
        <w:t>单位</w:t>
      </w:r>
      <w:r>
        <w:rPr>
          <w:rFonts w:hint="eastAsia" w:ascii="仿宋" w:hAnsi="仿宋" w:eastAsia="仿宋"/>
          <w:color w:val="333333"/>
          <w:sz w:val="32"/>
          <w:szCs w:val="24"/>
          <w:lang w:val="en-US" w:eastAsia="zh-CN"/>
        </w:rPr>
        <w:t>4</w:t>
      </w:r>
      <w:r>
        <w:rPr>
          <w:rFonts w:hint="eastAsia" w:ascii="仿宋" w:hAnsi="仿宋" w:eastAsia="仿宋"/>
          <w:color w:val="333333"/>
          <w:sz w:val="32"/>
          <w:szCs w:val="24"/>
        </w:rPr>
        <w:t>个</w:t>
      </w:r>
      <w:r>
        <w:rPr>
          <w:rFonts w:hint="eastAsia" w:ascii="仿宋" w:hAnsi="仿宋" w:eastAsia="仿宋"/>
          <w:color w:val="333333"/>
          <w:sz w:val="32"/>
          <w:szCs w:val="24"/>
          <w:lang w:val="en-US" w:eastAsia="zh-CN"/>
        </w:rPr>
        <w:t>,其中</w:t>
      </w:r>
      <w:r>
        <w:rPr>
          <w:rFonts w:hint="eastAsia" w:ascii="仿宋_GB2312" w:hAnsi="仿宋_GB2312" w:eastAsia="仿宋_GB2312"/>
          <w:color w:val="auto"/>
          <w:kern w:val="2"/>
          <w:sz w:val="32"/>
          <w:szCs w:val="24"/>
        </w:rPr>
        <w:t>包括</w:t>
      </w:r>
      <w:r>
        <w:rPr>
          <w:rFonts w:hint="eastAsia" w:ascii="仿宋" w:hAnsi="仿宋" w:eastAsia="仿宋"/>
          <w:color w:val="333333"/>
          <w:sz w:val="32"/>
          <w:szCs w:val="24"/>
          <w:lang w:val="en-US" w:eastAsia="zh-CN"/>
        </w:rPr>
        <w:t>:</w:t>
      </w:r>
      <w:r>
        <w:rPr>
          <w:rFonts w:hint="eastAsia" w:ascii="仿宋" w:hAnsi="仿宋" w:eastAsia="仿宋"/>
          <w:color w:val="333333"/>
          <w:sz w:val="32"/>
          <w:szCs w:val="24"/>
          <w:lang w:eastAsia="zh-CN"/>
        </w:rPr>
        <w:t>哈达阳镇</w:t>
      </w:r>
      <w:r>
        <w:rPr>
          <w:rFonts w:hint="eastAsia" w:ascii="仿宋" w:hAnsi="仿宋" w:eastAsia="仿宋"/>
          <w:color w:val="333333"/>
          <w:sz w:val="32"/>
          <w:szCs w:val="24"/>
        </w:rPr>
        <w:t>人民政府</w:t>
      </w:r>
      <w:r>
        <w:rPr>
          <w:rFonts w:hint="eastAsia" w:ascii="仿宋" w:hAnsi="仿宋" w:eastAsia="仿宋"/>
          <w:color w:val="333333"/>
          <w:sz w:val="32"/>
          <w:szCs w:val="24"/>
          <w:lang w:eastAsia="zh-CN"/>
        </w:rPr>
        <w:t>、哈达阳镇党群服务中心、哈达阳镇综合保障和技术推广中心、</w:t>
      </w:r>
      <w:r>
        <w:rPr>
          <w:rFonts w:hint="eastAsia" w:ascii="仿宋" w:hAnsi="仿宋" w:eastAsia="仿宋"/>
          <w:color w:val="333333"/>
          <w:sz w:val="32"/>
          <w:szCs w:val="24"/>
          <w:lang w:val="en-US" w:eastAsia="zh-CN"/>
        </w:rPr>
        <w:t>哈达阳镇综合执法局等</w:t>
      </w:r>
      <w:r>
        <w:rPr>
          <w:rFonts w:hint="eastAsia" w:ascii="仿宋" w:hAnsi="仿宋" w:eastAsia="仿宋"/>
          <w:color w:val="333333"/>
          <w:sz w:val="32"/>
          <w:szCs w:val="24"/>
        </w:rPr>
        <w:t>单位。</w:t>
      </w:r>
    </w:p>
    <w:p>
      <w:pPr>
        <w:spacing w:beforeLines="0" w:afterLines="0" w:line="360" w:lineRule="auto"/>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从决算单位构成看，纳入本部门2022年部门汇总决算编制范围的预算单位共计</w:t>
      </w:r>
      <w:r>
        <w:rPr>
          <w:rFonts w:hint="eastAsia" w:ascii="仿宋_GB2312" w:hAnsi="仿宋_GB2312" w:eastAsia="仿宋_GB2312"/>
          <w:color w:val="auto"/>
          <w:kern w:val="2"/>
          <w:sz w:val="32"/>
          <w:szCs w:val="24"/>
          <w:lang w:val="en-US" w:eastAsia="zh-CN"/>
        </w:rPr>
        <w:t>4</w:t>
      </w:r>
      <w:r>
        <w:rPr>
          <w:rFonts w:hint="eastAsia" w:ascii="仿宋_GB2312" w:hAnsi="仿宋_GB2312" w:eastAsia="仿宋_GB2312"/>
          <w:color w:val="auto"/>
          <w:kern w:val="2"/>
          <w:sz w:val="32"/>
          <w:szCs w:val="24"/>
        </w:rPr>
        <w:t>家，具体包括：</w:t>
      </w:r>
      <w:r>
        <w:rPr>
          <w:rFonts w:hint="eastAsia" w:ascii="仿宋" w:hAnsi="仿宋" w:eastAsia="仿宋"/>
          <w:color w:val="333333"/>
          <w:sz w:val="32"/>
          <w:szCs w:val="24"/>
          <w:lang w:eastAsia="zh-CN"/>
        </w:rPr>
        <w:t>哈达阳镇</w:t>
      </w:r>
      <w:r>
        <w:rPr>
          <w:rFonts w:hint="eastAsia" w:ascii="仿宋" w:hAnsi="仿宋" w:eastAsia="仿宋"/>
          <w:color w:val="333333"/>
          <w:sz w:val="32"/>
          <w:szCs w:val="24"/>
        </w:rPr>
        <w:t>人民政府</w:t>
      </w:r>
      <w:r>
        <w:rPr>
          <w:rFonts w:hint="eastAsia" w:ascii="仿宋" w:hAnsi="仿宋" w:eastAsia="仿宋"/>
          <w:color w:val="333333"/>
          <w:sz w:val="32"/>
          <w:szCs w:val="24"/>
          <w:lang w:eastAsia="zh-CN"/>
        </w:rPr>
        <w:t>、哈达阳镇党群服务中心、哈达阳镇综合保障和技术推广中心、</w:t>
      </w:r>
      <w:r>
        <w:rPr>
          <w:rFonts w:hint="eastAsia" w:ascii="仿宋" w:hAnsi="仿宋" w:eastAsia="仿宋"/>
          <w:color w:val="333333"/>
          <w:sz w:val="32"/>
          <w:szCs w:val="24"/>
          <w:lang w:val="en-US" w:eastAsia="zh-CN"/>
        </w:rPr>
        <w:t>哈达阳镇综合执法局</w:t>
      </w:r>
      <w:r>
        <w:rPr>
          <w:rFonts w:hint="eastAsia" w:ascii="仿宋_GB2312" w:hAnsi="仿宋_GB2312" w:eastAsia="仿宋_GB2312"/>
          <w:color w:val="auto"/>
          <w:kern w:val="2"/>
          <w:sz w:val="32"/>
          <w:szCs w:val="24"/>
        </w:rPr>
        <w:t>。</w:t>
      </w:r>
    </w:p>
    <w:p>
      <w:pPr>
        <w:spacing w:beforeLines="0" w:afterLines="0" w:line="360" w:lineRule="auto"/>
        <w:ind w:firstLine="64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详细情况见表：</w:t>
      </w:r>
    </w:p>
    <w:tbl>
      <w:tblPr>
        <w:tblStyle w:val="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2"/>
        <w:gridCol w:w="5025"/>
        <w:gridCol w:w="30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62"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序号</w:t>
            </w:r>
          </w:p>
        </w:tc>
        <w:tc>
          <w:tcPr>
            <w:tcW w:w="5025"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单位名称</w:t>
            </w:r>
          </w:p>
        </w:tc>
        <w:tc>
          <w:tcPr>
            <w:tcW w:w="3064"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单位性质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62"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default" w:ascii="Times New Roman" w:hAnsi="Times New Roman" w:eastAsia="Times New Roman"/>
                <w:color w:val="000000"/>
                <w:sz w:val="31"/>
                <w:szCs w:val="24"/>
              </w:rPr>
              <w:t>1</w:t>
            </w:r>
          </w:p>
        </w:tc>
        <w:tc>
          <w:tcPr>
            <w:tcW w:w="5025"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 w:hAnsi="仿宋" w:eastAsia="仿宋"/>
                <w:color w:val="333333"/>
                <w:sz w:val="32"/>
                <w:szCs w:val="24"/>
                <w:lang w:eastAsia="zh-CN"/>
              </w:rPr>
              <w:t>哈达阳镇</w:t>
            </w:r>
            <w:r>
              <w:rPr>
                <w:rFonts w:hint="eastAsia" w:ascii="仿宋" w:hAnsi="仿宋" w:eastAsia="仿宋"/>
                <w:color w:val="333333"/>
                <w:sz w:val="32"/>
                <w:szCs w:val="24"/>
              </w:rPr>
              <w:t>人民政府</w:t>
            </w:r>
          </w:p>
        </w:tc>
        <w:tc>
          <w:tcPr>
            <w:tcW w:w="3064"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财政拨款的行政单位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62"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default" w:ascii="Times New Roman" w:hAnsi="Times New Roman" w:eastAsia="Times New Roman"/>
                <w:color w:val="000000"/>
                <w:sz w:val="31"/>
                <w:szCs w:val="24"/>
              </w:rPr>
              <w:t>2</w:t>
            </w:r>
          </w:p>
        </w:tc>
        <w:tc>
          <w:tcPr>
            <w:tcW w:w="5025"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 w:hAnsi="仿宋" w:eastAsia="仿宋"/>
                <w:color w:val="333333"/>
                <w:sz w:val="32"/>
                <w:szCs w:val="24"/>
                <w:lang w:eastAsia="zh-CN"/>
              </w:rPr>
              <w:t>哈达阳镇党群服务中心</w:t>
            </w:r>
          </w:p>
        </w:tc>
        <w:tc>
          <w:tcPr>
            <w:tcW w:w="3064"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公益一类事业单位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62"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default" w:ascii="Times New Roman" w:hAnsi="Times New Roman" w:eastAsia="Times New Roman"/>
                <w:color w:val="000000"/>
                <w:sz w:val="31"/>
                <w:szCs w:val="24"/>
              </w:rPr>
              <w:t>3</w:t>
            </w:r>
          </w:p>
        </w:tc>
        <w:tc>
          <w:tcPr>
            <w:tcW w:w="5025"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 w:hAnsi="仿宋" w:eastAsia="仿宋"/>
                <w:color w:val="333333"/>
                <w:sz w:val="32"/>
                <w:szCs w:val="24"/>
                <w:lang w:eastAsia="zh-CN"/>
              </w:rPr>
              <w:t>哈达阳镇综合保障和技术推广中心</w:t>
            </w:r>
          </w:p>
        </w:tc>
        <w:tc>
          <w:tcPr>
            <w:tcW w:w="3064"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公益一类事业单位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62"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default" w:ascii="Times New Roman" w:hAnsi="Times New Roman" w:eastAsia="Times New Roman"/>
                <w:color w:val="000000"/>
                <w:sz w:val="31"/>
                <w:szCs w:val="24"/>
              </w:rPr>
              <w:t>4</w:t>
            </w:r>
          </w:p>
        </w:tc>
        <w:tc>
          <w:tcPr>
            <w:tcW w:w="5025"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 w:hAnsi="仿宋" w:eastAsia="仿宋"/>
                <w:color w:val="333333"/>
                <w:sz w:val="32"/>
                <w:szCs w:val="24"/>
                <w:lang w:val="en-US" w:eastAsia="zh-CN"/>
              </w:rPr>
              <w:t>哈达阳镇综合执法局</w:t>
            </w:r>
          </w:p>
        </w:tc>
        <w:tc>
          <w:tcPr>
            <w:tcW w:w="3064" w:type="dxa"/>
            <w:tcBorders>
              <w:top w:val="single" w:color="auto" w:sz="6" w:space="0"/>
              <w:left w:val="single" w:color="auto" w:sz="6" w:space="0"/>
              <w:bottom w:val="single" w:color="auto" w:sz="6" w:space="0"/>
              <w:right w:val="single" w:color="auto" w:sz="6" w:space="0"/>
              <w:tl2br w:val="nil"/>
              <w:tr2bl w:val="nil"/>
            </w:tcBorders>
            <w:noWrap w:val="0"/>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公益一类事业单位</w:t>
            </w:r>
          </w:p>
        </w:tc>
      </w:tr>
    </w:tbl>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三、</w:t>
      </w:r>
      <w:r>
        <w:rPr>
          <w:rFonts w:hint="eastAsia" w:ascii="仿宋_GB2312" w:hAnsi="仿宋_GB2312" w:eastAsia="仿宋_GB2312"/>
          <w:b/>
          <w:color w:val="auto"/>
          <w:kern w:val="2"/>
          <w:sz w:val="32"/>
          <w:szCs w:val="24"/>
        </w:rPr>
        <w:t>2022</w:t>
      </w:r>
      <w:r>
        <w:rPr>
          <w:rFonts w:hint="eastAsia" w:ascii="黑体" w:hAnsi="黑体" w:eastAsia="黑体"/>
          <w:b/>
          <w:color w:val="auto"/>
          <w:kern w:val="2"/>
          <w:sz w:val="32"/>
          <w:szCs w:val="24"/>
        </w:rPr>
        <w:t>年度主要工作完成情况</w:t>
      </w:r>
    </w:p>
    <w:p>
      <w:pPr>
        <w:snapToGrid w:val="0"/>
        <w:spacing w:beforeLines="0" w:afterLines="0" w:line="360" w:lineRule="auto"/>
        <w:ind w:firstLine="640" w:firstLineChars="200"/>
        <w:rPr>
          <w:rFonts w:hint="default" w:ascii="仿宋_GB2312" w:hAnsi="仿宋" w:eastAsia="仿宋_GB2312" w:cs="Times New Roman"/>
          <w:color w:val="auto"/>
          <w:kern w:val="2"/>
          <w:sz w:val="32"/>
          <w:szCs w:val="32"/>
          <w:lang w:val="en-US" w:eastAsia="zh-CN" w:bidi="ar-SA"/>
        </w:rPr>
      </w:pPr>
      <w:r>
        <w:rPr>
          <w:rFonts w:hint="default" w:ascii="仿宋_GB2312" w:hAnsi="仿宋" w:eastAsia="仿宋_GB2312" w:cs="Times New Roman"/>
          <w:color w:val="auto"/>
          <w:kern w:val="2"/>
          <w:sz w:val="32"/>
          <w:szCs w:val="32"/>
          <w:lang w:val="en-US" w:eastAsia="zh-CN" w:bidi="ar-SA"/>
        </w:rPr>
        <w:t xml:space="preserve">本单位在旗委、旗政府的正确领导下，在2022年度全面、超额完成了年初计划。 </w:t>
      </w:r>
    </w:p>
    <w:p>
      <w:pPr>
        <w:pStyle w:val="3"/>
        <w:keepNext/>
        <w:keepLines/>
        <w:tabs>
          <w:tab w:val="left" w:pos="4392"/>
        </w:tabs>
        <w:spacing w:beforeLines="0" w:afterLines="0" w:line="360" w:lineRule="auto"/>
        <w:jc w:val="center"/>
        <w:rPr>
          <w:rFonts w:hint="eastAsia" w:ascii="方正小标宋简体" w:hAnsi="方正小标宋简体" w:eastAsia="方正小标宋简体"/>
          <w:color w:val="auto"/>
          <w:kern w:val="2"/>
          <w:sz w:val="36"/>
          <w:szCs w:val="24"/>
        </w:rPr>
      </w:pPr>
    </w:p>
    <w:p>
      <w:pPr>
        <w:pStyle w:val="3"/>
        <w:keepNext/>
        <w:keepLines/>
        <w:tabs>
          <w:tab w:val="left" w:pos="4392"/>
        </w:tabs>
        <w:spacing w:beforeLines="0" w:afterLines="0" w:line="360" w:lineRule="auto"/>
        <w:jc w:val="center"/>
        <w:rPr>
          <w:rFonts w:hint="default" w:ascii="Times New Roman" w:hAnsi="Times New Roman" w:eastAsia="Times New Roman"/>
          <w:color w:val="auto"/>
          <w:kern w:val="2"/>
          <w:sz w:val="36"/>
          <w:szCs w:val="24"/>
        </w:rPr>
      </w:pPr>
      <w:r>
        <w:rPr>
          <w:rFonts w:hint="eastAsia" w:ascii="方正小标宋简体" w:hAnsi="方正小标宋简体" w:eastAsia="方正小标宋简体"/>
          <w:color w:val="auto"/>
          <w:kern w:val="2"/>
          <w:sz w:val="36"/>
          <w:szCs w:val="24"/>
        </w:rPr>
        <w:t>第二部分  2022年度决算情况说明</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一、收入支出决算总体情况说明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莫力达瓦达斡尔族自治旗哈达阳镇人民政府2022年度收入、支出决算总计</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万元。与年初预算相比，收、支总计各增加</w:t>
      </w:r>
      <w:r>
        <w:rPr>
          <w:rFonts w:hint="default" w:ascii="Times New Roman" w:hAnsi="Times New Roman" w:eastAsia="Times New Roman"/>
          <w:color w:val="auto"/>
          <w:kern w:val="2"/>
          <w:sz w:val="32"/>
          <w:szCs w:val="24"/>
          <w:u w:val="single"/>
        </w:rPr>
        <w:t>1,546.21</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179.56</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本年度预算拨款收入增加</w:t>
      </w:r>
      <w:r>
        <w:rPr>
          <w:rFonts w:hint="eastAsia" w:ascii="仿宋_GB2312" w:hAnsi="仿宋_GB2312" w:eastAsia="仿宋_GB2312"/>
          <w:color w:val="auto"/>
          <w:kern w:val="2"/>
          <w:sz w:val="32"/>
          <w:szCs w:val="24"/>
        </w:rPr>
        <w:t>；与上年决算相比，收、支总计各增加</w:t>
      </w:r>
      <w:r>
        <w:rPr>
          <w:rFonts w:hint="default" w:ascii="Times New Roman" w:hAnsi="Times New Roman" w:eastAsia="Times New Roman"/>
          <w:color w:val="auto"/>
          <w:kern w:val="2"/>
          <w:sz w:val="32"/>
          <w:szCs w:val="24"/>
          <w:u w:val="single"/>
        </w:rPr>
        <w:t>1,194.29</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98.46</w:t>
      </w:r>
      <w:r>
        <w:rPr>
          <w:rFonts w:hint="eastAsia" w:ascii="仿宋_GB2312" w:hAnsi="仿宋_GB2312" w:eastAsia="仿宋_GB2312"/>
          <w:color w:val="auto"/>
          <w:kern w:val="2"/>
          <w:sz w:val="32"/>
          <w:szCs w:val="24"/>
        </w:rPr>
        <w:t>%。其中：</w:t>
      </w:r>
    </w:p>
    <w:p>
      <w:pPr>
        <w:tabs>
          <w:tab w:val="left" w:pos="4275"/>
        </w:tab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（一）收入决算总计</w:t>
      </w:r>
      <w:r>
        <w:rPr>
          <w:rFonts w:hint="default" w:ascii="Times New Roman" w:hAnsi="Times New Roman" w:eastAsia="Times New Roman"/>
          <w:color w:val="auto"/>
          <w:kern w:val="2"/>
          <w:sz w:val="32"/>
          <w:szCs w:val="24"/>
          <w:u w:val="single"/>
        </w:rPr>
        <w:t>2,407.31</w:t>
      </w:r>
      <w:r>
        <w:rPr>
          <w:rFonts w:hint="eastAsia" w:ascii="楷体" w:hAnsi="楷体" w:eastAsia="楷体"/>
          <w:b/>
          <w:color w:val="auto"/>
          <w:kern w:val="2"/>
          <w:sz w:val="32"/>
          <w:szCs w:val="24"/>
        </w:rPr>
        <w:t>万元。包括：</w:t>
      </w:r>
    </w:p>
    <w:p>
      <w:pPr>
        <w:spacing w:before="100" w:beforeLines="0" w:beforeAutospacing="1" w:after="100" w:afterLines="0" w:afterAutospacing="1" w:line="560" w:lineRule="exact"/>
        <w:ind w:firstLine="640"/>
        <w:jc w:val="both"/>
        <w:rPr>
          <w:rFonts w:hint="default" w:ascii="Times New Roman" w:hAnsi="Times New Roman" w:eastAsia="仿宋" w:cs="Times New Roman"/>
          <w:color w:val="auto"/>
          <w:sz w:val="32"/>
          <w:szCs w:val="32"/>
          <w:lang w:val="en-US"/>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本年收入决算合计</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万元。与上年决算相比，增加</w:t>
      </w:r>
      <w:r>
        <w:rPr>
          <w:rFonts w:hint="default" w:ascii="Times New Roman" w:hAnsi="Times New Roman" w:eastAsia="Times New Roman"/>
          <w:color w:val="auto"/>
          <w:kern w:val="2"/>
          <w:sz w:val="32"/>
          <w:szCs w:val="24"/>
          <w:u w:val="single"/>
        </w:rPr>
        <w:t>1,368.58</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131.76</w:t>
      </w:r>
      <w:r>
        <w:rPr>
          <w:rFonts w:hint="eastAsia" w:ascii="仿宋_GB2312" w:hAnsi="仿宋_GB2312" w:eastAsia="仿宋_GB2312"/>
          <w:color w:val="auto"/>
          <w:kern w:val="2"/>
          <w:sz w:val="32"/>
          <w:szCs w:val="24"/>
        </w:rPr>
        <w:t>%，变动原因：</w:t>
      </w:r>
      <w:r>
        <w:rPr>
          <w:rFonts w:hint="default" w:ascii="仿宋_GB2312" w:hAnsi="仿宋" w:eastAsia="仿宋_GB2312"/>
          <w:color w:val="auto"/>
          <w:sz w:val="32"/>
          <w:szCs w:val="24"/>
          <w:lang w:eastAsia="zh-CN"/>
        </w:rPr>
        <w:t>年度防汛、防火、退耕还林还草，202</w:t>
      </w:r>
      <w:r>
        <w:rPr>
          <w:rFonts w:hint="default" w:ascii="仿宋_GB2312" w:hAnsi="仿宋" w:eastAsia="仿宋_GB2312"/>
          <w:color w:val="auto"/>
          <w:sz w:val="32"/>
          <w:szCs w:val="24"/>
          <w:lang w:val="en-US" w:eastAsia="zh-CN"/>
        </w:rPr>
        <w:t>2</w:t>
      </w:r>
      <w:r>
        <w:rPr>
          <w:rFonts w:hint="default" w:ascii="仿宋_GB2312" w:hAnsi="仿宋" w:eastAsia="仿宋_GB2312"/>
          <w:color w:val="auto"/>
          <w:sz w:val="32"/>
          <w:szCs w:val="24"/>
          <w:lang w:eastAsia="zh-CN"/>
        </w:rPr>
        <w:t>年财政拨款收入安排等原因</w:t>
      </w:r>
      <w:r>
        <w:rPr>
          <w:rFonts w:hint="eastAsia" w:ascii="仿宋" w:hAnsi="Times New Roman" w:eastAsia="仿宋" w:cs="仿宋"/>
          <w:color w:val="auto"/>
          <w:sz w:val="32"/>
          <w:szCs w:val="32"/>
          <w:lang w:eastAsia="zh-CN"/>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使用非财政拨款结余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s="Times New Roman"/>
          <w:color w:val="auto"/>
          <w:kern w:val="2"/>
          <w:sz w:val="32"/>
          <w:szCs w:val="24"/>
        </w:rPr>
        <w:t>不存在此项内容</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3.</w:t>
      </w:r>
      <w:r>
        <w:rPr>
          <w:rFonts w:hint="eastAsia" w:ascii="仿宋_GB2312" w:hAnsi="仿宋_GB2312" w:eastAsia="仿宋_GB2312"/>
          <w:color w:val="auto"/>
          <w:kern w:val="2"/>
          <w:sz w:val="32"/>
          <w:szCs w:val="24"/>
        </w:rPr>
        <w:t>年初结转和结余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万元。与上年决算相比，减少</w:t>
      </w:r>
      <w:r>
        <w:rPr>
          <w:rFonts w:hint="default" w:ascii="Times New Roman" w:hAnsi="Times New Roman" w:eastAsia="Times New Roman"/>
          <w:color w:val="auto"/>
          <w:kern w:val="2"/>
          <w:sz w:val="32"/>
          <w:szCs w:val="24"/>
          <w:u w:val="single"/>
        </w:rPr>
        <w:t>174.29</w:t>
      </w:r>
      <w:r>
        <w:rPr>
          <w:rFonts w:hint="eastAsia" w:ascii="仿宋_GB2312" w:hAnsi="仿宋_GB2312" w:eastAsia="仿宋_GB2312"/>
          <w:color w:val="auto"/>
          <w:kern w:val="2"/>
          <w:sz w:val="32"/>
          <w:szCs w:val="24"/>
        </w:rPr>
        <w:t>万元，减少</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本年度正常业务变动</w:t>
      </w:r>
      <w:r>
        <w:rPr>
          <w:rFonts w:hint="eastAsia" w:ascii="仿宋_GB2312" w:hAnsi="仿宋_GB2312" w:eastAsia="仿宋_GB2312"/>
          <w:color w:val="auto"/>
          <w:kern w:val="2"/>
          <w:sz w:val="32"/>
          <w:szCs w:val="24"/>
        </w:rPr>
        <w:t>。</w:t>
      </w:r>
    </w:p>
    <w:p>
      <w:pPr>
        <w:tabs>
          <w:tab w:val="left" w:pos="4275"/>
        </w:tab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（二）支出决算总计</w:t>
      </w:r>
      <w:r>
        <w:rPr>
          <w:rFonts w:hint="default" w:ascii="Times New Roman" w:hAnsi="Times New Roman" w:eastAsia="Times New Roman"/>
          <w:color w:val="auto"/>
          <w:kern w:val="2"/>
          <w:sz w:val="32"/>
          <w:szCs w:val="24"/>
          <w:u w:val="single"/>
        </w:rPr>
        <w:t>2,407.31</w:t>
      </w:r>
      <w:r>
        <w:rPr>
          <w:rFonts w:hint="eastAsia" w:ascii="楷体" w:hAnsi="楷体" w:eastAsia="楷体"/>
          <w:b/>
          <w:color w:val="auto"/>
          <w:kern w:val="2"/>
          <w:sz w:val="32"/>
          <w:szCs w:val="24"/>
        </w:rPr>
        <w:t>万元。包括：</w:t>
      </w:r>
    </w:p>
    <w:p>
      <w:pPr>
        <w:spacing w:before="100" w:beforeLines="0" w:beforeAutospacing="1" w:after="100" w:afterLines="0" w:afterAutospacing="1"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本年支出决算合计</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万元。与上年决算相比，增加</w:t>
      </w:r>
      <w:r>
        <w:rPr>
          <w:rFonts w:hint="default" w:ascii="Times New Roman" w:hAnsi="Times New Roman" w:eastAsia="Times New Roman"/>
          <w:color w:val="auto"/>
          <w:kern w:val="2"/>
          <w:sz w:val="32"/>
          <w:szCs w:val="24"/>
          <w:u w:val="single"/>
        </w:rPr>
        <w:t>1,194.29</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98.46</w:t>
      </w:r>
      <w:r>
        <w:rPr>
          <w:rFonts w:hint="eastAsia" w:ascii="仿宋_GB2312" w:hAnsi="仿宋_GB2312" w:eastAsia="仿宋_GB2312"/>
          <w:color w:val="auto"/>
          <w:kern w:val="2"/>
          <w:sz w:val="32"/>
          <w:szCs w:val="24"/>
        </w:rPr>
        <w:t>%，变动原因：</w:t>
      </w:r>
      <w:r>
        <w:rPr>
          <w:rFonts w:hint="eastAsia" w:ascii="仿宋_GB2312" w:hAnsi="仿宋" w:eastAsia="仿宋_GB2312"/>
          <w:color w:val="auto"/>
          <w:sz w:val="32"/>
          <w:szCs w:val="24"/>
          <w:lang w:eastAsia="zh-CN"/>
        </w:rPr>
        <w:t>年度防汛、防火、退耕还林还草，202</w:t>
      </w:r>
      <w:r>
        <w:rPr>
          <w:rFonts w:hint="eastAsia" w:ascii="仿宋_GB2312" w:hAnsi="仿宋" w:eastAsia="仿宋_GB2312"/>
          <w:color w:val="auto"/>
          <w:sz w:val="32"/>
          <w:szCs w:val="24"/>
          <w:lang w:val="en-US" w:eastAsia="zh-CN"/>
        </w:rPr>
        <w:t>2</w:t>
      </w:r>
      <w:r>
        <w:rPr>
          <w:rFonts w:hint="eastAsia" w:ascii="仿宋_GB2312" w:hAnsi="仿宋" w:eastAsia="仿宋_GB2312"/>
          <w:color w:val="auto"/>
          <w:sz w:val="32"/>
          <w:szCs w:val="24"/>
          <w:lang w:eastAsia="zh-CN"/>
        </w:rPr>
        <w:t>年财政拨款收入安排等原因</w:t>
      </w:r>
      <w:r>
        <w:rPr>
          <w:rFonts w:hint="eastAsia" w:ascii="仿宋" w:hAnsi="Times New Roman" w:eastAsia="仿宋" w:cs="仿宋"/>
          <w:color w:val="auto"/>
          <w:sz w:val="32"/>
          <w:szCs w:val="32"/>
          <w:lang w:eastAsia="zh-CN"/>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结余分配</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万元。结余分配事项：</w:t>
      </w:r>
      <w:r>
        <w:rPr>
          <w:rFonts w:hint="eastAsia" w:ascii="仿宋_GB2312" w:hAnsi="仿宋_GB2312" w:eastAsia="仿宋_GB2312"/>
          <w:color w:val="auto"/>
          <w:kern w:val="2"/>
          <w:sz w:val="32"/>
          <w:szCs w:val="24"/>
          <w:lang w:val="en-US" w:eastAsia="zh-CN"/>
        </w:rPr>
        <w:t>无</w:t>
      </w:r>
      <w:r>
        <w:rPr>
          <w:rFonts w:hint="eastAsia" w:ascii="仿宋_GB2312" w:hAnsi="仿宋_GB2312" w:eastAsia="仿宋_GB2312"/>
          <w:color w:val="auto"/>
          <w:kern w:val="2"/>
          <w:sz w:val="32"/>
          <w:szCs w:val="24"/>
        </w:rPr>
        <w:t>。与上年决算相比，增加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s="Times New Roman"/>
          <w:color w:val="auto"/>
          <w:kern w:val="2"/>
          <w:sz w:val="32"/>
          <w:szCs w:val="24"/>
        </w:rPr>
        <w:t>不存在此项内容。</w:t>
      </w:r>
    </w:p>
    <w:p>
      <w:pPr>
        <w:spacing w:beforeLines="0" w:afterLines="0" w:line="560" w:lineRule="exact"/>
        <w:ind w:firstLine="640"/>
        <w:jc w:val="both"/>
        <w:rPr>
          <w:rFonts w:hint="eastAsia" w:ascii="仿宋_GB2312" w:hAnsi="仿宋_GB2312" w:eastAsia="仿宋_GB2312" w:cs="Times New Roman"/>
          <w:color w:val="auto"/>
          <w:kern w:val="2"/>
          <w:sz w:val="32"/>
          <w:szCs w:val="24"/>
        </w:rPr>
      </w:pPr>
      <w:r>
        <w:rPr>
          <w:rFonts w:hint="default" w:ascii="Times New Roman" w:hAnsi="Times New Roman" w:eastAsia="Times New Roman"/>
          <w:color w:val="auto"/>
          <w:kern w:val="2"/>
          <w:sz w:val="32"/>
          <w:szCs w:val="24"/>
        </w:rPr>
        <w:t>3.</w:t>
      </w:r>
      <w:r>
        <w:rPr>
          <w:rFonts w:hint="eastAsia" w:ascii="仿宋_GB2312" w:hAnsi="仿宋_GB2312" w:eastAsia="仿宋_GB2312"/>
          <w:color w:val="auto"/>
          <w:kern w:val="2"/>
          <w:sz w:val="32"/>
          <w:szCs w:val="24"/>
        </w:rPr>
        <w:t>年末结转和结余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万元。结转和结余事项：</w:t>
      </w:r>
      <w:r>
        <w:rPr>
          <w:rFonts w:hint="eastAsia" w:ascii="仿宋_GB2312" w:hAnsi="仿宋_GB2312" w:eastAsia="仿宋_GB2312"/>
          <w:color w:val="auto"/>
          <w:kern w:val="2"/>
          <w:sz w:val="32"/>
          <w:szCs w:val="24"/>
          <w:lang w:val="en-US" w:eastAsia="zh-CN"/>
        </w:rPr>
        <w:t>无</w:t>
      </w:r>
      <w:r>
        <w:rPr>
          <w:rFonts w:hint="eastAsia" w:ascii="仿宋_GB2312" w:hAnsi="仿宋_GB2312" w:eastAsia="仿宋_GB2312"/>
          <w:color w:val="auto"/>
          <w:kern w:val="2"/>
          <w:sz w:val="32"/>
          <w:szCs w:val="24"/>
        </w:rPr>
        <w:t>。与上年决算相比，增加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s="Times New Roman"/>
          <w:color w:val="auto"/>
          <w:kern w:val="2"/>
          <w:sz w:val="32"/>
          <w:szCs w:val="24"/>
        </w:rPr>
        <w:t>不存在此项内容。</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二、收入决算情况说明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莫力达瓦达斡尔族自治旗哈达阳镇人民政府2022年度本年收入决算合计</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万元，其中：</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本年一般公共预算财政拨款收入</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本年政府性基金预算财政拨款收入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本年国有资本经营预算财政拨款收入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本年上级补助收入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本年事业收入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本年经营收入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本年附属单位上缴收入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eastAsia" w:ascii="Times New Roman" w:hAnsi="Times New Roman" w:eastAsia="仿宋_GB2312"/>
          <w:color w:val="auto"/>
          <w:kern w:val="2"/>
          <w:sz w:val="32"/>
          <w:szCs w:val="24"/>
          <w:lang w:val="en-US" w:eastAsia="zh-CN"/>
        </w:rPr>
      </w:pPr>
      <w:r>
        <w:rPr>
          <w:rFonts w:hint="eastAsia" w:ascii="仿宋_GB2312" w:hAnsi="仿宋_GB2312" w:eastAsia="仿宋_GB2312"/>
          <w:color w:val="auto"/>
          <w:kern w:val="2"/>
          <w:sz w:val="32"/>
          <w:szCs w:val="24"/>
        </w:rPr>
        <w:t>本年其他收入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r>
        <w:rPr>
          <w:rFonts w:hint="eastAsia" w:ascii="仿宋_GB2312" w:hAnsi="仿宋_GB2312" w:eastAsia="仿宋_GB2312"/>
          <w:color w:val="auto"/>
          <w:kern w:val="2"/>
          <w:sz w:val="32"/>
          <w:szCs w:val="24"/>
          <w:lang w:eastAsia="zh-CN"/>
        </w:rPr>
        <w:t>。</w:t>
      </w:r>
    </w:p>
    <w:p>
      <w:pPr>
        <w:spacing w:beforeLines="0" w:afterLines="0"/>
        <w:ind w:firstLine="640"/>
        <w:jc w:val="center"/>
        <w:rPr>
          <w:rFonts w:hint="default" w:ascii="宋体" w:hAnsi="Times New Roman" w:eastAsia="宋体"/>
          <w:color w:val="auto"/>
          <w:kern w:val="2"/>
          <w:sz w:val="32"/>
          <w:szCs w:val="24"/>
          <w:lang w:eastAsia="zh-CN"/>
        </w:rPr>
      </w:pPr>
      <w:r>
        <w:rPr>
          <w:rFonts w:hint="default" w:ascii="Times New Roman" w:hAnsi="Times New Roman" w:eastAsia="宋体"/>
          <w:color w:val="auto"/>
          <w:kern w:val="2"/>
          <w:sz w:val="32"/>
          <w:szCs w:val="24"/>
          <w:lang w:eastAsia="zh-CN"/>
        </w:rPr>
        <w:drawing>
          <wp:inline distT="0" distB="0" distL="114300" distR="114300">
            <wp:extent cx="2529840" cy="2755265"/>
            <wp:effectExtent l="0" t="0" r="3810" b="6985"/>
            <wp:docPr id="2" name="图片 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2"/>
                    <pic:cNvPicPr>
                      <a:picLocks noChangeAspect="1"/>
                    </pic:cNvPicPr>
                  </pic:nvPicPr>
                  <pic:blipFill>
                    <a:blip r:embed="rId5"/>
                    <a:stretch>
                      <a:fillRect/>
                    </a:stretch>
                  </pic:blipFill>
                  <pic:spPr>
                    <a:xfrm>
                      <a:off x="0" y="0"/>
                      <a:ext cx="2529840" cy="2755265"/>
                    </a:xfrm>
                    <a:prstGeom prst="rect">
                      <a:avLst/>
                    </a:prstGeom>
                    <a:noFill/>
                    <a:ln>
                      <a:noFill/>
                    </a:ln>
                  </pic:spPr>
                </pic:pic>
              </a:graphicData>
            </a:graphic>
          </wp:inline>
        </w:drawing>
      </w:r>
    </w:p>
    <w:p>
      <w:pPr>
        <w:spacing w:beforeLines="0" w:afterLines="0" w:line="560" w:lineRule="exact"/>
        <w:ind w:firstLine="640"/>
        <w:jc w:val="center"/>
        <w:rPr>
          <w:rFonts w:hint="default" w:ascii="Times New Roman" w:hAnsi="Times New Roman" w:eastAsia="Times New Roman"/>
          <w:color w:val="0000FF"/>
          <w:kern w:val="2"/>
          <w:sz w:val="32"/>
          <w:szCs w:val="24"/>
        </w:rPr>
      </w:pPr>
      <w:r>
        <w:rPr>
          <w:rFonts w:hint="eastAsia" w:ascii="仿宋_GB2312" w:hAnsi="仿宋_GB2312" w:eastAsia="仿宋_GB2312"/>
          <w:color w:val="auto"/>
          <w:kern w:val="2"/>
          <w:sz w:val="32"/>
          <w:szCs w:val="24"/>
        </w:rPr>
        <w:t>图</w:t>
      </w: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收入决算图</w:t>
      </w:r>
    </w:p>
    <w:p>
      <w:pPr>
        <w:spacing w:beforeLines="0" w:afterLines="0" w:line="600" w:lineRule="exact"/>
        <w:ind w:firstLine="643"/>
        <w:jc w:val="both"/>
        <w:rPr>
          <w:rFonts w:hint="default" w:ascii="Times New Roman" w:hAnsi="Times New Roman" w:eastAsia="Times New Roman"/>
          <w:color w:val="auto"/>
          <w:kern w:val="2"/>
          <w:sz w:val="32"/>
          <w:szCs w:val="24"/>
        </w:rPr>
      </w:pPr>
      <w:r>
        <w:rPr>
          <w:rFonts w:hint="eastAsia" w:ascii="黑体" w:hAnsi="黑体" w:eastAsia="黑体"/>
          <w:b/>
          <w:color w:val="auto"/>
          <w:kern w:val="2"/>
          <w:sz w:val="32"/>
          <w:szCs w:val="24"/>
        </w:rPr>
        <w:t>三、支出决算情况说明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莫力达瓦达斡尔族自治旗哈达阳镇人民政府2022年度本年支出决算合计</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万元，其中：</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本年基本支出</w:t>
      </w:r>
      <w:r>
        <w:rPr>
          <w:rFonts w:hint="default" w:ascii="Times New Roman" w:hAnsi="Times New Roman" w:eastAsia="Times New Roman"/>
          <w:color w:val="auto"/>
          <w:kern w:val="2"/>
          <w:sz w:val="32"/>
          <w:szCs w:val="24"/>
          <w:u w:val="single"/>
        </w:rPr>
        <w:t>926.51</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38.49</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本年项目支出</w:t>
      </w:r>
      <w:r>
        <w:rPr>
          <w:rFonts w:hint="default" w:ascii="Times New Roman" w:hAnsi="Times New Roman" w:eastAsia="Times New Roman"/>
          <w:color w:val="auto"/>
          <w:kern w:val="2"/>
          <w:sz w:val="32"/>
          <w:szCs w:val="24"/>
          <w:u w:val="single"/>
        </w:rPr>
        <w:t>1,480.79</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61.51</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本年上缴上级支出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本年经营支出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本年对附属单位补助支出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beforeLines="0" w:afterLines="0"/>
        <w:jc w:val="center"/>
        <w:rPr>
          <w:rFonts w:hint="eastAsia" w:ascii="仿宋_GB2312" w:hAnsi="仿宋_GB2312" w:eastAsia="仿宋_GB2312"/>
          <w:color w:val="auto"/>
          <w:kern w:val="2"/>
          <w:sz w:val="32"/>
          <w:szCs w:val="24"/>
          <w:lang w:eastAsia="zh-CN"/>
        </w:rPr>
      </w:pPr>
      <w:r>
        <w:rPr>
          <w:rFonts w:hint="default" w:ascii="仿宋_GB2312" w:hAnsi="仿宋_GB2312" w:eastAsia="仿宋_GB2312"/>
          <w:color w:val="auto"/>
          <w:kern w:val="2"/>
          <w:sz w:val="32"/>
          <w:szCs w:val="24"/>
          <w:lang w:eastAsia="zh-CN"/>
        </w:rPr>
        <w:drawing>
          <wp:inline distT="0" distB="0" distL="114300" distR="114300">
            <wp:extent cx="3242945" cy="2755265"/>
            <wp:effectExtent l="0" t="0" r="14605" b="6985"/>
            <wp:docPr id="1" name="图片 2"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4"/>
                    <pic:cNvPicPr>
                      <a:picLocks noChangeAspect="1"/>
                    </pic:cNvPicPr>
                  </pic:nvPicPr>
                  <pic:blipFill>
                    <a:blip r:embed="rId6"/>
                    <a:stretch>
                      <a:fillRect/>
                    </a:stretch>
                  </pic:blipFill>
                  <pic:spPr>
                    <a:xfrm>
                      <a:off x="0" y="0"/>
                      <a:ext cx="3242945" cy="2755265"/>
                    </a:xfrm>
                    <a:prstGeom prst="rect">
                      <a:avLst/>
                    </a:prstGeom>
                    <a:noFill/>
                    <a:ln>
                      <a:noFill/>
                    </a:ln>
                  </pic:spPr>
                </pic:pic>
              </a:graphicData>
            </a:graphic>
          </wp:inline>
        </w:drawing>
      </w:r>
    </w:p>
    <w:p>
      <w:pPr>
        <w:spacing w:beforeLines="0" w:afterLines="0" w:line="560" w:lineRule="exact"/>
        <w:jc w:val="both"/>
        <w:rPr>
          <w:rFonts w:hint="default" w:ascii="宋体" w:hAnsi="Times New Roman" w:eastAsia="宋体"/>
          <w:color w:val="auto"/>
          <w:kern w:val="2"/>
          <w:sz w:val="32"/>
          <w:szCs w:val="24"/>
          <w:lang w:eastAsia="zh-CN"/>
        </w:rPr>
      </w:pPr>
    </w:p>
    <w:p>
      <w:pPr>
        <w:spacing w:beforeLines="0" w:afterLines="0" w:line="560" w:lineRule="exact"/>
        <w:jc w:val="center"/>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图</w:t>
      </w: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支出决算图</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四、财政拨款收入支出决算总体情况说明</w:t>
      </w:r>
    </w:p>
    <w:p>
      <w:pPr>
        <w:spacing w:before="100" w:beforeLines="0" w:beforeAutospacing="1" w:after="100" w:afterLines="0" w:afterAutospacing="1" w:line="560" w:lineRule="exact"/>
        <w:ind w:firstLine="640"/>
        <w:jc w:val="both"/>
        <w:rPr>
          <w:rFonts w:hint="default" w:ascii="Times New Roman" w:hAnsi="Times New Roman" w:eastAsia="仿宋" w:cs="Times New Roman"/>
          <w:color w:val="auto"/>
          <w:sz w:val="32"/>
          <w:szCs w:val="32"/>
          <w:lang w:val="en-US"/>
        </w:rPr>
      </w:pPr>
      <w:r>
        <w:rPr>
          <w:rFonts w:hint="eastAsia" w:ascii="仿宋_GB2312" w:hAnsi="仿宋_GB2312" w:eastAsia="仿宋_GB2312"/>
          <w:color w:val="auto"/>
          <w:kern w:val="2"/>
          <w:sz w:val="32"/>
          <w:szCs w:val="24"/>
        </w:rPr>
        <w:t>莫力达瓦达斡尔族自治旗哈达阳镇人民政府</w:t>
      </w:r>
      <w:r>
        <w:rPr>
          <w:rFonts w:hint="default" w:ascii="Times New Roman" w:hAnsi="Times New Roman" w:eastAsia="Times New Roman"/>
          <w:color w:val="auto"/>
          <w:kern w:val="2"/>
          <w:sz w:val="32"/>
          <w:szCs w:val="24"/>
        </w:rPr>
        <w:t xml:space="preserve"> </w:t>
      </w:r>
      <w:r>
        <w:rPr>
          <w:rFonts w:hint="eastAsia" w:ascii="仿宋_GB2312" w:hAnsi="仿宋_GB2312" w:eastAsia="仿宋_GB2312"/>
          <w:color w:val="auto"/>
          <w:kern w:val="2"/>
          <w:sz w:val="32"/>
          <w:szCs w:val="24"/>
        </w:rPr>
        <w:t>2022年度财政拨款收入、支出决算总计</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万元，与年初预算相比，收、支总计各增加</w:t>
      </w:r>
      <w:r>
        <w:rPr>
          <w:rFonts w:hint="default" w:ascii="Times New Roman" w:hAnsi="Times New Roman" w:eastAsia="Times New Roman"/>
          <w:color w:val="auto"/>
          <w:kern w:val="2"/>
          <w:sz w:val="32"/>
          <w:szCs w:val="24"/>
          <w:u w:val="single"/>
        </w:rPr>
        <w:t>1,546.21</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179.56</w:t>
      </w:r>
      <w:r>
        <w:rPr>
          <w:rFonts w:hint="eastAsia" w:ascii="仿宋_GB2312" w:hAnsi="仿宋_GB2312" w:eastAsia="仿宋_GB2312"/>
          <w:color w:val="auto"/>
          <w:kern w:val="2"/>
          <w:sz w:val="32"/>
          <w:szCs w:val="24"/>
        </w:rPr>
        <w:t>%，变动原因：</w:t>
      </w:r>
      <w:r>
        <w:rPr>
          <w:rFonts w:hint="eastAsia" w:ascii="仿宋_GB2312" w:hAnsi="仿宋" w:eastAsia="仿宋_GB2312"/>
          <w:color w:val="auto"/>
          <w:sz w:val="32"/>
          <w:szCs w:val="24"/>
          <w:lang w:eastAsia="zh-CN"/>
        </w:rPr>
        <w:t>年度防汛、防火、退耕还林还草，202</w:t>
      </w:r>
      <w:r>
        <w:rPr>
          <w:rFonts w:hint="eastAsia" w:ascii="仿宋_GB2312" w:hAnsi="仿宋" w:eastAsia="仿宋_GB2312"/>
          <w:color w:val="auto"/>
          <w:sz w:val="32"/>
          <w:szCs w:val="24"/>
          <w:lang w:val="en-US" w:eastAsia="zh-CN"/>
        </w:rPr>
        <w:t>2</w:t>
      </w:r>
      <w:r>
        <w:rPr>
          <w:rFonts w:hint="eastAsia" w:ascii="仿宋_GB2312" w:hAnsi="仿宋" w:eastAsia="仿宋_GB2312"/>
          <w:color w:val="auto"/>
          <w:sz w:val="32"/>
          <w:szCs w:val="24"/>
          <w:lang w:eastAsia="zh-CN"/>
        </w:rPr>
        <w:t>年财政拨款收入安排等原因</w:t>
      </w:r>
      <w:r>
        <w:rPr>
          <w:rFonts w:hint="eastAsia" w:ascii="仿宋" w:hAnsi="Times New Roman" w:eastAsia="仿宋" w:cs="仿宋"/>
          <w:color w:val="auto"/>
          <w:sz w:val="32"/>
          <w:szCs w:val="32"/>
          <w:lang w:eastAsia="zh-CN"/>
        </w:rPr>
        <w:t>。</w:t>
      </w:r>
    </w:p>
    <w:p>
      <w:pPr>
        <w:spacing w:before="100" w:beforeLines="0" w:beforeAutospacing="1" w:after="100" w:afterLines="0" w:afterAutospacing="1"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与上年决算相比，收、支总计各增加</w:t>
      </w:r>
      <w:r>
        <w:rPr>
          <w:rFonts w:hint="default" w:ascii="Times New Roman" w:hAnsi="Times New Roman" w:eastAsia="Times New Roman"/>
          <w:color w:val="auto"/>
          <w:kern w:val="2"/>
          <w:sz w:val="32"/>
          <w:szCs w:val="24"/>
          <w:u w:val="single"/>
        </w:rPr>
        <w:t>1,194.29</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98.46</w:t>
      </w:r>
      <w:r>
        <w:rPr>
          <w:rFonts w:hint="eastAsia" w:ascii="仿宋_GB2312" w:hAnsi="仿宋_GB2312" w:eastAsia="仿宋_GB2312"/>
          <w:color w:val="auto"/>
          <w:kern w:val="2"/>
          <w:sz w:val="32"/>
          <w:szCs w:val="24"/>
        </w:rPr>
        <w:t>%，变动原因：</w:t>
      </w:r>
      <w:r>
        <w:rPr>
          <w:rFonts w:hint="eastAsia" w:ascii="仿宋_GB2312" w:hAnsi="仿宋" w:eastAsia="仿宋_GB2312"/>
          <w:color w:val="auto"/>
          <w:sz w:val="32"/>
          <w:szCs w:val="24"/>
          <w:lang w:eastAsia="zh-CN"/>
        </w:rPr>
        <w:t>年度防汛、防火、退耕还林还草，202</w:t>
      </w:r>
      <w:r>
        <w:rPr>
          <w:rFonts w:hint="eastAsia" w:ascii="仿宋_GB2312" w:hAnsi="仿宋" w:eastAsia="仿宋_GB2312"/>
          <w:color w:val="auto"/>
          <w:sz w:val="32"/>
          <w:szCs w:val="24"/>
          <w:lang w:val="en-US" w:eastAsia="zh-CN"/>
        </w:rPr>
        <w:t>2</w:t>
      </w:r>
      <w:r>
        <w:rPr>
          <w:rFonts w:hint="eastAsia" w:ascii="仿宋_GB2312" w:hAnsi="仿宋" w:eastAsia="仿宋_GB2312"/>
          <w:color w:val="auto"/>
          <w:sz w:val="32"/>
          <w:szCs w:val="24"/>
          <w:lang w:eastAsia="zh-CN"/>
        </w:rPr>
        <w:t>年财政拨款收入安排等原因</w:t>
      </w:r>
      <w:r>
        <w:rPr>
          <w:rFonts w:hint="eastAsia" w:ascii="仿宋" w:hAnsi="Times New Roman" w:eastAsia="仿宋" w:cs="仿宋"/>
          <w:color w:val="auto"/>
          <w:sz w:val="32"/>
          <w:szCs w:val="32"/>
          <w:lang w:eastAsia="zh-CN"/>
        </w:rPr>
        <w:t>。</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五、一般公共预算支出决算情况说明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莫力达瓦达斡尔族自治旗哈达阳镇人民政府2022年度一般公共预算财政拨款支出决算</w:t>
      </w:r>
      <w:r>
        <w:rPr>
          <w:rFonts w:hint="default" w:ascii="Times New Roman" w:hAnsi="Times New Roman" w:eastAsia="Times New Roman"/>
          <w:color w:val="auto"/>
          <w:kern w:val="2"/>
          <w:sz w:val="32"/>
          <w:szCs w:val="24"/>
          <w:u w:val="single"/>
        </w:rPr>
        <w:t>2,407.31</w:t>
      </w:r>
      <w:r>
        <w:rPr>
          <w:rFonts w:hint="eastAsia" w:ascii="仿宋_GB2312" w:hAnsi="仿宋_GB2312" w:eastAsia="仿宋_GB2312"/>
          <w:color w:val="auto"/>
          <w:kern w:val="2"/>
          <w:sz w:val="32"/>
          <w:szCs w:val="24"/>
        </w:rPr>
        <w:t>万元。与年初预算</w:t>
      </w:r>
      <w:r>
        <w:rPr>
          <w:rFonts w:hint="default" w:ascii="Times New Roman" w:hAnsi="Times New Roman" w:eastAsia="Times New Roman"/>
          <w:color w:val="auto"/>
          <w:kern w:val="2"/>
          <w:sz w:val="32"/>
          <w:szCs w:val="24"/>
          <w:u w:val="single"/>
        </w:rPr>
        <w:t>841.82</w:t>
      </w:r>
      <w:r>
        <w:rPr>
          <w:rFonts w:hint="eastAsia" w:ascii="仿宋_GB2312" w:hAnsi="仿宋_GB2312" w:eastAsia="仿宋_GB2312"/>
          <w:color w:val="auto"/>
          <w:kern w:val="2"/>
          <w:sz w:val="32"/>
          <w:szCs w:val="24"/>
        </w:rPr>
        <w:t>万元相比，完成年初预算的</w:t>
      </w:r>
      <w:r>
        <w:rPr>
          <w:rFonts w:hint="default" w:ascii="Times New Roman" w:hAnsi="Times New Roman" w:eastAsia="Times New Roman"/>
          <w:color w:val="auto"/>
          <w:kern w:val="2"/>
          <w:sz w:val="32"/>
          <w:szCs w:val="24"/>
          <w:u w:val="single"/>
        </w:rPr>
        <w:t>285.96</w:t>
      </w:r>
      <w:r>
        <w:rPr>
          <w:rFonts w:hint="eastAsia" w:ascii="仿宋_GB2312" w:hAnsi="仿宋_GB2312" w:eastAsia="仿宋_GB2312"/>
          <w:color w:val="auto"/>
          <w:kern w:val="2"/>
          <w:sz w:val="32"/>
          <w:szCs w:val="24"/>
        </w:rPr>
        <w:t>%。其中：</w:t>
      </w:r>
    </w:p>
    <w:p>
      <w:pPr>
        <w:tabs>
          <w:tab w:val="left" w:pos="4275"/>
        </w:tab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（一）一般公共服务（类）</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一般公共服务类决算数为</w:t>
      </w:r>
      <w:r>
        <w:rPr>
          <w:rFonts w:hint="default" w:ascii="Times New Roman" w:hAnsi="Times New Roman" w:eastAsia="Times New Roman"/>
          <w:color w:val="auto"/>
          <w:kern w:val="2"/>
          <w:sz w:val="32"/>
          <w:szCs w:val="24"/>
          <w:u w:val="single"/>
        </w:rPr>
        <w:t>494.29</w:t>
      </w:r>
      <w:r>
        <w:rPr>
          <w:rFonts w:hint="eastAsia" w:ascii="仿宋_GB2312" w:hAnsi="仿宋_GB2312" w:eastAsia="仿宋_GB2312"/>
          <w:color w:val="auto"/>
          <w:kern w:val="2"/>
          <w:sz w:val="32"/>
          <w:szCs w:val="24"/>
        </w:rPr>
        <w:t>万元，与年初预算相比增加</w:t>
      </w:r>
      <w:r>
        <w:rPr>
          <w:rFonts w:hint="default" w:ascii="Times New Roman" w:hAnsi="Times New Roman" w:eastAsia="Times New Roman"/>
          <w:color w:val="auto"/>
          <w:kern w:val="2"/>
          <w:sz w:val="32"/>
          <w:szCs w:val="24"/>
          <w:u w:val="single"/>
        </w:rPr>
        <w:t>128.58</w:t>
      </w:r>
      <w:r>
        <w:rPr>
          <w:rFonts w:hint="eastAsia" w:ascii="仿宋_GB2312" w:hAnsi="仿宋_GB2312" w:eastAsia="仿宋_GB2312"/>
          <w:color w:val="auto"/>
          <w:kern w:val="2"/>
          <w:sz w:val="32"/>
          <w:szCs w:val="24"/>
        </w:rPr>
        <w:t>万元。其中：</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．人大事务（款）行政运行（项）。年初预算</w:t>
      </w:r>
      <w:r>
        <w:rPr>
          <w:rFonts w:hint="default" w:ascii="宋体" w:hAnsi="Times New Roman" w:eastAsia="宋体"/>
          <w:color w:val="auto"/>
          <w:kern w:val="2"/>
          <w:sz w:val="32"/>
          <w:szCs w:val="24"/>
          <w:u w:val="single"/>
          <w:lang w:val="en-US" w:eastAsia="zh-CN"/>
        </w:rPr>
        <w:t>5</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4.58</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91.6</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本年度正常业务</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．政府办公厅（室）及相关机构事务（款）。年初预算</w:t>
      </w:r>
      <w:r>
        <w:rPr>
          <w:rFonts w:hint="default" w:ascii="宋体" w:hAnsi="Times New Roman" w:eastAsia="宋体"/>
          <w:color w:val="auto"/>
          <w:kern w:val="2"/>
          <w:sz w:val="32"/>
          <w:szCs w:val="24"/>
          <w:u w:val="single"/>
          <w:lang w:val="en-US" w:eastAsia="zh-CN"/>
        </w:rPr>
        <w:t>307.07</w:t>
      </w:r>
      <w:r>
        <w:rPr>
          <w:rFonts w:hint="eastAsia" w:ascii="仿宋_GB2312" w:hAnsi="仿宋_GB2312" w:eastAsia="仿宋_GB2312"/>
          <w:color w:val="auto"/>
          <w:kern w:val="2"/>
          <w:sz w:val="32"/>
          <w:szCs w:val="24"/>
        </w:rPr>
        <w:t>万元，支出决算</w:t>
      </w:r>
      <w:r>
        <w:rPr>
          <w:rFonts w:hint="default" w:ascii="宋体" w:hAnsi="Times New Roman" w:eastAsia="宋体"/>
          <w:color w:val="auto"/>
          <w:kern w:val="2"/>
          <w:sz w:val="32"/>
          <w:szCs w:val="24"/>
          <w:u w:val="single"/>
          <w:lang w:val="en-US" w:eastAsia="zh-CN"/>
        </w:rPr>
        <w:t>431.70</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140.59</w:t>
      </w:r>
      <w:r>
        <w:rPr>
          <w:rFonts w:hint="eastAsia" w:ascii="仿宋_GB2312" w:hAnsi="仿宋_GB2312" w:eastAsia="仿宋_GB2312"/>
          <w:color w:val="auto"/>
          <w:kern w:val="2"/>
          <w:sz w:val="32"/>
          <w:szCs w:val="24"/>
        </w:rPr>
        <w:t>%。决算数与年初预算数的差异原因：</w:t>
      </w:r>
      <w:r>
        <w:rPr>
          <w:rFonts w:hint="eastAsia" w:ascii="仿宋_GB2312" w:hAnsi="仿宋" w:eastAsia="仿宋_GB2312"/>
          <w:color w:val="auto"/>
          <w:sz w:val="32"/>
          <w:szCs w:val="24"/>
          <w:lang w:eastAsia="zh-CN"/>
        </w:rPr>
        <w:t>年度防汛、防火、退耕还林还草，</w:t>
      </w:r>
      <w:r>
        <w:rPr>
          <w:rFonts w:hint="eastAsia" w:ascii="仿宋_GB2312" w:hAnsi="仿宋" w:eastAsia="仿宋_GB2312"/>
          <w:color w:val="auto"/>
          <w:sz w:val="32"/>
          <w:szCs w:val="24"/>
          <w:lang w:val="en-US" w:eastAsia="zh-CN"/>
        </w:rPr>
        <w:t>人员工资支出</w:t>
      </w:r>
      <w:r>
        <w:rPr>
          <w:rFonts w:hint="eastAsia" w:ascii="仿宋_GB2312" w:hAnsi="仿宋" w:eastAsia="仿宋_GB2312"/>
          <w:color w:val="auto"/>
          <w:sz w:val="32"/>
          <w:szCs w:val="24"/>
          <w:lang w:eastAsia="zh-CN"/>
        </w:rPr>
        <w:t>等原因</w:t>
      </w:r>
      <w:r>
        <w:rPr>
          <w:rFonts w:hint="eastAsia" w:ascii="仿宋" w:hAnsi="Times New Roman" w:eastAsia="仿宋" w:cs="仿宋"/>
          <w:color w:val="auto"/>
          <w:sz w:val="32"/>
          <w:szCs w:val="32"/>
          <w:lang w:eastAsia="zh-CN"/>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宋体" w:hAnsi="Times New Roman" w:eastAsia="宋体"/>
          <w:color w:val="auto"/>
          <w:kern w:val="2"/>
          <w:sz w:val="32"/>
          <w:szCs w:val="24"/>
          <w:lang w:val="en-US" w:eastAsia="zh-CN"/>
        </w:rPr>
        <w:t>3</w:t>
      </w:r>
      <w:r>
        <w:rPr>
          <w:rFonts w:hint="eastAsia" w:ascii="仿宋_GB2312" w:hAnsi="仿宋_GB2312" w:eastAsia="仿宋_GB2312"/>
          <w:color w:val="auto"/>
          <w:kern w:val="2"/>
          <w:sz w:val="32"/>
          <w:szCs w:val="24"/>
        </w:rPr>
        <w:t>．党委办公厅（室）及相关机构事务（款）</w:t>
      </w:r>
      <w:r>
        <w:rPr>
          <w:rFonts w:hint="eastAsia" w:ascii="仿宋_GB2312" w:hAnsi="仿宋_GB2312" w:eastAsia="仿宋_GB2312"/>
          <w:color w:val="auto"/>
          <w:kern w:val="2"/>
          <w:sz w:val="32"/>
          <w:szCs w:val="24"/>
          <w:lang w:val="en-US" w:eastAsia="zh-CN"/>
        </w:rPr>
        <w:t>机关服务</w:t>
      </w:r>
      <w:r>
        <w:rPr>
          <w:rFonts w:hint="eastAsia" w:ascii="仿宋_GB2312" w:hAnsi="仿宋_GB2312" w:eastAsia="仿宋_GB2312"/>
          <w:color w:val="auto"/>
          <w:kern w:val="2"/>
          <w:sz w:val="32"/>
          <w:szCs w:val="24"/>
        </w:rPr>
        <w:t>（项）。年初预算</w:t>
      </w:r>
      <w:r>
        <w:rPr>
          <w:rFonts w:hint="default" w:ascii="宋体" w:hAnsi="Times New Roman" w:eastAsia="宋体"/>
          <w:color w:val="auto"/>
          <w:kern w:val="2"/>
          <w:sz w:val="32"/>
          <w:szCs w:val="24"/>
          <w:u w:val="single"/>
          <w:lang w:val="en-US" w:eastAsia="zh-CN"/>
        </w:rPr>
        <w:t>8.34</w:t>
      </w:r>
      <w:r>
        <w:rPr>
          <w:rFonts w:hint="eastAsia" w:ascii="仿宋_GB2312" w:hAnsi="仿宋_GB2312" w:eastAsia="仿宋_GB2312"/>
          <w:color w:val="auto"/>
          <w:kern w:val="2"/>
          <w:sz w:val="32"/>
          <w:szCs w:val="24"/>
        </w:rPr>
        <w:t>万元，支出决算</w:t>
      </w:r>
      <w:r>
        <w:rPr>
          <w:rFonts w:hint="default" w:ascii="宋体" w:hAnsi="Times New Roman" w:eastAsia="宋体"/>
          <w:color w:val="auto"/>
          <w:kern w:val="2"/>
          <w:sz w:val="32"/>
          <w:szCs w:val="24"/>
          <w:u w:val="single"/>
          <w:lang w:val="en-US" w:eastAsia="zh-CN"/>
        </w:rPr>
        <w:t>8.84</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105.10</w:t>
      </w:r>
      <w:r>
        <w:rPr>
          <w:rFonts w:hint="eastAsia" w:ascii="仿宋_GB2312" w:hAnsi="仿宋_GB2312" w:eastAsia="仿宋_GB2312"/>
          <w:color w:val="auto"/>
          <w:kern w:val="2"/>
          <w:sz w:val="32"/>
          <w:szCs w:val="24"/>
        </w:rPr>
        <w:t>%。决算数与年初预算数的差异原因：</w:t>
      </w:r>
      <w:r>
        <w:rPr>
          <w:rFonts w:hint="eastAsia" w:ascii="仿宋_GB2312" w:hAnsi="仿宋" w:eastAsia="仿宋_GB2312"/>
          <w:color w:val="auto"/>
          <w:sz w:val="32"/>
          <w:szCs w:val="24"/>
          <w:lang w:val="en-US" w:eastAsia="zh-CN"/>
        </w:rPr>
        <w:t>人员工资支出</w:t>
      </w:r>
      <w:r>
        <w:rPr>
          <w:rFonts w:hint="eastAsia" w:ascii="仿宋_GB2312" w:hAnsi="仿宋" w:eastAsia="仿宋_GB2312"/>
          <w:color w:val="auto"/>
          <w:sz w:val="32"/>
          <w:szCs w:val="24"/>
          <w:lang w:eastAsia="zh-CN"/>
        </w:rPr>
        <w:t>等原因</w:t>
      </w:r>
      <w:r>
        <w:rPr>
          <w:rFonts w:hint="eastAsia" w:ascii="仿宋" w:hAnsi="Times New Roman" w:eastAsia="仿宋" w:cs="仿宋"/>
          <w:color w:val="auto"/>
          <w:sz w:val="32"/>
          <w:szCs w:val="32"/>
          <w:lang w:eastAsia="zh-CN"/>
        </w:rPr>
        <w:t>。</w:t>
      </w:r>
    </w:p>
    <w:p>
      <w:pPr>
        <w:spacing w:beforeLines="0" w:afterLines="0" w:line="560" w:lineRule="exact"/>
        <w:ind w:firstLine="640"/>
        <w:jc w:val="both"/>
        <w:rPr>
          <w:rFonts w:hint="default" w:ascii="宋体" w:hAnsi="Times New Roman" w:eastAsia="宋体"/>
          <w:color w:val="auto"/>
          <w:kern w:val="2"/>
          <w:sz w:val="32"/>
          <w:szCs w:val="24"/>
          <w:lang w:val="en-US" w:eastAsia="zh-CN"/>
        </w:rPr>
      </w:pPr>
      <w:r>
        <w:rPr>
          <w:rFonts w:hint="eastAsia" w:ascii="楷体" w:hAnsi="楷体" w:eastAsia="楷体"/>
          <w:b/>
          <w:color w:val="auto"/>
          <w:kern w:val="2"/>
          <w:sz w:val="32"/>
          <w:szCs w:val="24"/>
        </w:rPr>
        <w:t>（二）文化旅游体育与传媒（类）</w:t>
      </w:r>
    </w:p>
    <w:p>
      <w:pPr>
        <w:spacing w:beforeLines="0" w:afterLines="0" w:line="560" w:lineRule="exact"/>
        <w:ind w:firstLine="640"/>
        <w:jc w:val="both"/>
        <w:rPr>
          <w:rFonts w:hint="default" w:ascii="Times New Roman" w:hAnsi="Times New Roman" w:eastAsia="Times New Roman"/>
          <w:color w:val="FF0000"/>
          <w:kern w:val="2"/>
          <w:sz w:val="32"/>
          <w:szCs w:val="24"/>
        </w:rPr>
      </w:pPr>
      <w:r>
        <w:rPr>
          <w:rFonts w:hint="default" w:ascii="宋体" w:hAnsi="Times New Roman" w:eastAsia="宋体"/>
          <w:color w:val="auto"/>
          <w:kern w:val="2"/>
          <w:sz w:val="32"/>
          <w:szCs w:val="24"/>
          <w:lang w:val="en-US" w:eastAsia="zh-CN"/>
        </w:rPr>
        <w:t>1</w:t>
      </w:r>
      <w:r>
        <w:rPr>
          <w:rFonts w:hint="eastAsia" w:ascii="仿宋_GB2312" w:hAnsi="仿宋_GB2312" w:eastAsia="仿宋_GB2312"/>
          <w:color w:val="auto"/>
          <w:kern w:val="2"/>
          <w:sz w:val="32"/>
          <w:szCs w:val="24"/>
        </w:rPr>
        <w:t>．文化</w:t>
      </w:r>
      <w:r>
        <w:rPr>
          <w:rFonts w:hint="eastAsia" w:ascii="仿宋_GB2312" w:hAnsi="仿宋_GB2312" w:eastAsia="仿宋_GB2312"/>
          <w:color w:val="auto"/>
          <w:kern w:val="2"/>
          <w:sz w:val="32"/>
          <w:szCs w:val="24"/>
          <w:lang w:val="en-US" w:eastAsia="zh-CN"/>
        </w:rPr>
        <w:t>和</w:t>
      </w:r>
      <w:r>
        <w:rPr>
          <w:rFonts w:hint="eastAsia" w:ascii="仿宋_GB2312" w:hAnsi="仿宋_GB2312" w:eastAsia="仿宋_GB2312"/>
          <w:color w:val="auto"/>
          <w:kern w:val="2"/>
          <w:sz w:val="32"/>
          <w:szCs w:val="24"/>
        </w:rPr>
        <w:t>旅游（款）</w:t>
      </w:r>
      <w:r>
        <w:rPr>
          <w:rFonts w:hint="eastAsia" w:ascii="仿宋_GB2312" w:hAnsi="仿宋_GB2312" w:eastAsia="仿宋_GB2312"/>
          <w:color w:val="auto"/>
          <w:kern w:val="2"/>
          <w:sz w:val="32"/>
          <w:szCs w:val="24"/>
          <w:lang w:val="en-US" w:eastAsia="zh-CN"/>
        </w:rPr>
        <w:t>其他文化和旅游支出</w:t>
      </w:r>
      <w:r>
        <w:rPr>
          <w:rFonts w:hint="eastAsia" w:ascii="仿宋_GB2312" w:hAnsi="仿宋_GB2312" w:eastAsia="仿宋_GB2312"/>
          <w:color w:val="auto"/>
          <w:kern w:val="2"/>
          <w:sz w:val="32"/>
          <w:szCs w:val="24"/>
        </w:rPr>
        <w:t>（项）。年初预算</w:t>
      </w:r>
      <w:r>
        <w:rPr>
          <w:rFonts w:hint="default" w:ascii="宋体" w:hAnsi="Times New Roman" w:eastAsia="宋体"/>
          <w:color w:val="auto"/>
          <w:kern w:val="2"/>
          <w:sz w:val="32"/>
          <w:szCs w:val="24"/>
          <w:u w:val="single"/>
          <w:lang w:val="en-US" w:eastAsia="zh-CN"/>
        </w:rPr>
        <w:t>4.50</w:t>
      </w:r>
      <w:r>
        <w:rPr>
          <w:rFonts w:hint="eastAsia" w:ascii="仿宋_GB2312" w:hAnsi="仿宋_GB2312" w:eastAsia="仿宋_GB2312"/>
          <w:color w:val="auto"/>
          <w:kern w:val="2"/>
          <w:sz w:val="32"/>
          <w:szCs w:val="24"/>
        </w:rPr>
        <w:t>万元，支出决算</w:t>
      </w:r>
      <w:r>
        <w:rPr>
          <w:rFonts w:hint="default" w:ascii="宋体" w:hAnsi="Times New Roman" w:eastAsia="宋体"/>
          <w:color w:val="auto"/>
          <w:kern w:val="2"/>
          <w:sz w:val="32"/>
          <w:szCs w:val="24"/>
          <w:u w:val="single"/>
          <w:lang w:val="en-US" w:eastAsia="zh-CN"/>
        </w:rPr>
        <w:t>4.29</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95.33</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s="Times New Roman"/>
          <w:color w:val="auto"/>
          <w:kern w:val="2"/>
          <w:sz w:val="32"/>
          <w:szCs w:val="24"/>
          <w:lang w:val="en-US" w:eastAsia="zh-CN"/>
        </w:rPr>
        <w:t>财政资金安排</w:t>
      </w:r>
      <w:r>
        <w:rPr>
          <w:rFonts w:hint="eastAsia" w:ascii="仿宋_GB2312" w:hAnsi="仿宋_GB2312" w:eastAsia="仿宋_GB2312" w:cs="Times New Roman"/>
          <w:color w:val="auto"/>
          <w:kern w:val="2"/>
          <w:sz w:val="32"/>
          <w:szCs w:val="24"/>
          <w:lang w:eastAsia="zh-CN"/>
        </w:rPr>
        <w:t>等原因。</w:t>
      </w:r>
    </w:p>
    <w:p>
      <w:pPr>
        <w:tabs>
          <w:tab w:val="left" w:pos="4275"/>
        </w:tab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（三）社会保障和就业支出（类）</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社会保障和就业支出类决算数为</w:t>
      </w:r>
      <w:r>
        <w:rPr>
          <w:rFonts w:hint="default" w:ascii="Times New Roman" w:hAnsi="Times New Roman" w:eastAsia="Times New Roman"/>
          <w:color w:val="auto"/>
          <w:kern w:val="2"/>
          <w:sz w:val="32"/>
          <w:szCs w:val="24"/>
          <w:u w:val="single"/>
        </w:rPr>
        <w:t>103.12</w:t>
      </w:r>
      <w:r>
        <w:rPr>
          <w:rFonts w:hint="eastAsia" w:ascii="仿宋_GB2312" w:hAnsi="仿宋_GB2312" w:eastAsia="仿宋_GB2312"/>
          <w:color w:val="auto"/>
          <w:kern w:val="2"/>
          <w:sz w:val="32"/>
          <w:szCs w:val="24"/>
        </w:rPr>
        <w:t>万元，与年初预算相比增加</w:t>
      </w:r>
      <w:r>
        <w:rPr>
          <w:rFonts w:hint="default" w:ascii="Times New Roman" w:hAnsi="Times New Roman" w:eastAsia="Times New Roman"/>
          <w:color w:val="auto"/>
          <w:kern w:val="2"/>
          <w:sz w:val="32"/>
          <w:szCs w:val="24"/>
          <w:u w:val="single"/>
        </w:rPr>
        <w:t>36.35</w:t>
      </w:r>
      <w:r>
        <w:rPr>
          <w:rFonts w:hint="eastAsia" w:ascii="仿宋_GB2312" w:hAnsi="仿宋_GB2312" w:eastAsia="仿宋_GB2312"/>
          <w:color w:val="auto"/>
          <w:kern w:val="2"/>
          <w:sz w:val="32"/>
          <w:szCs w:val="24"/>
        </w:rPr>
        <w:t>万元。其中：</w:t>
      </w:r>
    </w:p>
    <w:p>
      <w:pPr>
        <w:spacing w:beforeLines="0" w:afterLines="0" w:line="560" w:lineRule="exact"/>
        <w:ind w:firstLine="640"/>
        <w:jc w:val="both"/>
        <w:rPr>
          <w:rFonts w:hint="eastAsia" w:ascii="仿宋_GB2312" w:hAnsi="仿宋_GB2312" w:eastAsia="仿宋_GB2312"/>
          <w:color w:val="auto"/>
          <w:kern w:val="2"/>
          <w:sz w:val="32"/>
          <w:szCs w:val="24"/>
          <w:lang w:val="en-US" w:eastAsia="zh-CN"/>
        </w:rPr>
      </w:pPr>
      <w:r>
        <w:rPr>
          <w:rFonts w:hint="default" w:ascii="仿宋_GB2312" w:hAnsi="仿宋_GB2312" w:eastAsia="仿宋_GB2312"/>
          <w:color w:val="auto"/>
          <w:kern w:val="2"/>
          <w:sz w:val="32"/>
          <w:szCs w:val="24"/>
          <w:lang w:val="en-US" w:eastAsia="zh-CN"/>
        </w:rPr>
        <w:t>1</w:t>
      </w:r>
      <w:r>
        <w:rPr>
          <w:rFonts w:hint="eastAsia" w:ascii="仿宋_GB2312" w:hAnsi="仿宋_GB2312" w:eastAsia="仿宋_GB2312"/>
          <w:color w:val="auto"/>
          <w:kern w:val="2"/>
          <w:sz w:val="32"/>
          <w:szCs w:val="24"/>
          <w:lang w:val="en-US" w:eastAsia="zh-CN"/>
        </w:rPr>
        <w:t>．行政事业单位养老支出（款）行政单位离退休（项）。年初预算</w:t>
      </w:r>
      <w:r>
        <w:rPr>
          <w:rFonts w:hint="default" w:ascii="仿宋_GB2312" w:hAnsi="仿宋_GB2312" w:eastAsia="仿宋_GB2312"/>
          <w:color w:val="auto"/>
          <w:kern w:val="2"/>
          <w:sz w:val="32"/>
          <w:szCs w:val="24"/>
          <w:u w:val="single"/>
          <w:lang w:val="en-US" w:eastAsia="zh-CN"/>
        </w:rPr>
        <w:t>11.19</w:t>
      </w:r>
      <w:r>
        <w:rPr>
          <w:rFonts w:hint="eastAsia" w:ascii="仿宋_GB2312" w:hAnsi="仿宋_GB2312" w:eastAsia="仿宋_GB2312"/>
          <w:color w:val="auto"/>
          <w:kern w:val="2"/>
          <w:sz w:val="32"/>
          <w:szCs w:val="24"/>
          <w:lang w:val="en-US" w:eastAsia="zh-CN"/>
        </w:rPr>
        <w:t>万元，支出决算</w:t>
      </w:r>
      <w:r>
        <w:rPr>
          <w:rFonts w:hint="default" w:ascii="仿宋_GB2312" w:hAnsi="仿宋_GB2312" w:eastAsia="仿宋_GB2312"/>
          <w:color w:val="auto"/>
          <w:kern w:val="2"/>
          <w:sz w:val="32"/>
          <w:szCs w:val="24"/>
          <w:u w:val="single"/>
          <w:lang w:val="en-US" w:eastAsia="zh-CN"/>
        </w:rPr>
        <w:t>11.38</w:t>
      </w:r>
      <w:r>
        <w:rPr>
          <w:rFonts w:hint="eastAsia" w:ascii="仿宋_GB2312" w:hAnsi="仿宋_GB2312" w:eastAsia="仿宋_GB2312"/>
          <w:color w:val="auto"/>
          <w:kern w:val="2"/>
          <w:sz w:val="32"/>
          <w:szCs w:val="24"/>
          <w:lang w:val="en-US" w:eastAsia="zh-CN"/>
        </w:rPr>
        <w:t>万元，完成年初预算的</w:t>
      </w:r>
      <w:r>
        <w:rPr>
          <w:rFonts w:hint="default" w:ascii="仿宋_GB2312" w:hAnsi="仿宋_GB2312" w:eastAsia="仿宋_GB2312"/>
          <w:color w:val="auto"/>
          <w:kern w:val="2"/>
          <w:sz w:val="32"/>
          <w:szCs w:val="24"/>
          <w:u w:val="single"/>
          <w:lang w:val="en-US" w:eastAsia="zh-CN"/>
        </w:rPr>
        <w:t>101.70</w:t>
      </w:r>
      <w:r>
        <w:rPr>
          <w:rFonts w:hint="eastAsia" w:ascii="仿宋_GB2312" w:hAnsi="仿宋_GB2312" w:eastAsia="仿宋_GB2312"/>
          <w:color w:val="auto"/>
          <w:kern w:val="2"/>
          <w:sz w:val="32"/>
          <w:szCs w:val="24"/>
          <w:u w:val="single"/>
          <w:lang w:val="en-US" w:eastAsia="zh-CN"/>
        </w:rPr>
        <w:t>%</w:t>
      </w:r>
      <w:r>
        <w:rPr>
          <w:rFonts w:hint="eastAsia" w:ascii="仿宋_GB2312" w:hAnsi="仿宋_GB2312" w:eastAsia="仿宋_GB2312"/>
          <w:color w:val="auto"/>
          <w:kern w:val="2"/>
          <w:sz w:val="32"/>
          <w:szCs w:val="24"/>
          <w:lang w:val="en-US" w:eastAsia="zh-CN"/>
        </w:rPr>
        <w:t>。决算数与年初预算数的差异原因：</w:t>
      </w:r>
      <w:r>
        <w:rPr>
          <w:rFonts w:hint="default" w:ascii="仿宋_GB2312" w:hAnsi="仿宋_GB2312" w:eastAsia="仿宋_GB2312"/>
          <w:color w:val="auto"/>
          <w:kern w:val="2"/>
          <w:sz w:val="32"/>
          <w:szCs w:val="24"/>
          <w:lang w:val="en-US" w:eastAsia="zh-CN"/>
        </w:rPr>
        <w:t>新增人员缴费等原因</w:t>
      </w:r>
      <w:r>
        <w:rPr>
          <w:rFonts w:hint="eastAsia" w:ascii="仿宋_GB2312" w:hAnsi="仿宋_GB2312" w:eastAsia="仿宋_GB2312"/>
          <w:color w:val="auto"/>
          <w:kern w:val="2"/>
          <w:sz w:val="32"/>
          <w:szCs w:val="24"/>
          <w:lang w:val="en-US" w:eastAsia="zh-CN"/>
        </w:rPr>
        <w:t>。</w:t>
      </w:r>
    </w:p>
    <w:p>
      <w:pPr>
        <w:spacing w:beforeLines="0" w:afterLines="0" w:line="560" w:lineRule="exact"/>
        <w:ind w:firstLine="640"/>
        <w:jc w:val="both"/>
        <w:rPr>
          <w:rFonts w:hint="eastAsia" w:ascii="仿宋_GB2312" w:hAnsi="仿宋_GB2312" w:eastAsia="仿宋_GB2312"/>
          <w:color w:val="auto"/>
          <w:kern w:val="2"/>
          <w:sz w:val="32"/>
          <w:szCs w:val="24"/>
          <w:lang w:val="en-US" w:eastAsia="zh-CN"/>
        </w:rPr>
      </w:pPr>
      <w:r>
        <w:rPr>
          <w:rFonts w:hint="default" w:ascii="仿宋_GB2312" w:hAnsi="仿宋_GB2312" w:eastAsia="仿宋_GB2312"/>
          <w:color w:val="auto"/>
          <w:kern w:val="2"/>
          <w:sz w:val="32"/>
          <w:szCs w:val="24"/>
          <w:lang w:val="en-US" w:eastAsia="zh-CN"/>
        </w:rPr>
        <w:t>2</w:t>
      </w:r>
      <w:r>
        <w:rPr>
          <w:rFonts w:hint="eastAsia" w:ascii="仿宋_GB2312" w:hAnsi="仿宋_GB2312" w:eastAsia="仿宋_GB2312"/>
          <w:color w:val="auto"/>
          <w:kern w:val="2"/>
          <w:sz w:val="32"/>
          <w:szCs w:val="24"/>
          <w:lang w:val="en-US" w:eastAsia="zh-CN"/>
        </w:rPr>
        <w:t>．行政事业单位养老支出（款）事业单位离退休（项）。年初预算</w:t>
      </w:r>
      <w:r>
        <w:rPr>
          <w:rFonts w:hint="default" w:ascii="仿宋_GB2312" w:hAnsi="仿宋_GB2312" w:eastAsia="仿宋_GB2312"/>
          <w:color w:val="auto"/>
          <w:kern w:val="2"/>
          <w:sz w:val="32"/>
          <w:szCs w:val="24"/>
          <w:u w:val="single"/>
          <w:lang w:val="en-US" w:eastAsia="zh-CN"/>
        </w:rPr>
        <w:t>2.96</w:t>
      </w:r>
      <w:r>
        <w:rPr>
          <w:rFonts w:hint="eastAsia" w:ascii="仿宋_GB2312" w:hAnsi="仿宋_GB2312" w:eastAsia="仿宋_GB2312"/>
          <w:color w:val="auto"/>
          <w:kern w:val="2"/>
          <w:sz w:val="32"/>
          <w:szCs w:val="24"/>
          <w:lang w:val="en-US" w:eastAsia="zh-CN"/>
        </w:rPr>
        <w:t>万元，支出决算</w:t>
      </w:r>
      <w:r>
        <w:rPr>
          <w:rFonts w:hint="default" w:ascii="仿宋_GB2312" w:hAnsi="仿宋_GB2312" w:eastAsia="仿宋_GB2312"/>
          <w:color w:val="auto"/>
          <w:kern w:val="2"/>
          <w:sz w:val="32"/>
          <w:szCs w:val="24"/>
          <w:u w:val="single"/>
          <w:lang w:val="en-US" w:eastAsia="zh-CN"/>
        </w:rPr>
        <w:t>9.37</w:t>
      </w:r>
      <w:r>
        <w:rPr>
          <w:rFonts w:hint="eastAsia" w:ascii="仿宋_GB2312" w:hAnsi="仿宋_GB2312" w:eastAsia="仿宋_GB2312"/>
          <w:color w:val="auto"/>
          <w:kern w:val="2"/>
          <w:sz w:val="32"/>
          <w:szCs w:val="24"/>
          <w:lang w:val="en-US" w:eastAsia="zh-CN"/>
        </w:rPr>
        <w:t>万元，完成年初预算的</w:t>
      </w:r>
      <w:r>
        <w:rPr>
          <w:rFonts w:hint="default" w:ascii="仿宋_GB2312" w:hAnsi="仿宋_GB2312" w:eastAsia="仿宋_GB2312"/>
          <w:color w:val="auto"/>
          <w:kern w:val="2"/>
          <w:sz w:val="32"/>
          <w:szCs w:val="24"/>
          <w:u w:val="single"/>
          <w:lang w:val="en-US" w:eastAsia="zh-CN"/>
        </w:rPr>
        <w:t>316.56</w:t>
      </w:r>
      <w:r>
        <w:rPr>
          <w:rFonts w:hint="eastAsia" w:ascii="仿宋_GB2312" w:hAnsi="仿宋_GB2312" w:eastAsia="仿宋_GB2312"/>
          <w:color w:val="auto"/>
          <w:kern w:val="2"/>
          <w:sz w:val="32"/>
          <w:szCs w:val="24"/>
          <w:u w:val="single"/>
          <w:lang w:val="en-US" w:eastAsia="zh-CN"/>
        </w:rPr>
        <w:t>%</w:t>
      </w:r>
      <w:r>
        <w:rPr>
          <w:rFonts w:hint="eastAsia" w:ascii="仿宋_GB2312" w:hAnsi="仿宋_GB2312" w:eastAsia="仿宋_GB2312"/>
          <w:color w:val="auto"/>
          <w:kern w:val="2"/>
          <w:sz w:val="32"/>
          <w:szCs w:val="24"/>
          <w:lang w:val="en-US" w:eastAsia="zh-CN"/>
        </w:rPr>
        <w:t>。决算数与年初预算数的差异原因：</w:t>
      </w:r>
      <w:r>
        <w:rPr>
          <w:rFonts w:hint="default" w:ascii="仿宋_GB2312" w:hAnsi="仿宋_GB2312" w:eastAsia="仿宋_GB2312"/>
          <w:color w:val="auto"/>
          <w:kern w:val="2"/>
          <w:sz w:val="32"/>
          <w:szCs w:val="24"/>
          <w:lang w:val="en-US" w:eastAsia="zh-CN"/>
        </w:rPr>
        <w:t>新增人员缴费等原因</w:t>
      </w:r>
      <w:r>
        <w:rPr>
          <w:rFonts w:hint="eastAsia" w:ascii="仿宋_GB2312" w:hAnsi="仿宋_GB2312" w:eastAsia="仿宋_GB2312"/>
          <w:color w:val="auto"/>
          <w:kern w:val="2"/>
          <w:sz w:val="32"/>
          <w:szCs w:val="24"/>
          <w:lang w:val="en-US" w:eastAsia="zh-CN"/>
        </w:rPr>
        <w:t>。</w:t>
      </w:r>
    </w:p>
    <w:p>
      <w:pPr>
        <w:spacing w:beforeLines="0" w:afterLines="0" w:line="560" w:lineRule="exact"/>
        <w:ind w:firstLine="640"/>
        <w:jc w:val="both"/>
        <w:rPr>
          <w:rFonts w:hint="eastAsia" w:ascii="仿宋_GB2312" w:hAnsi="仿宋_GB2312" w:eastAsia="仿宋_GB2312"/>
          <w:color w:val="auto"/>
          <w:kern w:val="2"/>
          <w:sz w:val="32"/>
          <w:szCs w:val="24"/>
          <w:lang w:val="en-US" w:eastAsia="zh-CN"/>
        </w:rPr>
      </w:pPr>
      <w:r>
        <w:rPr>
          <w:rFonts w:hint="default" w:ascii="仿宋_GB2312" w:hAnsi="仿宋_GB2312" w:eastAsia="仿宋_GB2312"/>
          <w:color w:val="auto"/>
          <w:kern w:val="2"/>
          <w:sz w:val="32"/>
          <w:szCs w:val="24"/>
          <w:lang w:val="en-US" w:eastAsia="zh-CN"/>
        </w:rPr>
        <w:t>3</w:t>
      </w:r>
      <w:r>
        <w:rPr>
          <w:rFonts w:hint="eastAsia" w:ascii="仿宋_GB2312" w:hAnsi="仿宋_GB2312" w:eastAsia="仿宋_GB2312"/>
          <w:color w:val="auto"/>
          <w:kern w:val="2"/>
          <w:sz w:val="32"/>
          <w:szCs w:val="24"/>
          <w:lang w:val="en-US" w:eastAsia="zh-CN"/>
        </w:rPr>
        <w:t>．行政事业单位养老支出（款）机关事业单位基本养老保险缴费支出（项）。年初预算</w:t>
      </w:r>
      <w:r>
        <w:rPr>
          <w:rFonts w:hint="default" w:ascii="仿宋_GB2312" w:hAnsi="仿宋_GB2312" w:eastAsia="仿宋_GB2312"/>
          <w:color w:val="auto"/>
          <w:kern w:val="2"/>
          <w:sz w:val="32"/>
          <w:szCs w:val="24"/>
          <w:u w:val="single"/>
          <w:lang w:val="en-US" w:eastAsia="zh-CN"/>
        </w:rPr>
        <w:t>52.62</w:t>
      </w:r>
      <w:r>
        <w:rPr>
          <w:rFonts w:hint="eastAsia" w:ascii="仿宋_GB2312" w:hAnsi="仿宋_GB2312" w:eastAsia="仿宋_GB2312"/>
          <w:color w:val="auto"/>
          <w:kern w:val="2"/>
          <w:sz w:val="32"/>
          <w:szCs w:val="24"/>
          <w:lang w:val="en-US" w:eastAsia="zh-CN"/>
        </w:rPr>
        <w:t>万元，支出决算</w:t>
      </w:r>
      <w:r>
        <w:rPr>
          <w:rFonts w:hint="default" w:ascii="仿宋_GB2312" w:hAnsi="仿宋_GB2312" w:eastAsia="仿宋_GB2312"/>
          <w:color w:val="auto"/>
          <w:kern w:val="2"/>
          <w:sz w:val="32"/>
          <w:szCs w:val="24"/>
          <w:u w:val="single"/>
          <w:lang w:val="en-US" w:eastAsia="zh-CN"/>
        </w:rPr>
        <w:t>76.73</w:t>
      </w:r>
      <w:r>
        <w:rPr>
          <w:rFonts w:hint="eastAsia" w:ascii="仿宋_GB2312" w:hAnsi="仿宋_GB2312" w:eastAsia="仿宋_GB2312"/>
          <w:color w:val="auto"/>
          <w:kern w:val="2"/>
          <w:sz w:val="32"/>
          <w:szCs w:val="24"/>
          <w:lang w:val="en-US" w:eastAsia="zh-CN"/>
        </w:rPr>
        <w:t>万元，完成年初预算的</w:t>
      </w:r>
      <w:r>
        <w:rPr>
          <w:rFonts w:hint="default" w:ascii="仿宋_GB2312" w:hAnsi="仿宋_GB2312" w:eastAsia="仿宋_GB2312"/>
          <w:color w:val="auto"/>
          <w:kern w:val="2"/>
          <w:sz w:val="32"/>
          <w:szCs w:val="24"/>
          <w:u w:val="single"/>
          <w:lang w:val="en-US" w:eastAsia="zh-CN"/>
        </w:rPr>
        <w:t>145.82</w:t>
      </w:r>
      <w:r>
        <w:rPr>
          <w:rFonts w:hint="eastAsia" w:ascii="仿宋_GB2312" w:hAnsi="仿宋_GB2312" w:eastAsia="仿宋_GB2312"/>
          <w:color w:val="auto"/>
          <w:kern w:val="2"/>
          <w:sz w:val="32"/>
          <w:szCs w:val="24"/>
          <w:u w:val="single"/>
          <w:lang w:val="en-US" w:eastAsia="zh-CN"/>
        </w:rPr>
        <w:t>%</w:t>
      </w:r>
      <w:r>
        <w:rPr>
          <w:rFonts w:hint="eastAsia" w:ascii="仿宋_GB2312" w:hAnsi="仿宋_GB2312" w:eastAsia="仿宋_GB2312"/>
          <w:color w:val="auto"/>
          <w:kern w:val="2"/>
          <w:sz w:val="32"/>
          <w:szCs w:val="24"/>
          <w:lang w:val="en-US" w:eastAsia="zh-CN"/>
        </w:rPr>
        <w:t>。决算数与年初预算数的差异原因：</w:t>
      </w:r>
      <w:r>
        <w:rPr>
          <w:rFonts w:hint="default" w:ascii="仿宋_GB2312" w:hAnsi="仿宋_GB2312" w:eastAsia="仿宋_GB2312"/>
          <w:color w:val="auto"/>
          <w:kern w:val="2"/>
          <w:sz w:val="32"/>
          <w:szCs w:val="24"/>
          <w:lang w:val="en-US" w:eastAsia="zh-CN"/>
        </w:rPr>
        <w:t>新增人员缴费等原因</w:t>
      </w:r>
      <w:r>
        <w:rPr>
          <w:rFonts w:hint="eastAsia" w:ascii="仿宋_GB2312" w:hAnsi="仿宋_GB2312" w:eastAsia="仿宋_GB2312"/>
          <w:color w:val="auto"/>
          <w:kern w:val="2"/>
          <w:sz w:val="32"/>
          <w:szCs w:val="24"/>
          <w:lang w:val="en-US" w:eastAsia="zh-CN"/>
        </w:rPr>
        <w:t>。</w:t>
      </w:r>
    </w:p>
    <w:p>
      <w:pPr>
        <w:spacing w:beforeLines="0" w:afterLines="0" w:line="560" w:lineRule="exact"/>
        <w:ind w:firstLine="640"/>
        <w:jc w:val="both"/>
        <w:rPr>
          <w:rFonts w:hint="default" w:ascii="仿宋_GB2312" w:hAnsi="仿宋_GB2312" w:eastAsia="仿宋_GB2312"/>
          <w:color w:val="auto"/>
          <w:kern w:val="2"/>
          <w:sz w:val="32"/>
          <w:szCs w:val="24"/>
          <w:lang w:val="en-US" w:eastAsia="zh-CN"/>
        </w:rPr>
      </w:pPr>
      <w:r>
        <w:rPr>
          <w:rFonts w:hint="default" w:ascii="仿宋_GB2312" w:hAnsi="仿宋_GB2312" w:eastAsia="仿宋_GB2312"/>
          <w:color w:val="auto"/>
          <w:kern w:val="2"/>
          <w:sz w:val="32"/>
          <w:szCs w:val="24"/>
          <w:lang w:val="en-US" w:eastAsia="zh-CN"/>
        </w:rPr>
        <w:t>4</w:t>
      </w:r>
      <w:r>
        <w:rPr>
          <w:rFonts w:hint="eastAsia" w:ascii="仿宋_GB2312" w:hAnsi="仿宋_GB2312" w:eastAsia="仿宋_GB2312"/>
          <w:color w:val="auto"/>
          <w:kern w:val="2"/>
          <w:sz w:val="32"/>
          <w:szCs w:val="24"/>
          <w:lang w:val="en-US" w:eastAsia="zh-CN"/>
        </w:rPr>
        <w:t>．行政事业单位养老支出（款）机关事业单位职业年金缴费支出（项）。年初预算</w:t>
      </w:r>
      <w:r>
        <w:rPr>
          <w:rFonts w:hint="default"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lang w:val="en-US" w:eastAsia="zh-CN"/>
        </w:rPr>
        <w:t>万元，支出决算</w:t>
      </w:r>
      <w:r>
        <w:rPr>
          <w:rFonts w:hint="default" w:ascii="仿宋_GB2312" w:hAnsi="仿宋_GB2312" w:eastAsia="仿宋_GB2312"/>
          <w:color w:val="auto"/>
          <w:kern w:val="2"/>
          <w:sz w:val="32"/>
          <w:szCs w:val="24"/>
          <w:u w:val="single"/>
          <w:lang w:val="en-US" w:eastAsia="zh-CN"/>
        </w:rPr>
        <w:t>0.2</w:t>
      </w:r>
      <w:r>
        <w:rPr>
          <w:rFonts w:hint="eastAsia" w:ascii="仿宋_GB2312" w:hAnsi="仿宋_GB2312" w:eastAsia="仿宋_GB2312"/>
          <w:color w:val="auto"/>
          <w:kern w:val="2"/>
          <w:sz w:val="32"/>
          <w:szCs w:val="24"/>
          <w:lang w:val="en-US" w:eastAsia="zh-CN"/>
        </w:rPr>
        <w:t>万元，完成年初预算的</w:t>
      </w:r>
      <w:r>
        <w:rPr>
          <w:rFonts w:hint="default"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lang w:val="en-US" w:eastAsia="zh-CN"/>
        </w:rPr>
        <w:t>%。决算数与年初预算数的差异原因：调转人员职业年金补息。</w:t>
      </w:r>
    </w:p>
    <w:p>
      <w:pPr>
        <w:spacing w:beforeLines="0" w:afterLines="0" w:line="560" w:lineRule="exact"/>
        <w:ind w:firstLine="640"/>
        <w:jc w:val="both"/>
        <w:rPr>
          <w:rFonts w:hint="eastAsia" w:ascii="仿宋_GB2312" w:hAnsi="仿宋_GB2312" w:eastAsia="仿宋_GB2312"/>
          <w:color w:val="auto"/>
          <w:kern w:val="2"/>
          <w:sz w:val="32"/>
          <w:szCs w:val="24"/>
          <w:lang w:val="en-US" w:eastAsia="zh-CN"/>
        </w:rPr>
      </w:pPr>
      <w:r>
        <w:rPr>
          <w:rFonts w:hint="default" w:ascii="仿宋_GB2312" w:hAnsi="仿宋_GB2312" w:eastAsia="仿宋_GB2312"/>
          <w:color w:val="auto"/>
          <w:kern w:val="2"/>
          <w:sz w:val="32"/>
          <w:szCs w:val="24"/>
          <w:lang w:val="en-US" w:eastAsia="zh-CN"/>
        </w:rPr>
        <w:t>5</w:t>
      </w:r>
      <w:r>
        <w:rPr>
          <w:rFonts w:hint="eastAsia" w:ascii="仿宋_GB2312" w:hAnsi="仿宋_GB2312" w:eastAsia="仿宋_GB2312"/>
          <w:color w:val="auto"/>
          <w:kern w:val="2"/>
          <w:sz w:val="32"/>
          <w:szCs w:val="24"/>
          <w:lang w:val="en-US" w:eastAsia="zh-CN"/>
        </w:rPr>
        <w:t>．抚恤（款）死亡抚恤（项）。年初预算</w:t>
      </w:r>
      <w:r>
        <w:rPr>
          <w:rFonts w:hint="default"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lang w:val="en-US" w:eastAsia="zh-CN"/>
        </w:rPr>
        <w:t>万元，支出决算</w:t>
      </w:r>
      <w:r>
        <w:rPr>
          <w:rFonts w:hint="default" w:ascii="仿宋_GB2312" w:hAnsi="仿宋_GB2312" w:eastAsia="仿宋_GB2312"/>
          <w:color w:val="auto"/>
          <w:kern w:val="2"/>
          <w:sz w:val="32"/>
          <w:szCs w:val="24"/>
          <w:u w:val="single"/>
          <w:lang w:val="en-US" w:eastAsia="zh-CN"/>
        </w:rPr>
        <w:t>5.45</w:t>
      </w:r>
      <w:r>
        <w:rPr>
          <w:rFonts w:hint="eastAsia" w:ascii="仿宋_GB2312" w:hAnsi="仿宋_GB2312" w:eastAsia="仿宋_GB2312"/>
          <w:color w:val="auto"/>
          <w:kern w:val="2"/>
          <w:sz w:val="32"/>
          <w:szCs w:val="24"/>
          <w:lang w:val="en-US" w:eastAsia="zh-CN"/>
        </w:rPr>
        <w:t>万元，完成年初预算的</w:t>
      </w:r>
      <w:r>
        <w:rPr>
          <w:rFonts w:hint="eastAsia" w:ascii="仿宋_GB2312" w:hAnsi="仿宋_GB2312" w:eastAsia="仿宋_GB2312"/>
          <w:color w:val="auto"/>
          <w:kern w:val="2"/>
          <w:sz w:val="32"/>
          <w:szCs w:val="24"/>
          <w:u w:val="single"/>
          <w:lang w:val="en-US" w:eastAsia="zh-CN"/>
        </w:rPr>
        <w:t>100%</w:t>
      </w:r>
      <w:r>
        <w:rPr>
          <w:rFonts w:hint="eastAsia" w:ascii="仿宋_GB2312" w:hAnsi="仿宋_GB2312" w:eastAsia="仿宋_GB2312"/>
          <w:color w:val="auto"/>
          <w:kern w:val="2"/>
          <w:sz w:val="32"/>
          <w:szCs w:val="24"/>
          <w:lang w:val="en-US" w:eastAsia="zh-CN"/>
        </w:rPr>
        <w:t>。决算数与年初预算数的差异原因：</w:t>
      </w:r>
      <w:r>
        <w:rPr>
          <w:rFonts w:hint="default" w:ascii="仿宋_GB2312" w:hAnsi="仿宋_GB2312" w:eastAsia="仿宋_GB2312"/>
          <w:color w:val="auto"/>
          <w:kern w:val="2"/>
          <w:sz w:val="32"/>
          <w:szCs w:val="24"/>
          <w:lang w:val="en-US" w:eastAsia="zh-CN"/>
        </w:rPr>
        <w:t>单位退休职工死亡抚恤金等。</w:t>
      </w:r>
    </w:p>
    <w:p>
      <w:pPr>
        <w:tabs>
          <w:tab w:val="left" w:pos="4275"/>
        </w:tab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（四）卫生健康支出（类）</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卫生健康支出类决算数为</w:t>
      </w:r>
      <w:r>
        <w:rPr>
          <w:rFonts w:hint="default" w:ascii="Times New Roman" w:hAnsi="Times New Roman" w:eastAsia="Times New Roman"/>
          <w:color w:val="auto"/>
          <w:kern w:val="2"/>
          <w:sz w:val="32"/>
          <w:szCs w:val="24"/>
          <w:u w:val="single"/>
        </w:rPr>
        <w:t>50.33</w:t>
      </w:r>
      <w:r>
        <w:rPr>
          <w:rFonts w:hint="eastAsia" w:ascii="仿宋_GB2312" w:hAnsi="仿宋_GB2312" w:eastAsia="仿宋_GB2312"/>
          <w:color w:val="auto"/>
          <w:kern w:val="2"/>
          <w:sz w:val="32"/>
          <w:szCs w:val="24"/>
        </w:rPr>
        <w:t>万元，与年初预算相比增加</w:t>
      </w:r>
      <w:r>
        <w:rPr>
          <w:rFonts w:hint="default" w:ascii="Times New Roman" w:hAnsi="Times New Roman" w:eastAsia="Times New Roman"/>
          <w:color w:val="auto"/>
          <w:kern w:val="2"/>
          <w:sz w:val="32"/>
          <w:szCs w:val="24"/>
          <w:u w:val="single"/>
        </w:rPr>
        <w:t>17.84</w:t>
      </w:r>
      <w:r>
        <w:rPr>
          <w:rFonts w:hint="eastAsia" w:ascii="仿宋_GB2312" w:hAnsi="仿宋_GB2312" w:eastAsia="仿宋_GB2312"/>
          <w:color w:val="auto"/>
          <w:kern w:val="2"/>
          <w:sz w:val="32"/>
          <w:szCs w:val="24"/>
        </w:rPr>
        <w:t>万元。其中：</w:t>
      </w:r>
    </w:p>
    <w:p>
      <w:pPr>
        <w:numPr>
          <w:ilvl w:val="0"/>
          <w:numId w:val="1"/>
        </w:numPr>
        <w:spacing w:beforeLines="0" w:afterLines="0" w:line="560" w:lineRule="exact"/>
        <w:ind w:firstLine="640"/>
        <w:jc w:val="both"/>
        <w:rPr>
          <w:rFonts w:hint="eastAsia" w:ascii="仿宋" w:hAnsi="Times New Roman" w:eastAsia="仿宋" w:cs="仿宋"/>
          <w:color w:val="auto"/>
          <w:sz w:val="32"/>
          <w:szCs w:val="32"/>
          <w:lang w:eastAsia="zh-CN"/>
        </w:rPr>
      </w:pPr>
      <w:r>
        <w:rPr>
          <w:rFonts w:hint="eastAsia" w:ascii="仿宋_GB2312" w:hAnsi="仿宋_GB2312" w:eastAsia="仿宋_GB2312"/>
          <w:color w:val="auto"/>
          <w:kern w:val="2"/>
          <w:sz w:val="32"/>
          <w:szCs w:val="24"/>
        </w:rPr>
        <w:t>行政事业单位医疗（款）行政单位医疗（项）。年初预算</w:t>
      </w:r>
      <w:r>
        <w:rPr>
          <w:rFonts w:hint="default" w:ascii="宋体" w:hAnsi="Times New Roman" w:eastAsia="宋体"/>
          <w:color w:val="auto"/>
          <w:kern w:val="2"/>
          <w:sz w:val="32"/>
          <w:szCs w:val="24"/>
          <w:u w:val="single"/>
          <w:lang w:val="en-US" w:eastAsia="zh-CN"/>
        </w:rPr>
        <w:t>32.49</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35.33</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108.74</w:t>
      </w:r>
      <w:r>
        <w:rPr>
          <w:rFonts w:hint="eastAsia" w:ascii="仿宋_GB2312" w:hAnsi="仿宋_GB2312" w:eastAsia="仿宋_GB2312"/>
          <w:color w:val="auto"/>
          <w:kern w:val="2"/>
          <w:sz w:val="32"/>
          <w:szCs w:val="24"/>
        </w:rPr>
        <w:t>%。决算数与年初预算数的差异原因：</w:t>
      </w:r>
      <w:r>
        <w:rPr>
          <w:rFonts w:hint="default" w:ascii="仿宋_GB2312" w:hAnsi="仿宋" w:eastAsia="仿宋_GB2312"/>
          <w:color w:val="auto"/>
          <w:sz w:val="32"/>
          <w:szCs w:val="24"/>
          <w:lang w:val="en-US" w:eastAsia="zh-CN"/>
        </w:rPr>
        <w:t>新增人员缴费</w:t>
      </w:r>
      <w:r>
        <w:rPr>
          <w:rFonts w:hint="default" w:ascii="仿宋_GB2312" w:hAnsi="仿宋" w:eastAsia="仿宋_GB2312"/>
          <w:color w:val="auto"/>
          <w:sz w:val="32"/>
          <w:szCs w:val="24"/>
          <w:lang w:eastAsia="zh-CN"/>
        </w:rPr>
        <w:t>等原因</w:t>
      </w:r>
      <w:r>
        <w:rPr>
          <w:rFonts w:hint="eastAsia" w:ascii="仿宋" w:hAnsi="Times New Roman" w:eastAsia="仿宋" w:cs="仿宋"/>
          <w:color w:val="auto"/>
          <w:sz w:val="32"/>
          <w:szCs w:val="32"/>
          <w:lang w:eastAsia="zh-CN"/>
        </w:rPr>
        <w:t>。</w:t>
      </w:r>
    </w:p>
    <w:p>
      <w:pPr>
        <w:spacing w:beforeLines="0" w:afterLines="0" w:line="560" w:lineRule="exact"/>
        <w:ind w:firstLine="640"/>
        <w:jc w:val="both"/>
        <w:rPr>
          <w:rFonts w:hint="default" w:ascii="Times New Roman" w:hAnsi="Times New Roman" w:eastAsia="Times New Roman"/>
          <w:b/>
          <w:color w:val="auto"/>
          <w:kern w:val="2"/>
          <w:sz w:val="32"/>
          <w:szCs w:val="24"/>
        </w:rPr>
      </w:pPr>
      <w:r>
        <w:rPr>
          <w:rFonts w:hint="default" w:ascii="宋体" w:hAnsi="Times New Roman" w:eastAsia="宋体"/>
          <w:color w:val="auto"/>
          <w:kern w:val="2"/>
          <w:sz w:val="32"/>
          <w:szCs w:val="24"/>
          <w:lang w:val="en-US" w:eastAsia="zh-CN"/>
        </w:rPr>
        <w:t>2</w:t>
      </w:r>
      <w:r>
        <w:rPr>
          <w:rFonts w:hint="eastAsia" w:ascii="仿宋_GB2312" w:hAnsi="仿宋_GB2312" w:eastAsia="仿宋_GB2312"/>
          <w:color w:val="auto"/>
          <w:kern w:val="2"/>
          <w:sz w:val="32"/>
          <w:szCs w:val="24"/>
        </w:rPr>
        <w:t>．公共卫生（款）突发公共卫生事件应急处理（项）。年初预算</w:t>
      </w:r>
      <w:r>
        <w:rPr>
          <w:rFonts w:hint="default" w:ascii="宋体"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default" w:ascii="宋体" w:hAnsi="Times New Roman" w:eastAsia="宋体"/>
          <w:color w:val="auto"/>
          <w:kern w:val="2"/>
          <w:sz w:val="32"/>
          <w:szCs w:val="24"/>
          <w:u w:val="single"/>
          <w:lang w:val="en-US" w:eastAsia="zh-CN"/>
        </w:rPr>
        <w:t>15</w:t>
      </w:r>
      <w:r>
        <w:rPr>
          <w:rFonts w:hint="eastAsia" w:ascii="仿宋_GB2312" w:hAnsi="仿宋_GB2312" w:eastAsia="仿宋_GB2312"/>
          <w:color w:val="auto"/>
          <w:kern w:val="2"/>
          <w:sz w:val="32"/>
          <w:szCs w:val="24"/>
        </w:rPr>
        <w:t>万元，完成年初预算的</w:t>
      </w:r>
      <w:r>
        <w:rPr>
          <w:rFonts w:hint="eastAsia" w:ascii="仿宋_GB2312" w:hAnsi="仿宋_GB2312" w:eastAsia="仿宋_GB2312"/>
          <w:color w:val="auto"/>
          <w:kern w:val="2"/>
          <w:sz w:val="32"/>
          <w:szCs w:val="24"/>
          <w:u w:val="single"/>
          <w:lang w:val="en-US" w:eastAsia="zh-CN"/>
        </w:rPr>
        <w:t>100</w:t>
      </w:r>
      <w:r>
        <w:rPr>
          <w:rFonts w:hint="eastAsia" w:ascii="仿宋_GB2312" w:hAnsi="仿宋_GB2312" w:eastAsia="仿宋_GB2312"/>
          <w:color w:val="auto"/>
          <w:kern w:val="2"/>
          <w:sz w:val="32"/>
          <w:szCs w:val="24"/>
          <w:u w:val="single"/>
        </w:rPr>
        <w:t>%</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s="Times New Roman"/>
          <w:color w:val="auto"/>
          <w:kern w:val="2"/>
          <w:sz w:val="32"/>
          <w:szCs w:val="24"/>
        </w:rPr>
        <w:t>应急救灾资金</w:t>
      </w:r>
      <w:r>
        <w:rPr>
          <w:rFonts w:hint="eastAsia" w:ascii="仿宋_GB2312" w:hAnsi="仿宋_GB2312" w:eastAsia="仿宋_GB2312"/>
          <w:color w:val="auto"/>
          <w:kern w:val="2"/>
          <w:sz w:val="32"/>
          <w:szCs w:val="24"/>
        </w:rPr>
        <w:t>。</w:t>
      </w:r>
    </w:p>
    <w:p>
      <w:pPr>
        <w:numPr>
          <w:ilvl w:val="0"/>
          <w:numId w:val="0"/>
        </w:numPr>
        <w:spacing w:beforeLines="0" w:afterLines="0" w:line="560" w:lineRule="exact"/>
        <w:ind w:firstLine="640" w:firstLineChars="200"/>
        <w:jc w:val="both"/>
        <w:rPr>
          <w:rFonts w:hint="eastAsia" w:ascii="仿宋_GB2312" w:hAnsi="仿宋_GB2312" w:eastAsia="仿宋_GB2312"/>
          <w:color w:val="auto"/>
          <w:kern w:val="2"/>
          <w:sz w:val="32"/>
          <w:szCs w:val="24"/>
        </w:rPr>
      </w:pPr>
      <w:r>
        <w:rPr>
          <w:rFonts w:hint="default" w:ascii="宋体" w:hAnsi="Times New Roman" w:eastAsia="宋体"/>
          <w:color w:val="auto"/>
          <w:kern w:val="2"/>
          <w:sz w:val="32"/>
          <w:szCs w:val="24"/>
          <w:lang w:val="en-US" w:eastAsia="zh-CN"/>
        </w:rPr>
        <w:t>3</w:t>
      </w:r>
      <w:r>
        <w:rPr>
          <w:rFonts w:hint="eastAsia" w:ascii="仿宋_GB2312" w:hAnsi="仿宋_GB2312" w:eastAsia="仿宋_GB2312"/>
          <w:color w:val="auto"/>
          <w:kern w:val="2"/>
          <w:sz w:val="32"/>
          <w:szCs w:val="24"/>
        </w:rPr>
        <w:t>．行政事业单位医疗（款）事业单位医疗（项）。年初预算</w:t>
      </w:r>
      <w:r>
        <w:rPr>
          <w:rFonts w:hint="default" w:ascii="宋体"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s="Times New Roman"/>
          <w:color w:val="auto"/>
          <w:kern w:val="2"/>
          <w:sz w:val="32"/>
          <w:szCs w:val="24"/>
        </w:rPr>
        <w:t>不存在此项内容</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lang w:val="en-US" w:eastAsia="zh-CN"/>
        </w:rPr>
        <w:t>4</w:t>
      </w:r>
      <w:r>
        <w:rPr>
          <w:rFonts w:hint="eastAsia" w:ascii="仿宋_GB2312" w:hAnsi="仿宋_GB2312" w:eastAsia="仿宋_GB2312"/>
          <w:color w:val="auto"/>
          <w:kern w:val="2"/>
          <w:sz w:val="32"/>
          <w:szCs w:val="24"/>
        </w:rPr>
        <w:t>．行政事业单位医疗（款）公务员医疗补助（项）。年初预算</w:t>
      </w:r>
      <w:r>
        <w:rPr>
          <w:rFonts w:hint="default" w:ascii="宋体"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s="Times New Roman"/>
          <w:color w:val="auto"/>
          <w:kern w:val="2"/>
          <w:sz w:val="32"/>
          <w:szCs w:val="24"/>
        </w:rPr>
        <w:t>不存在此项内容</w:t>
      </w:r>
      <w:r>
        <w:rPr>
          <w:rFonts w:hint="eastAsia" w:ascii="仿宋_GB2312" w:hAnsi="仿宋_GB2312" w:eastAsia="仿宋_GB2312"/>
          <w:color w:val="auto"/>
          <w:kern w:val="2"/>
          <w:sz w:val="32"/>
          <w:szCs w:val="24"/>
        </w:rPr>
        <w:t>。</w:t>
      </w:r>
    </w:p>
    <w:p>
      <w:pPr>
        <w:tabs>
          <w:tab w:val="left" w:pos="4275"/>
        </w:tabs>
        <w:spacing w:beforeLines="0" w:afterLines="0" w:line="560" w:lineRule="exact"/>
        <w:ind w:firstLine="643"/>
        <w:jc w:val="both"/>
        <w:rPr>
          <w:rFonts w:hint="eastAsia" w:ascii="楷体" w:hAnsi="楷体" w:eastAsia="楷体" w:cs="Times New Roman"/>
          <w:b/>
          <w:color w:val="auto"/>
          <w:kern w:val="2"/>
          <w:sz w:val="32"/>
          <w:szCs w:val="24"/>
          <w:lang w:val="en-US" w:eastAsia="zh-CN"/>
        </w:rPr>
      </w:pPr>
      <w:r>
        <w:rPr>
          <w:rFonts w:hint="eastAsia" w:ascii="楷体" w:hAnsi="楷体" w:eastAsia="楷体" w:cs="Times New Roman"/>
          <w:b/>
          <w:color w:val="auto"/>
          <w:kern w:val="2"/>
          <w:sz w:val="32"/>
          <w:szCs w:val="24"/>
          <w:lang w:val="en-US" w:eastAsia="zh-CN"/>
        </w:rPr>
        <w:t>（五）城乡社区类</w:t>
      </w:r>
    </w:p>
    <w:p>
      <w:pPr>
        <w:spacing w:beforeLines="0" w:afterLines="0" w:line="560" w:lineRule="exact"/>
        <w:ind w:firstLine="640"/>
        <w:jc w:val="both"/>
        <w:rPr>
          <w:rFonts w:hint="eastAsia" w:ascii="仿宋" w:hAnsi="Times New Roman" w:eastAsia="仿宋" w:cs="仿宋"/>
          <w:color w:val="auto"/>
          <w:sz w:val="32"/>
          <w:szCs w:val="32"/>
          <w:lang w:eastAsia="zh-CN"/>
        </w:rPr>
      </w:pPr>
      <w:r>
        <w:rPr>
          <w:rFonts w:hint="eastAsia" w:ascii="仿宋" w:hAnsi="Times New Roman" w:eastAsia="仿宋" w:cs="仿宋"/>
          <w:color w:val="auto"/>
          <w:sz w:val="32"/>
          <w:szCs w:val="32"/>
          <w:lang w:val="en-US" w:eastAsia="zh-CN"/>
        </w:rPr>
        <w:t>1.</w:t>
      </w:r>
      <w:r>
        <w:rPr>
          <w:rFonts w:hint="eastAsia" w:ascii="仿宋" w:hAnsi="Times New Roman" w:eastAsia="仿宋" w:cs="仿宋"/>
          <w:color w:val="auto"/>
          <w:sz w:val="32"/>
          <w:szCs w:val="32"/>
          <w:lang w:eastAsia="zh-CN"/>
        </w:rPr>
        <w:t>城乡社区管理事务</w:t>
      </w:r>
      <w:r>
        <w:rPr>
          <w:rFonts w:hint="eastAsia" w:ascii="仿宋_GB2312" w:hAnsi="仿宋_GB2312" w:eastAsia="仿宋_GB2312"/>
          <w:color w:val="auto"/>
          <w:kern w:val="2"/>
          <w:sz w:val="32"/>
          <w:szCs w:val="24"/>
        </w:rPr>
        <w:t>（款） 城管执法（项）。年初预算</w:t>
      </w:r>
      <w:r>
        <w:rPr>
          <w:rFonts w:hint="default" w:ascii="宋体" w:hAnsi="Times New Roman" w:eastAsia="宋体"/>
          <w:color w:val="auto"/>
          <w:kern w:val="2"/>
          <w:sz w:val="32"/>
          <w:szCs w:val="24"/>
          <w:u w:val="single"/>
          <w:lang w:val="en-US" w:eastAsia="zh-CN"/>
        </w:rPr>
        <w:t>69.55</w:t>
      </w:r>
      <w:r>
        <w:rPr>
          <w:rFonts w:hint="eastAsia" w:ascii="仿宋_GB2312" w:hAnsi="仿宋_GB2312" w:eastAsia="仿宋_GB2312"/>
          <w:color w:val="auto"/>
          <w:kern w:val="2"/>
          <w:sz w:val="32"/>
          <w:szCs w:val="24"/>
        </w:rPr>
        <w:t>万元，支出决算</w:t>
      </w:r>
      <w:r>
        <w:rPr>
          <w:rFonts w:hint="default" w:ascii="宋体" w:hAnsi="Times New Roman" w:eastAsia="宋体"/>
          <w:color w:val="auto"/>
          <w:kern w:val="2"/>
          <w:sz w:val="32"/>
          <w:szCs w:val="24"/>
          <w:u w:val="single"/>
          <w:lang w:val="en-US" w:eastAsia="zh-CN"/>
        </w:rPr>
        <w:t>88.98</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127.94</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s="Times New Roman"/>
          <w:color w:val="auto"/>
          <w:kern w:val="2"/>
          <w:sz w:val="32"/>
          <w:szCs w:val="24"/>
          <w:lang w:val="en-US" w:eastAsia="zh-CN"/>
        </w:rPr>
        <w:t>本年度正常变动</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仿宋" w:hAnsi="Times New Roman" w:eastAsia="仿宋_GB2312" w:cs="仿宋"/>
          <w:b/>
          <w:color w:val="auto"/>
          <w:sz w:val="32"/>
          <w:szCs w:val="32"/>
          <w:lang w:val="en-US" w:eastAsia="zh-CN"/>
        </w:rPr>
      </w:pPr>
      <w:r>
        <w:rPr>
          <w:rFonts w:hint="eastAsia" w:ascii="仿宋" w:hAnsi="Times New Roman" w:eastAsia="仿宋" w:cs="仿宋"/>
          <w:color w:val="auto"/>
          <w:sz w:val="32"/>
          <w:szCs w:val="32"/>
          <w:lang w:val="en-US" w:eastAsia="zh-CN"/>
        </w:rPr>
        <w:t>2.</w:t>
      </w:r>
      <w:r>
        <w:rPr>
          <w:rFonts w:hint="eastAsia" w:ascii="仿宋" w:hAnsi="Times New Roman" w:eastAsia="仿宋" w:cs="仿宋"/>
          <w:color w:val="auto"/>
          <w:sz w:val="32"/>
          <w:szCs w:val="32"/>
          <w:lang w:eastAsia="zh-CN"/>
        </w:rPr>
        <w:t>城乡社区规划与管理</w:t>
      </w:r>
      <w:r>
        <w:rPr>
          <w:rFonts w:hint="eastAsia" w:ascii="仿宋_GB2312" w:hAnsi="仿宋_GB2312" w:eastAsia="仿宋_GB2312"/>
          <w:color w:val="auto"/>
          <w:kern w:val="2"/>
          <w:sz w:val="32"/>
          <w:szCs w:val="24"/>
        </w:rPr>
        <w:t>（款）城乡社区规划与管理（项）。年初预算</w:t>
      </w:r>
      <w:r>
        <w:rPr>
          <w:rFonts w:hint="default" w:ascii="宋体" w:hAnsi="Times New Roman" w:eastAsia="宋体"/>
          <w:color w:val="auto"/>
          <w:kern w:val="2"/>
          <w:sz w:val="32"/>
          <w:szCs w:val="24"/>
          <w:u w:val="single"/>
          <w:lang w:val="en-US" w:eastAsia="zh-CN"/>
        </w:rPr>
        <w:t>27.02</w:t>
      </w:r>
      <w:r>
        <w:rPr>
          <w:rFonts w:hint="eastAsia" w:ascii="仿宋_GB2312" w:hAnsi="仿宋_GB2312" w:eastAsia="仿宋_GB2312"/>
          <w:color w:val="auto"/>
          <w:kern w:val="2"/>
          <w:sz w:val="32"/>
          <w:szCs w:val="24"/>
        </w:rPr>
        <w:t>万元，支出决算</w:t>
      </w:r>
      <w:r>
        <w:rPr>
          <w:rFonts w:hint="default" w:ascii="宋体" w:hAnsi="Times New Roman" w:eastAsia="宋体"/>
          <w:color w:val="auto"/>
          <w:kern w:val="2"/>
          <w:sz w:val="32"/>
          <w:szCs w:val="24"/>
          <w:u w:val="single"/>
          <w:lang w:val="en-US" w:eastAsia="zh-CN"/>
        </w:rPr>
        <w:t>24.23</w:t>
      </w:r>
      <w:r>
        <w:rPr>
          <w:rFonts w:hint="eastAsia" w:ascii="仿宋_GB2312" w:hAnsi="仿宋_GB2312" w:eastAsia="仿宋_GB2312"/>
          <w:color w:val="auto"/>
          <w:kern w:val="2"/>
          <w:sz w:val="32"/>
          <w:szCs w:val="24"/>
        </w:rPr>
        <w:t>万元，完成年初预算的</w:t>
      </w:r>
      <w:r>
        <w:rPr>
          <w:rFonts w:hint="default" w:ascii="宋体" w:hAnsi="Times New Roman" w:eastAsia="宋体"/>
          <w:color w:val="auto"/>
          <w:kern w:val="2"/>
          <w:sz w:val="32"/>
          <w:szCs w:val="24"/>
          <w:u w:val="single"/>
          <w:lang w:val="en-US" w:eastAsia="zh-CN"/>
        </w:rPr>
        <w:t>89.67</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社区经费结余。</w:t>
      </w:r>
    </w:p>
    <w:p>
      <w:pPr>
        <w:tabs>
          <w:tab w:val="left" w:pos="4275"/>
        </w:tabs>
        <w:spacing w:beforeLines="0" w:afterLines="0" w:line="560" w:lineRule="exact"/>
        <w:ind w:firstLine="643"/>
        <w:jc w:val="both"/>
        <w:rPr>
          <w:rFonts w:hint="eastAsia" w:ascii="楷体" w:hAnsi="楷体" w:eastAsia="楷体" w:cs="Times New Roman"/>
          <w:b/>
          <w:color w:val="auto"/>
          <w:kern w:val="2"/>
          <w:sz w:val="32"/>
          <w:szCs w:val="24"/>
          <w:lang w:val="en-US" w:eastAsia="zh-CN"/>
        </w:rPr>
      </w:pPr>
      <w:r>
        <w:rPr>
          <w:rFonts w:hint="eastAsia" w:ascii="楷体" w:hAnsi="楷体" w:eastAsia="楷体" w:cs="Times New Roman"/>
          <w:b/>
          <w:color w:val="auto"/>
          <w:kern w:val="2"/>
          <w:sz w:val="32"/>
          <w:szCs w:val="24"/>
          <w:lang w:val="en-US" w:eastAsia="zh-CN"/>
        </w:rPr>
        <w:t>（六）农林水类</w:t>
      </w:r>
    </w:p>
    <w:p>
      <w:pPr>
        <w:spacing w:beforeLines="0" w:afterLines="0" w:line="560" w:lineRule="exact"/>
        <w:ind w:firstLine="640"/>
        <w:jc w:val="both"/>
        <w:rPr>
          <w:rFonts w:hint="eastAsia" w:ascii="仿宋" w:hAnsi="Times New Roman" w:eastAsia="仿宋" w:cs="仿宋"/>
          <w:color w:val="auto"/>
          <w:sz w:val="32"/>
          <w:szCs w:val="32"/>
          <w:lang w:val="en-US" w:eastAsia="zh-CN"/>
        </w:rPr>
      </w:pPr>
      <w:r>
        <w:rPr>
          <w:rFonts w:hint="eastAsia" w:ascii="仿宋" w:hAnsi="Times New Roman" w:eastAsia="仿宋" w:cs="仿宋"/>
          <w:color w:val="auto"/>
          <w:sz w:val="32"/>
          <w:szCs w:val="32"/>
          <w:lang w:val="en-US" w:eastAsia="zh-CN"/>
        </w:rPr>
        <w:t>1.农业农村（款）事业运行（项）。年初预算</w:t>
      </w:r>
      <w:r>
        <w:rPr>
          <w:rFonts w:hint="default" w:ascii="仿宋" w:hAnsi="Times New Roman" w:eastAsia="仿宋" w:cs="仿宋"/>
          <w:color w:val="auto"/>
          <w:sz w:val="32"/>
          <w:szCs w:val="32"/>
          <w:u w:val="single"/>
          <w:lang w:val="en-US" w:eastAsia="zh-CN"/>
        </w:rPr>
        <w:t>84.07</w:t>
      </w:r>
      <w:r>
        <w:rPr>
          <w:rFonts w:hint="eastAsia" w:ascii="仿宋" w:hAnsi="Times New Roman" w:eastAsia="仿宋" w:cs="仿宋"/>
          <w:color w:val="auto"/>
          <w:sz w:val="32"/>
          <w:szCs w:val="32"/>
          <w:lang w:val="en-US" w:eastAsia="zh-CN"/>
        </w:rPr>
        <w:t>万元，决算支出</w:t>
      </w:r>
      <w:r>
        <w:rPr>
          <w:rFonts w:hint="default" w:ascii="仿宋" w:hAnsi="Times New Roman" w:eastAsia="仿宋" w:cs="仿宋"/>
          <w:color w:val="auto"/>
          <w:sz w:val="32"/>
          <w:szCs w:val="32"/>
          <w:u w:val="single"/>
          <w:lang w:val="en-US" w:eastAsia="zh-CN"/>
        </w:rPr>
        <w:t>89.72</w:t>
      </w:r>
      <w:r>
        <w:rPr>
          <w:rFonts w:hint="eastAsia" w:ascii="仿宋" w:hAnsi="Times New Roman" w:eastAsia="仿宋" w:cs="仿宋"/>
          <w:color w:val="auto"/>
          <w:sz w:val="32"/>
          <w:szCs w:val="32"/>
          <w:lang w:val="en-US" w:eastAsia="zh-CN"/>
        </w:rPr>
        <w:t>万元，完成年初预算的</w:t>
      </w:r>
      <w:r>
        <w:rPr>
          <w:rFonts w:hint="default" w:ascii="仿宋" w:hAnsi="Times New Roman" w:eastAsia="仿宋" w:cs="仿宋"/>
          <w:color w:val="auto"/>
          <w:sz w:val="32"/>
          <w:szCs w:val="32"/>
          <w:u w:val="single"/>
          <w:lang w:val="en-US" w:eastAsia="zh-CN"/>
        </w:rPr>
        <w:t>10</w:t>
      </w:r>
      <w:bookmarkStart w:id="0" w:name="_GoBack"/>
      <w:bookmarkEnd w:id="0"/>
      <w:r>
        <w:rPr>
          <w:rFonts w:hint="default" w:ascii="仿宋" w:hAnsi="Times New Roman" w:eastAsia="仿宋" w:cs="仿宋"/>
          <w:color w:val="auto"/>
          <w:sz w:val="32"/>
          <w:szCs w:val="32"/>
          <w:u w:val="single"/>
          <w:lang w:val="en-US" w:eastAsia="zh-CN"/>
        </w:rPr>
        <w:t>6.72</w:t>
      </w:r>
      <w:r>
        <w:rPr>
          <w:rFonts w:hint="eastAsia" w:ascii="仿宋" w:hAnsi="Times New Roman" w:eastAsia="仿宋" w:cs="仿宋"/>
          <w:color w:val="auto"/>
          <w:sz w:val="32"/>
          <w:szCs w:val="32"/>
          <w:u w:val="single"/>
          <w:lang w:val="en-US" w:eastAsia="zh-CN"/>
        </w:rPr>
        <w:t>%</w:t>
      </w:r>
      <w:r>
        <w:rPr>
          <w:rFonts w:hint="eastAsia" w:ascii="仿宋" w:hAnsi="Times New Roman" w:eastAsia="仿宋" w:cs="仿宋"/>
          <w:color w:val="auto"/>
          <w:sz w:val="32"/>
          <w:szCs w:val="32"/>
          <w:lang w:val="en-US" w:eastAsia="zh-CN"/>
        </w:rPr>
        <w:t>。决算数与年初预算数的差异原因：</w:t>
      </w:r>
      <w:r>
        <w:rPr>
          <w:rFonts w:hint="default" w:ascii="仿宋" w:hAnsi="Times New Roman" w:eastAsia="仿宋" w:cs="仿宋"/>
          <w:color w:val="auto"/>
          <w:sz w:val="32"/>
          <w:szCs w:val="32"/>
          <w:lang w:val="en-US" w:eastAsia="zh-CN"/>
        </w:rPr>
        <w:t>人员工资变化等原因</w:t>
      </w:r>
      <w:r>
        <w:rPr>
          <w:rFonts w:hint="eastAsia" w:ascii="仿宋" w:hAnsi="Times New Roman" w:eastAsia="仿宋" w:cs="仿宋"/>
          <w:color w:val="auto"/>
          <w:sz w:val="32"/>
          <w:szCs w:val="32"/>
          <w:lang w:val="en-US" w:eastAsia="zh-CN"/>
        </w:rPr>
        <w:t>。</w:t>
      </w:r>
    </w:p>
    <w:p>
      <w:pPr>
        <w:spacing w:beforeLines="0" w:afterLines="0" w:line="560" w:lineRule="exact"/>
        <w:ind w:firstLine="640"/>
        <w:jc w:val="both"/>
        <w:rPr>
          <w:rFonts w:hint="eastAsia" w:ascii="仿宋" w:hAnsi="Times New Roman" w:eastAsia="仿宋" w:cs="仿宋"/>
          <w:color w:val="auto"/>
          <w:sz w:val="32"/>
          <w:szCs w:val="32"/>
          <w:lang w:val="en-US" w:eastAsia="zh-CN"/>
        </w:rPr>
      </w:pPr>
      <w:r>
        <w:rPr>
          <w:rFonts w:hint="eastAsia" w:ascii="仿宋" w:hAnsi="Times New Roman" w:eastAsia="仿宋" w:cs="仿宋"/>
          <w:color w:val="auto"/>
          <w:sz w:val="32"/>
          <w:szCs w:val="32"/>
          <w:lang w:val="en-US" w:eastAsia="zh-CN"/>
        </w:rPr>
        <w:t>2.农业农村（款）稳定农民收入补贴（项）。年初预算</w:t>
      </w:r>
      <w:r>
        <w:rPr>
          <w:rFonts w:hint="eastAsia" w:ascii="仿宋" w:hAnsi="Times New Roman" w:eastAsia="仿宋" w:cs="仿宋"/>
          <w:color w:val="auto"/>
          <w:sz w:val="32"/>
          <w:szCs w:val="32"/>
          <w:u w:val="single"/>
          <w:lang w:val="en-US" w:eastAsia="zh-CN"/>
        </w:rPr>
        <w:t>0.50</w:t>
      </w:r>
      <w:r>
        <w:rPr>
          <w:rFonts w:hint="eastAsia" w:ascii="仿宋" w:hAnsi="Times New Roman" w:eastAsia="仿宋" w:cs="仿宋"/>
          <w:color w:val="auto"/>
          <w:sz w:val="32"/>
          <w:szCs w:val="32"/>
          <w:lang w:val="en-US" w:eastAsia="zh-CN"/>
        </w:rPr>
        <w:t>万元，决算支出</w:t>
      </w:r>
      <w:r>
        <w:rPr>
          <w:rFonts w:hint="eastAsia" w:ascii="仿宋" w:hAnsi="Times New Roman" w:eastAsia="仿宋" w:cs="仿宋"/>
          <w:color w:val="auto"/>
          <w:sz w:val="32"/>
          <w:szCs w:val="32"/>
          <w:u w:val="single"/>
          <w:lang w:val="en-US" w:eastAsia="zh-CN"/>
        </w:rPr>
        <w:t>0.50</w:t>
      </w:r>
      <w:r>
        <w:rPr>
          <w:rFonts w:hint="eastAsia" w:ascii="仿宋" w:hAnsi="Times New Roman" w:eastAsia="仿宋" w:cs="仿宋"/>
          <w:color w:val="auto"/>
          <w:sz w:val="32"/>
          <w:szCs w:val="32"/>
          <w:lang w:val="en-US" w:eastAsia="zh-CN"/>
        </w:rPr>
        <w:t>万元，完成年初预算的</w:t>
      </w:r>
      <w:r>
        <w:rPr>
          <w:rFonts w:hint="eastAsia" w:ascii="仿宋" w:hAnsi="Times New Roman" w:eastAsia="仿宋" w:cs="仿宋"/>
          <w:color w:val="auto"/>
          <w:sz w:val="32"/>
          <w:szCs w:val="32"/>
          <w:u w:val="single"/>
          <w:lang w:val="en-US" w:eastAsia="zh-CN"/>
        </w:rPr>
        <w:t>100%</w:t>
      </w:r>
      <w:r>
        <w:rPr>
          <w:rFonts w:hint="eastAsia" w:ascii="仿宋" w:hAnsi="Times New Roman" w:eastAsia="仿宋" w:cs="仿宋"/>
          <w:color w:val="auto"/>
          <w:sz w:val="32"/>
          <w:szCs w:val="32"/>
          <w:lang w:val="en-US" w:eastAsia="zh-CN"/>
        </w:rPr>
        <w:t>。决算数与年初预算数的差异原因：无。</w:t>
      </w:r>
    </w:p>
    <w:p>
      <w:pPr>
        <w:spacing w:beforeLines="0" w:afterLines="0" w:line="560" w:lineRule="exact"/>
        <w:ind w:firstLine="640"/>
        <w:jc w:val="both"/>
        <w:rPr>
          <w:rFonts w:hint="eastAsia" w:ascii="仿宋" w:hAnsi="Times New Roman" w:eastAsia="仿宋" w:cs="仿宋"/>
          <w:color w:val="auto"/>
          <w:sz w:val="32"/>
          <w:szCs w:val="32"/>
          <w:lang w:val="en-US" w:eastAsia="zh-CN"/>
        </w:rPr>
      </w:pPr>
      <w:r>
        <w:rPr>
          <w:rFonts w:hint="eastAsia" w:ascii="仿宋" w:hAnsi="Times New Roman" w:eastAsia="仿宋" w:cs="仿宋"/>
          <w:color w:val="auto"/>
          <w:sz w:val="32"/>
          <w:szCs w:val="32"/>
          <w:lang w:val="en-US" w:eastAsia="zh-CN"/>
        </w:rPr>
        <w:t>3.巩固脱贫衔接乡村振兴（款）农村基础设施建设（项）。年初预算</w:t>
      </w:r>
      <w:r>
        <w:rPr>
          <w:rFonts w:hint="eastAsia" w:ascii="仿宋" w:hAnsi="Times New Roman" w:eastAsia="仿宋" w:cs="仿宋"/>
          <w:color w:val="auto"/>
          <w:sz w:val="32"/>
          <w:szCs w:val="32"/>
          <w:u w:val="single"/>
          <w:lang w:val="en-US" w:eastAsia="zh-CN"/>
        </w:rPr>
        <w:t>0</w:t>
      </w:r>
      <w:r>
        <w:rPr>
          <w:rFonts w:hint="eastAsia" w:ascii="仿宋" w:hAnsi="Times New Roman" w:eastAsia="仿宋" w:cs="仿宋"/>
          <w:color w:val="auto"/>
          <w:sz w:val="32"/>
          <w:szCs w:val="32"/>
          <w:lang w:val="en-US" w:eastAsia="zh-CN"/>
        </w:rPr>
        <w:t>万元，决算支出</w:t>
      </w:r>
      <w:r>
        <w:rPr>
          <w:rFonts w:hint="eastAsia" w:ascii="仿宋" w:hAnsi="Times New Roman" w:eastAsia="仿宋" w:cs="仿宋"/>
          <w:color w:val="auto"/>
          <w:sz w:val="32"/>
          <w:szCs w:val="32"/>
          <w:u w:val="single"/>
          <w:lang w:val="en-US" w:eastAsia="zh-CN"/>
        </w:rPr>
        <w:t>684.17</w:t>
      </w:r>
      <w:r>
        <w:rPr>
          <w:rFonts w:hint="eastAsia" w:ascii="仿宋" w:hAnsi="Times New Roman" w:eastAsia="仿宋" w:cs="仿宋"/>
          <w:color w:val="auto"/>
          <w:sz w:val="32"/>
          <w:szCs w:val="32"/>
          <w:lang w:val="en-US" w:eastAsia="zh-CN"/>
        </w:rPr>
        <w:t>万元，完成年初预算的</w:t>
      </w:r>
      <w:r>
        <w:rPr>
          <w:rFonts w:hint="eastAsia" w:ascii="仿宋" w:hAnsi="Times New Roman" w:eastAsia="仿宋" w:cs="仿宋"/>
          <w:color w:val="auto"/>
          <w:sz w:val="32"/>
          <w:szCs w:val="32"/>
          <w:u w:val="single"/>
          <w:lang w:val="en-US" w:eastAsia="zh-CN"/>
        </w:rPr>
        <w:t>0%</w:t>
      </w:r>
      <w:r>
        <w:rPr>
          <w:rFonts w:hint="eastAsia" w:ascii="仿宋" w:hAnsi="Times New Roman" w:eastAsia="仿宋" w:cs="仿宋"/>
          <w:color w:val="auto"/>
          <w:sz w:val="32"/>
          <w:szCs w:val="32"/>
          <w:lang w:val="en-US" w:eastAsia="zh-CN"/>
        </w:rPr>
        <w:t>。决算数与年初预算数的差异原因：人居环境贷款利息。</w:t>
      </w:r>
    </w:p>
    <w:p>
      <w:pPr>
        <w:spacing w:beforeLines="0" w:afterLines="0" w:line="560" w:lineRule="exact"/>
        <w:ind w:firstLine="640"/>
        <w:jc w:val="both"/>
        <w:rPr>
          <w:rFonts w:hint="eastAsia" w:ascii="仿宋" w:hAnsi="Times New Roman" w:eastAsia="仿宋" w:cs="仿宋"/>
          <w:color w:val="auto"/>
          <w:sz w:val="32"/>
          <w:szCs w:val="32"/>
          <w:lang w:val="en-US" w:eastAsia="zh-CN"/>
        </w:rPr>
      </w:pPr>
      <w:r>
        <w:rPr>
          <w:rFonts w:hint="eastAsia" w:ascii="仿宋" w:hAnsi="Times New Roman" w:eastAsia="仿宋" w:cs="仿宋"/>
          <w:color w:val="auto"/>
          <w:sz w:val="32"/>
          <w:szCs w:val="32"/>
          <w:lang w:val="en-US" w:eastAsia="zh-CN"/>
        </w:rPr>
        <w:t>4.农村综合改革项。年初预算</w:t>
      </w:r>
      <w:r>
        <w:rPr>
          <w:rFonts w:hint="eastAsia" w:ascii="仿宋" w:hAnsi="Times New Roman" w:eastAsia="仿宋" w:cs="仿宋"/>
          <w:color w:val="auto"/>
          <w:sz w:val="32"/>
          <w:szCs w:val="32"/>
          <w:u w:val="single"/>
          <w:lang w:val="en-US" w:eastAsia="zh-CN"/>
        </w:rPr>
        <w:t>131.81</w:t>
      </w:r>
      <w:r>
        <w:rPr>
          <w:rFonts w:hint="eastAsia" w:ascii="仿宋" w:hAnsi="Times New Roman" w:eastAsia="仿宋" w:cs="仿宋"/>
          <w:color w:val="auto"/>
          <w:sz w:val="32"/>
          <w:szCs w:val="32"/>
          <w:lang w:val="en-US" w:eastAsia="zh-CN"/>
        </w:rPr>
        <w:t>万元，决算支出</w:t>
      </w:r>
      <w:r>
        <w:rPr>
          <w:rFonts w:hint="eastAsia" w:ascii="仿宋" w:hAnsi="Times New Roman" w:eastAsia="仿宋" w:cs="仿宋"/>
          <w:color w:val="auto"/>
          <w:sz w:val="32"/>
          <w:szCs w:val="32"/>
          <w:u w:val="single"/>
          <w:lang w:val="en-US" w:eastAsia="zh-CN"/>
        </w:rPr>
        <w:t>112.81</w:t>
      </w:r>
      <w:r>
        <w:rPr>
          <w:rFonts w:hint="eastAsia" w:ascii="仿宋" w:hAnsi="Times New Roman" w:eastAsia="仿宋" w:cs="仿宋"/>
          <w:color w:val="auto"/>
          <w:sz w:val="32"/>
          <w:szCs w:val="32"/>
          <w:lang w:val="en-US" w:eastAsia="zh-CN"/>
        </w:rPr>
        <w:t>万元，完成年初预算的</w:t>
      </w:r>
      <w:r>
        <w:rPr>
          <w:rFonts w:hint="eastAsia" w:ascii="仿宋" w:hAnsi="Times New Roman" w:eastAsia="仿宋" w:cs="仿宋"/>
          <w:color w:val="auto"/>
          <w:sz w:val="32"/>
          <w:szCs w:val="32"/>
          <w:u w:val="single"/>
          <w:lang w:val="en-US" w:eastAsia="zh-CN"/>
        </w:rPr>
        <w:t>85.59%</w:t>
      </w:r>
      <w:r>
        <w:rPr>
          <w:rFonts w:hint="eastAsia" w:ascii="仿宋" w:hAnsi="Times New Roman" w:eastAsia="仿宋" w:cs="仿宋"/>
          <w:color w:val="auto"/>
          <w:sz w:val="32"/>
          <w:szCs w:val="32"/>
          <w:lang w:val="en-US" w:eastAsia="zh-CN"/>
        </w:rPr>
        <w:t>。决算数与年初预算数的差异原因：</w:t>
      </w:r>
      <w:r>
        <w:rPr>
          <w:rFonts w:hint="default" w:ascii="仿宋" w:hAnsi="Times New Roman" w:eastAsia="仿宋" w:cs="仿宋"/>
          <w:color w:val="auto"/>
          <w:sz w:val="32"/>
          <w:szCs w:val="32"/>
          <w:lang w:val="en-US" w:eastAsia="zh-CN"/>
        </w:rPr>
        <w:t>转移支付村干部工资</w:t>
      </w:r>
      <w:r>
        <w:rPr>
          <w:rFonts w:hint="eastAsia" w:ascii="仿宋" w:hAnsi="Times New Roman" w:eastAsia="仿宋" w:cs="仿宋"/>
          <w:color w:val="auto"/>
          <w:sz w:val="32"/>
          <w:szCs w:val="32"/>
          <w:lang w:val="en-US" w:eastAsia="zh-CN"/>
        </w:rPr>
        <w:t>。</w:t>
      </w:r>
    </w:p>
    <w:p>
      <w:pPr>
        <w:tabs>
          <w:tab w:val="left" w:pos="4275"/>
        </w:tab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w:t>
      </w:r>
      <w:r>
        <w:rPr>
          <w:rFonts w:hint="eastAsia" w:ascii="楷体" w:hAnsi="楷体" w:eastAsia="楷体"/>
          <w:b/>
          <w:color w:val="auto"/>
          <w:kern w:val="2"/>
          <w:sz w:val="32"/>
          <w:szCs w:val="24"/>
          <w:lang w:val="en-US" w:eastAsia="zh-CN"/>
        </w:rPr>
        <w:t>七</w:t>
      </w:r>
      <w:r>
        <w:rPr>
          <w:rFonts w:hint="eastAsia" w:ascii="楷体" w:hAnsi="楷体" w:eastAsia="楷体"/>
          <w:b/>
          <w:color w:val="auto"/>
          <w:kern w:val="2"/>
          <w:sz w:val="32"/>
          <w:szCs w:val="24"/>
        </w:rPr>
        <w:t>）住房保障支出（类）</w:t>
      </w:r>
    </w:p>
    <w:p>
      <w:pPr>
        <w:spacing w:beforeLines="0" w:afterLines="0" w:line="560" w:lineRule="exact"/>
        <w:ind w:firstLine="640"/>
        <w:jc w:val="both"/>
        <w:rPr>
          <w:rFonts w:hint="default" w:ascii="仿宋" w:hAnsi="Times New Roman" w:eastAsia="仿宋" w:cs="仿宋"/>
          <w:color w:val="auto"/>
          <w:sz w:val="32"/>
          <w:szCs w:val="32"/>
          <w:lang w:val="en-US" w:eastAsia="zh-CN"/>
        </w:rPr>
      </w:pPr>
      <w:r>
        <w:rPr>
          <w:rFonts w:hint="eastAsia" w:ascii="仿宋" w:hAnsi="Times New Roman" w:eastAsia="仿宋" w:cs="仿宋"/>
          <w:color w:val="auto"/>
          <w:sz w:val="32"/>
          <w:szCs w:val="32"/>
          <w:lang w:val="en-US" w:eastAsia="zh-CN"/>
        </w:rPr>
        <w:t>住房保障支出类决算数为</w:t>
      </w:r>
      <w:r>
        <w:rPr>
          <w:rFonts w:hint="default" w:ascii="仿宋" w:hAnsi="Times New Roman" w:eastAsia="仿宋" w:cs="仿宋"/>
          <w:color w:val="auto"/>
          <w:sz w:val="32"/>
          <w:szCs w:val="32"/>
          <w:lang w:val="en-US" w:eastAsia="zh-CN"/>
        </w:rPr>
        <w:t>42.94</w:t>
      </w:r>
      <w:r>
        <w:rPr>
          <w:rFonts w:hint="eastAsia" w:ascii="仿宋" w:hAnsi="Times New Roman" w:eastAsia="仿宋" w:cs="仿宋"/>
          <w:color w:val="auto"/>
          <w:sz w:val="32"/>
          <w:szCs w:val="32"/>
          <w:lang w:val="en-US" w:eastAsia="zh-CN"/>
        </w:rPr>
        <w:t>万元，与年初预算相比增加</w:t>
      </w:r>
      <w:r>
        <w:rPr>
          <w:rFonts w:hint="default" w:ascii="仿宋" w:hAnsi="Times New Roman" w:eastAsia="仿宋" w:cs="仿宋"/>
          <w:color w:val="auto"/>
          <w:sz w:val="32"/>
          <w:szCs w:val="32"/>
          <w:lang w:val="en-US" w:eastAsia="zh-CN"/>
        </w:rPr>
        <w:t>2.3</w:t>
      </w:r>
      <w:r>
        <w:rPr>
          <w:rFonts w:hint="eastAsia" w:ascii="仿宋" w:hAnsi="Times New Roman" w:eastAsia="仿宋" w:cs="仿宋"/>
          <w:color w:val="auto"/>
          <w:sz w:val="32"/>
          <w:szCs w:val="32"/>
          <w:lang w:val="en-US" w:eastAsia="zh-CN"/>
        </w:rPr>
        <w:t>万元。其中：</w:t>
      </w:r>
    </w:p>
    <w:p>
      <w:pPr>
        <w:spacing w:beforeLines="0" w:afterLines="0" w:line="560" w:lineRule="exact"/>
        <w:ind w:firstLine="640"/>
        <w:jc w:val="both"/>
        <w:rPr>
          <w:rFonts w:hint="eastAsia" w:ascii="仿宋" w:hAnsi="Times New Roman" w:eastAsia="仿宋" w:cs="仿宋"/>
          <w:color w:val="auto"/>
          <w:sz w:val="32"/>
          <w:szCs w:val="32"/>
          <w:lang w:val="en-US" w:eastAsia="zh-CN"/>
        </w:rPr>
      </w:pPr>
      <w:r>
        <w:rPr>
          <w:rFonts w:hint="eastAsia" w:ascii="仿宋" w:hAnsi="Times New Roman" w:eastAsia="仿宋" w:cs="仿宋"/>
          <w:color w:val="auto"/>
          <w:sz w:val="32"/>
          <w:szCs w:val="32"/>
          <w:lang w:val="en-US" w:eastAsia="zh-CN"/>
        </w:rPr>
        <w:t>1.住房改革支出（款）住房公积金（项）。年初预算</w:t>
      </w:r>
      <w:r>
        <w:rPr>
          <w:rFonts w:hint="eastAsia" w:ascii="仿宋" w:hAnsi="Times New Roman" w:eastAsia="仿宋" w:cs="仿宋"/>
          <w:color w:val="auto"/>
          <w:sz w:val="32"/>
          <w:szCs w:val="32"/>
          <w:u w:val="single"/>
          <w:lang w:val="en-US" w:eastAsia="zh-CN"/>
        </w:rPr>
        <w:t>40.64</w:t>
      </w:r>
      <w:r>
        <w:rPr>
          <w:rFonts w:hint="eastAsia" w:ascii="仿宋" w:hAnsi="Times New Roman" w:eastAsia="仿宋" w:cs="仿宋"/>
          <w:color w:val="auto"/>
          <w:sz w:val="32"/>
          <w:szCs w:val="32"/>
          <w:lang w:val="en-US" w:eastAsia="zh-CN"/>
        </w:rPr>
        <w:t>万元，支出决算</w:t>
      </w:r>
      <w:r>
        <w:rPr>
          <w:rFonts w:hint="eastAsia" w:ascii="仿宋" w:hAnsi="Times New Roman" w:eastAsia="仿宋" w:cs="仿宋"/>
          <w:color w:val="auto"/>
          <w:sz w:val="32"/>
          <w:szCs w:val="32"/>
          <w:u w:val="single"/>
          <w:lang w:val="en-US" w:eastAsia="zh-CN"/>
        </w:rPr>
        <w:t>42.94</w:t>
      </w:r>
      <w:r>
        <w:rPr>
          <w:rFonts w:hint="eastAsia" w:ascii="仿宋" w:hAnsi="Times New Roman" w:eastAsia="仿宋" w:cs="仿宋"/>
          <w:color w:val="auto"/>
          <w:sz w:val="32"/>
          <w:szCs w:val="32"/>
          <w:lang w:val="en-US" w:eastAsia="zh-CN"/>
        </w:rPr>
        <w:t>万元，完成年初预算的</w:t>
      </w:r>
      <w:r>
        <w:rPr>
          <w:rFonts w:hint="eastAsia" w:ascii="仿宋" w:hAnsi="Times New Roman" w:eastAsia="仿宋" w:cs="仿宋"/>
          <w:color w:val="auto"/>
          <w:sz w:val="32"/>
          <w:szCs w:val="32"/>
          <w:u w:val="single"/>
          <w:lang w:val="en-US" w:eastAsia="zh-CN"/>
        </w:rPr>
        <w:t>105.66%</w:t>
      </w:r>
      <w:r>
        <w:rPr>
          <w:rFonts w:hint="eastAsia" w:ascii="仿宋" w:hAnsi="Times New Roman" w:eastAsia="仿宋" w:cs="仿宋"/>
          <w:color w:val="auto"/>
          <w:sz w:val="32"/>
          <w:szCs w:val="32"/>
          <w:lang w:val="en-US" w:eastAsia="zh-CN"/>
        </w:rPr>
        <w:t>。决算数与年初预算数的差异原因：新增人员工资。</w:t>
      </w:r>
    </w:p>
    <w:p>
      <w:pPr>
        <w:tabs>
          <w:tab w:val="left" w:pos="4275"/>
        </w:tab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w:t>
      </w:r>
      <w:r>
        <w:rPr>
          <w:rFonts w:hint="eastAsia" w:ascii="楷体" w:hAnsi="楷体" w:eastAsia="楷体"/>
          <w:b/>
          <w:color w:val="auto"/>
          <w:kern w:val="2"/>
          <w:sz w:val="32"/>
          <w:szCs w:val="24"/>
          <w:lang w:val="en-US" w:eastAsia="zh-CN"/>
        </w:rPr>
        <w:t>八</w:t>
      </w:r>
      <w:r>
        <w:rPr>
          <w:rFonts w:hint="eastAsia" w:ascii="楷体" w:hAnsi="楷体" w:eastAsia="楷体"/>
          <w:b/>
          <w:color w:val="auto"/>
          <w:kern w:val="2"/>
          <w:sz w:val="32"/>
          <w:szCs w:val="24"/>
        </w:rPr>
        <w:t>）灾害防治及应急管理（类）</w:t>
      </w:r>
    </w:p>
    <w:p>
      <w:pPr>
        <w:spacing w:beforeLines="0" w:afterLines="0" w:line="560" w:lineRule="exact"/>
        <w:ind w:firstLine="640"/>
        <w:jc w:val="both"/>
        <w:rPr>
          <w:rFonts w:hint="eastAsia" w:ascii="仿宋" w:hAnsi="Times New Roman" w:eastAsia="仿宋" w:cs="仿宋"/>
          <w:color w:val="auto"/>
          <w:sz w:val="32"/>
          <w:szCs w:val="32"/>
          <w:lang w:val="en-US" w:eastAsia="zh-CN"/>
        </w:rPr>
      </w:pPr>
      <w:r>
        <w:rPr>
          <w:rFonts w:hint="eastAsia" w:ascii="仿宋" w:hAnsi="Times New Roman" w:eastAsia="仿宋" w:cs="仿宋"/>
          <w:color w:val="auto"/>
          <w:sz w:val="32"/>
          <w:szCs w:val="32"/>
          <w:lang w:val="en-US" w:eastAsia="zh-CN"/>
        </w:rPr>
        <w:t>1.自然灾害救灾及恢复重建支出（款）其他自然灾害救灾及恢复重建支出（项）。年初预算</w:t>
      </w:r>
      <w:r>
        <w:rPr>
          <w:rFonts w:hint="eastAsia" w:ascii="仿宋" w:hAnsi="Times New Roman" w:eastAsia="仿宋" w:cs="仿宋"/>
          <w:color w:val="auto"/>
          <w:sz w:val="32"/>
          <w:szCs w:val="32"/>
          <w:u w:val="single"/>
          <w:lang w:val="en-US" w:eastAsia="zh-CN"/>
        </w:rPr>
        <w:t>0</w:t>
      </w:r>
      <w:r>
        <w:rPr>
          <w:rFonts w:hint="eastAsia" w:ascii="仿宋" w:hAnsi="Times New Roman" w:eastAsia="仿宋" w:cs="仿宋"/>
          <w:color w:val="auto"/>
          <w:sz w:val="32"/>
          <w:szCs w:val="32"/>
          <w:lang w:val="en-US" w:eastAsia="zh-CN"/>
        </w:rPr>
        <w:t>万元，支出决算</w:t>
      </w:r>
      <w:r>
        <w:rPr>
          <w:rFonts w:hint="eastAsia" w:ascii="仿宋" w:hAnsi="Times New Roman" w:eastAsia="仿宋" w:cs="仿宋"/>
          <w:color w:val="auto"/>
          <w:sz w:val="32"/>
          <w:szCs w:val="32"/>
          <w:u w:val="single"/>
          <w:lang w:val="en-US" w:eastAsia="zh-CN"/>
        </w:rPr>
        <w:t>10</w:t>
      </w:r>
      <w:r>
        <w:rPr>
          <w:rFonts w:hint="eastAsia" w:ascii="仿宋" w:hAnsi="Times New Roman" w:eastAsia="仿宋" w:cs="仿宋"/>
          <w:color w:val="auto"/>
          <w:sz w:val="32"/>
          <w:szCs w:val="32"/>
          <w:lang w:val="en-US" w:eastAsia="zh-CN"/>
        </w:rPr>
        <w:t>万元，完成年初预算的</w:t>
      </w:r>
      <w:r>
        <w:rPr>
          <w:rFonts w:hint="eastAsia" w:ascii="仿宋" w:hAnsi="Times New Roman" w:eastAsia="仿宋" w:cs="仿宋"/>
          <w:color w:val="auto"/>
          <w:sz w:val="32"/>
          <w:szCs w:val="32"/>
          <w:u w:val="single"/>
          <w:lang w:val="en-US" w:eastAsia="zh-CN"/>
        </w:rPr>
        <w:t>0</w:t>
      </w:r>
      <w:r>
        <w:rPr>
          <w:rFonts w:hint="eastAsia" w:ascii="仿宋" w:hAnsi="Times New Roman" w:eastAsia="仿宋" w:cs="仿宋"/>
          <w:color w:val="auto"/>
          <w:sz w:val="32"/>
          <w:szCs w:val="32"/>
          <w:lang w:val="en-US" w:eastAsia="zh-CN"/>
        </w:rPr>
        <w:t>%。决算数与年初预算数的差异原因：应急救灾资金。</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六、一般公共预算基本支出决算情况说明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莫力达瓦达斡尔族自治旗哈达阳镇人民政府2022年度一般公共预算财政拨款基本支出决算</w:t>
      </w:r>
      <w:r>
        <w:rPr>
          <w:rFonts w:hint="default" w:ascii="Times New Roman" w:hAnsi="Times New Roman" w:eastAsia="Times New Roman"/>
          <w:color w:val="auto"/>
          <w:kern w:val="2"/>
          <w:sz w:val="32"/>
          <w:szCs w:val="24"/>
          <w:u w:val="single"/>
        </w:rPr>
        <w:t>926.51</w:t>
      </w:r>
      <w:r>
        <w:rPr>
          <w:rFonts w:hint="eastAsia" w:ascii="仿宋_GB2312" w:hAnsi="仿宋_GB2312" w:eastAsia="仿宋_GB2312"/>
          <w:color w:val="auto"/>
          <w:kern w:val="2"/>
          <w:sz w:val="32"/>
          <w:szCs w:val="24"/>
        </w:rPr>
        <w:t>万元，其中：</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（一）人员经费</w:t>
      </w:r>
      <w:r>
        <w:rPr>
          <w:rFonts w:hint="default" w:ascii="Times New Roman" w:hAnsi="Times New Roman" w:eastAsia="Times New Roman"/>
          <w:b/>
          <w:color w:val="auto"/>
          <w:kern w:val="2"/>
          <w:sz w:val="32"/>
          <w:szCs w:val="24"/>
          <w:u w:val="single"/>
        </w:rPr>
        <w:t>844.46</w:t>
      </w:r>
      <w:r>
        <w:rPr>
          <w:rFonts w:hint="eastAsia" w:ascii="仿宋_GB2312" w:hAnsi="仿宋_GB2312" w:eastAsia="仿宋_GB2312"/>
          <w:b/>
          <w:color w:val="auto"/>
          <w:kern w:val="2"/>
          <w:sz w:val="32"/>
          <w:szCs w:val="24"/>
        </w:rPr>
        <w:t>万元</w:t>
      </w:r>
      <w:r>
        <w:rPr>
          <w:rFonts w:hint="eastAsia" w:ascii="仿宋_GB2312" w:hAnsi="仿宋_GB2312" w:eastAsia="仿宋_GB2312"/>
          <w:color w:val="auto"/>
          <w:kern w:val="2"/>
          <w:sz w:val="32"/>
          <w:szCs w:val="24"/>
        </w:rPr>
        <w:t>。主要包括：基本工资</w:t>
      </w:r>
      <w:r>
        <w:rPr>
          <w:rFonts w:hint="eastAsia" w:ascii="仿宋_GB2312" w:hAnsi="仿宋_GB2312" w:eastAsia="仿宋_GB2312"/>
          <w:color w:val="auto"/>
          <w:kern w:val="2"/>
          <w:sz w:val="32"/>
          <w:szCs w:val="24"/>
          <w:u w:val="single"/>
        </w:rPr>
        <w:t>182.66</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、津贴补贴</w:t>
      </w:r>
      <w:r>
        <w:rPr>
          <w:rFonts w:hint="eastAsia" w:ascii="仿宋_GB2312" w:hAnsi="仿宋_GB2312" w:eastAsia="仿宋_GB2312"/>
          <w:color w:val="auto"/>
          <w:kern w:val="2"/>
          <w:sz w:val="32"/>
          <w:szCs w:val="24"/>
          <w:u w:val="single"/>
        </w:rPr>
        <w:t>300.3</w:t>
      </w:r>
      <w:r>
        <w:rPr>
          <w:rFonts w:hint="eastAsia"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、奖金</w:t>
      </w:r>
      <w:r>
        <w:rPr>
          <w:rFonts w:hint="eastAsia" w:ascii="仿宋_GB2312" w:hAnsi="仿宋_GB2312" w:eastAsia="仿宋_GB2312"/>
          <w:color w:val="auto"/>
          <w:kern w:val="2"/>
          <w:sz w:val="32"/>
          <w:szCs w:val="24"/>
          <w:u w:val="single"/>
        </w:rPr>
        <w:t>14.11</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、绩效工资</w:t>
      </w:r>
      <w:r>
        <w:rPr>
          <w:rFonts w:hint="eastAsia" w:ascii="仿宋_GB2312" w:hAnsi="仿宋_GB2312" w:eastAsia="仿宋_GB2312"/>
          <w:color w:val="auto"/>
          <w:kern w:val="2"/>
          <w:sz w:val="32"/>
          <w:szCs w:val="24"/>
          <w:u w:val="single"/>
        </w:rPr>
        <w:t>14.24</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、机关事业单位基本养老保险缴费</w:t>
      </w:r>
      <w:r>
        <w:rPr>
          <w:rFonts w:hint="eastAsia" w:ascii="仿宋_GB2312" w:hAnsi="仿宋_GB2312" w:eastAsia="仿宋_GB2312"/>
          <w:color w:val="auto"/>
          <w:kern w:val="2"/>
          <w:sz w:val="32"/>
          <w:szCs w:val="24"/>
          <w:u w:val="single"/>
        </w:rPr>
        <w:t>76.73</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lang w:eastAsia="zh-CN"/>
        </w:rPr>
        <w:t>、职业年金缴费</w:t>
      </w:r>
      <w:r>
        <w:rPr>
          <w:rFonts w:hint="eastAsia" w:ascii="仿宋_GB2312" w:hAnsi="仿宋_GB2312" w:eastAsia="仿宋_GB2312"/>
          <w:color w:val="auto"/>
          <w:kern w:val="2"/>
          <w:sz w:val="32"/>
          <w:szCs w:val="24"/>
          <w:u w:val="single"/>
          <w:lang w:eastAsia="zh-CN"/>
        </w:rPr>
        <w:t>0.2</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lang w:eastAsia="zh-CN"/>
        </w:rPr>
        <w:t>、职工基本医疗保险缴费</w:t>
      </w:r>
      <w:r>
        <w:rPr>
          <w:rFonts w:hint="eastAsia" w:ascii="仿宋_GB2312" w:hAnsi="仿宋_GB2312" w:eastAsia="仿宋_GB2312"/>
          <w:color w:val="auto"/>
          <w:kern w:val="2"/>
          <w:sz w:val="32"/>
          <w:szCs w:val="24"/>
          <w:u w:val="single"/>
          <w:lang w:eastAsia="zh-CN"/>
        </w:rPr>
        <w:t>35.33</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lang w:eastAsia="zh-CN"/>
        </w:rPr>
        <w:t>、其他社会保障缴费</w:t>
      </w:r>
      <w:r>
        <w:rPr>
          <w:rFonts w:hint="eastAsia" w:ascii="仿宋_GB2312" w:hAnsi="仿宋_GB2312" w:eastAsia="仿宋_GB2312"/>
          <w:color w:val="auto"/>
          <w:kern w:val="2"/>
          <w:sz w:val="32"/>
          <w:szCs w:val="24"/>
          <w:u w:val="single"/>
          <w:lang w:eastAsia="zh-CN"/>
        </w:rPr>
        <w:t>1.93</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lang w:eastAsia="zh-CN"/>
        </w:rPr>
        <w:t>、</w:t>
      </w:r>
      <w:r>
        <w:rPr>
          <w:rFonts w:hint="eastAsia" w:ascii="仿宋_GB2312" w:hAnsi="仿宋_GB2312" w:eastAsia="仿宋_GB2312"/>
          <w:color w:val="auto"/>
          <w:kern w:val="2"/>
          <w:sz w:val="32"/>
          <w:szCs w:val="24"/>
        </w:rPr>
        <w:t>住房公积金</w:t>
      </w:r>
      <w:r>
        <w:rPr>
          <w:rFonts w:hint="eastAsia" w:ascii="仿宋_GB2312" w:hAnsi="仿宋_GB2312" w:eastAsia="仿宋_GB2312"/>
          <w:color w:val="auto"/>
          <w:kern w:val="2"/>
          <w:sz w:val="32"/>
          <w:szCs w:val="24"/>
          <w:u w:val="single"/>
        </w:rPr>
        <w:t>42.94</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、其他工资福利支出</w:t>
      </w:r>
      <w:r>
        <w:rPr>
          <w:rFonts w:hint="eastAsia" w:ascii="仿宋_GB2312" w:hAnsi="仿宋_GB2312" w:eastAsia="仿宋_GB2312"/>
          <w:color w:val="auto"/>
          <w:kern w:val="2"/>
          <w:sz w:val="32"/>
          <w:szCs w:val="24"/>
          <w:u w:val="single"/>
        </w:rPr>
        <w:t>27.1</w:t>
      </w:r>
      <w:r>
        <w:rPr>
          <w:rFonts w:hint="eastAsia"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lang w:eastAsia="zh-CN"/>
        </w:rPr>
        <w:t>、退休费</w:t>
      </w:r>
      <w:r>
        <w:rPr>
          <w:rFonts w:hint="eastAsia" w:ascii="仿宋_GB2312" w:hAnsi="仿宋_GB2312" w:eastAsia="仿宋_GB2312"/>
          <w:color w:val="auto"/>
          <w:kern w:val="2"/>
          <w:sz w:val="32"/>
          <w:szCs w:val="24"/>
          <w:u w:val="single"/>
          <w:lang w:eastAsia="zh-CN"/>
        </w:rPr>
        <w:t>20.75</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lang w:eastAsia="zh-CN"/>
        </w:rPr>
        <w:t>、抚恤金</w:t>
      </w:r>
      <w:r>
        <w:rPr>
          <w:rFonts w:hint="eastAsia" w:ascii="仿宋_GB2312" w:hAnsi="仿宋_GB2312" w:eastAsia="仿宋_GB2312"/>
          <w:color w:val="auto"/>
          <w:kern w:val="2"/>
          <w:sz w:val="32"/>
          <w:szCs w:val="24"/>
          <w:u w:val="single"/>
          <w:lang w:eastAsia="zh-CN"/>
        </w:rPr>
        <w:t>5.45</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lang w:eastAsia="zh-CN"/>
        </w:rPr>
        <w:t>、生活补助</w:t>
      </w:r>
      <w:r>
        <w:rPr>
          <w:rFonts w:hint="eastAsia" w:ascii="仿宋_GB2312" w:hAnsi="仿宋_GB2312" w:eastAsia="仿宋_GB2312"/>
          <w:color w:val="auto"/>
          <w:kern w:val="2"/>
          <w:sz w:val="32"/>
          <w:szCs w:val="24"/>
          <w:u w:val="single"/>
          <w:lang w:eastAsia="zh-CN"/>
        </w:rPr>
        <w:t>122.73</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等。</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（二）公用经费</w:t>
      </w:r>
      <w:r>
        <w:rPr>
          <w:rFonts w:hint="default" w:ascii="Times New Roman" w:hAnsi="Times New Roman" w:eastAsia="Times New Roman"/>
          <w:b/>
          <w:color w:val="auto"/>
          <w:kern w:val="2"/>
          <w:sz w:val="32"/>
          <w:szCs w:val="24"/>
          <w:u w:val="single"/>
        </w:rPr>
        <w:t>82.05</w:t>
      </w:r>
      <w:r>
        <w:rPr>
          <w:rFonts w:hint="eastAsia" w:ascii="仿宋_GB2312" w:hAnsi="仿宋_GB2312" w:eastAsia="仿宋_GB2312"/>
          <w:b/>
          <w:color w:val="auto"/>
          <w:kern w:val="2"/>
          <w:sz w:val="32"/>
          <w:szCs w:val="24"/>
        </w:rPr>
        <w:t>万元</w:t>
      </w:r>
      <w:r>
        <w:rPr>
          <w:rFonts w:hint="eastAsia" w:ascii="仿宋_GB2312" w:hAnsi="仿宋_GB2312" w:eastAsia="仿宋_GB2312"/>
          <w:color w:val="auto"/>
          <w:kern w:val="2"/>
          <w:sz w:val="32"/>
          <w:szCs w:val="24"/>
        </w:rPr>
        <w:t>。主要包括：办公费</w:t>
      </w:r>
      <w:r>
        <w:rPr>
          <w:rFonts w:hint="eastAsia" w:ascii="仿宋_GB2312" w:hAnsi="仿宋_GB2312" w:eastAsia="仿宋_GB2312"/>
          <w:color w:val="auto"/>
          <w:kern w:val="2"/>
          <w:sz w:val="32"/>
          <w:szCs w:val="24"/>
          <w:u w:val="single"/>
        </w:rPr>
        <w:t>33.11</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、咨询费</w:t>
      </w:r>
      <w:r>
        <w:rPr>
          <w:rFonts w:hint="eastAsia" w:ascii="仿宋_GB2312" w:hAnsi="仿宋_GB2312" w:eastAsia="仿宋_GB2312"/>
          <w:color w:val="auto"/>
          <w:kern w:val="2"/>
          <w:sz w:val="32"/>
          <w:szCs w:val="24"/>
          <w:u w:val="single"/>
        </w:rPr>
        <w:t>2.2</w:t>
      </w:r>
      <w:r>
        <w:rPr>
          <w:rFonts w:hint="eastAsia"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、电费</w:t>
      </w:r>
      <w:r>
        <w:rPr>
          <w:rFonts w:hint="eastAsia" w:ascii="仿宋_GB2312" w:hAnsi="仿宋_GB2312" w:eastAsia="仿宋_GB2312"/>
          <w:color w:val="auto"/>
          <w:kern w:val="2"/>
          <w:sz w:val="32"/>
          <w:szCs w:val="24"/>
          <w:u w:val="single"/>
        </w:rPr>
        <w:t>3.02</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、邮电费</w:t>
      </w:r>
      <w:r>
        <w:rPr>
          <w:rFonts w:hint="eastAsia" w:ascii="仿宋_GB2312" w:hAnsi="仿宋_GB2312" w:eastAsia="仿宋_GB2312"/>
          <w:color w:val="auto"/>
          <w:kern w:val="2"/>
          <w:sz w:val="32"/>
          <w:szCs w:val="24"/>
          <w:u w:val="single"/>
        </w:rPr>
        <w:t>1.07</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、差旅费</w:t>
      </w:r>
      <w:r>
        <w:rPr>
          <w:rFonts w:hint="eastAsia" w:ascii="仿宋_GB2312" w:hAnsi="仿宋_GB2312" w:eastAsia="仿宋_GB2312"/>
          <w:color w:val="auto"/>
          <w:kern w:val="2"/>
          <w:sz w:val="32"/>
          <w:szCs w:val="24"/>
          <w:u w:val="single"/>
        </w:rPr>
        <w:t>1.49</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、培训费</w:t>
      </w:r>
      <w:r>
        <w:rPr>
          <w:rFonts w:hint="eastAsia" w:ascii="仿宋_GB2312" w:hAnsi="仿宋_GB2312" w:eastAsia="仿宋_GB2312"/>
          <w:color w:val="auto"/>
          <w:kern w:val="2"/>
          <w:sz w:val="32"/>
          <w:szCs w:val="24"/>
          <w:u w:val="single"/>
        </w:rPr>
        <w:t>0.17</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、公务用车运行维护费</w:t>
      </w:r>
      <w:r>
        <w:rPr>
          <w:rFonts w:hint="eastAsia" w:ascii="仿宋_GB2312" w:hAnsi="仿宋_GB2312" w:eastAsia="仿宋_GB2312"/>
          <w:color w:val="auto"/>
          <w:kern w:val="2"/>
          <w:sz w:val="32"/>
          <w:szCs w:val="24"/>
          <w:u w:val="single"/>
        </w:rPr>
        <w:t>20.51</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、其他交通费用</w:t>
      </w:r>
      <w:r>
        <w:rPr>
          <w:rFonts w:hint="eastAsia" w:ascii="仿宋_GB2312" w:hAnsi="仿宋_GB2312" w:eastAsia="仿宋_GB2312"/>
          <w:color w:val="auto"/>
          <w:kern w:val="2"/>
          <w:sz w:val="32"/>
          <w:szCs w:val="24"/>
          <w:u w:val="single"/>
        </w:rPr>
        <w:t>20.49</w:t>
      </w:r>
      <w:r>
        <w:rPr>
          <w:rFonts w:hint="eastAsia" w:ascii="仿宋_GB2312" w:hAnsi="仿宋_GB2312" w:eastAsia="仿宋_GB2312"/>
          <w:color w:val="auto"/>
          <w:kern w:val="2"/>
          <w:sz w:val="32"/>
          <w:szCs w:val="24"/>
          <w:lang w:val="en-US" w:eastAsia="zh-CN"/>
        </w:rPr>
        <w:t>万元</w:t>
      </w:r>
      <w:r>
        <w:rPr>
          <w:rFonts w:hint="eastAsia" w:ascii="仿宋_GB2312" w:hAnsi="仿宋_GB2312" w:eastAsia="仿宋_GB2312"/>
          <w:color w:val="auto"/>
          <w:kern w:val="2"/>
          <w:sz w:val="32"/>
          <w:szCs w:val="24"/>
        </w:rPr>
        <w:t>等。</w:t>
      </w:r>
    </w:p>
    <w:p>
      <w:pPr>
        <w:spacing w:beforeLines="0" w:afterLines="0" w:line="600" w:lineRule="exact"/>
        <w:ind w:firstLine="643"/>
        <w:jc w:val="both"/>
        <w:rPr>
          <w:rFonts w:hint="default" w:ascii="Times New Roman" w:hAnsi="Times New Roman" w:eastAsia="Times New Roman"/>
          <w:b/>
          <w:color w:val="FF0000"/>
          <w:kern w:val="2"/>
          <w:sz w:val="32"/>
          <w:szCs w:val="24"/>
        </w:rPr>
      </w:pPr>
      <w:r>
        <w:rPr>
          <w:rFonts w:hint="eastAsia" w:ascii="黑体" w:hAnsi="黑体" w:eastAsia="黑体"/>
          <w:b/>
          <w:color w:val="000000"/>
          <w:kern w:val="2"/>
          <w:sz w:val="32"/>
          <w:szCs w:val="24"/>
        </w:rPr>
        <w:t>七、一般公共预算项目支出决算情况说明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莫力达瓦达斡尔族自治旗哈达阳镇人民政府2022年度一般公共预算财政拨款项目支出决算</w:t>
      </w:r>
      <w:r>
        <w:rPr>
          <w:rFonts w:hint="default" w:ascii="Times New Roman" w:hAnsi="Times New Roman" w:eastAsia="Times New Roman"/>
          <w:color w:val="auto"/>
          <w:kern w:val="2"/>
          <w:sz w:val="32"/>
          <w:szCs w:val="24"/>
          <w:u w:val="single"/>
        </w:rPr>
        <w:t>1,480.79</w:t>
      </w:r>
      <w:r>
        <w:rPr>
          <w:rFonts w:hint="eastAsia" w:ascii="仿宋_GB2312" w:hAnsi="仿宋_GB2312" w:eastAsia="仿宋_GB2312"/>
          <w:color w:val="auto"/>
          <w:kern w:val="2"/>
          <w:sz w:val="32"/>
          <w:szCs w:val="24"/>
        </w:rPr>
        <w:t>万元，其中：</w:t>
      </w:r>
    </w:p>
    <w:p>
      <w:pPr>
        <w:spacing w:beforeLines="0" w:afterLines="0" w:line="560" w:lineRule="exact"/>
        <w:ind w:firstLine="643"/>
        <w:jc w:val="both"/>
        <w:rPr>
          <w:rFonts w:hint="default" w:ascii="Times New Roman" w:hAnsi="Times New Roman" w:eastAsia="Times New Roman"/>
          <w:b/>
          <w:color w:val="000000"/>
          <w:kern w:val="2"/>
          <w:sz w:val="32"/>
          <w:szCs w:val="24"/>
        </w:rPr>
      </w:pPr>
      <w:r>
        <w:rPr>
          <w:rFonts w:hint="eastAsia" w:ascii="仿宋_GB2312" w:hAnsi="仿宋_GB2312" w:eastAsia="仿宋_GB2312"/>
          <w:b/>
          <w:color w:val="000000"/>
          <w:kern w:val="2"/>
          <w:sz w:val="32"/>
          <w:szCs w:val="24"/>
        </w:rPr>
        <w:t>（一）工资福利支出</w:t>
      </w:r>
      <w:r>
        <w:rPr>
          <w:rFonts w:hint="default" w:ascii="Times New Roman" w:hAnsi="Times New Roman" w:eastAsia="Times New Roman"/>
          <w:b/>
          <w:color w:val="000000"/>
          <w:kern w:val="2"/>
          <w:sz w:val="32"/>
          <w:szCs w:val="24"/>
          <w:u w:val="single"/>
        </w:rPr>
        <w:t>0</w:t>
      </w:r>
      <w:r>
        <w:rPr>
          <w:rFonts w:hint="eastAsia" w:ascii="仿宋_GB2312" w:hAnsi="仿宋_GB2312" w:eastAsia="仿宋_GB2312"/>
          <w:b/>
          <w:color w:val="000000"/>
          <w:kern w:val="2"/>
          <w:sz w:val="32"/>
          <w:szCs w:val="24"/>
        </w:rPr>
        <w:t>万元</w:t>
      </w:r>
      <w:r>
        <w:rPr>
          <w:rFonts w:hint="eastAsia" w:ascii="仿宋_GB2312" w:hAnsi="仿宋_GB2312" w:eastAsia="仿宋_GB2312"/>
          <w:color w:val="000000"/>
          <w:kern w:val="2"/>
          <w:sz w:val="32"/>
          <w:szCs w:val="24"/>
        </w:rPr>
        <w:t>。主要包括：基本工资、津贴补贴、奖金、伙食补助费、绩效工资、机关事业单位基本养老保险缴费、职业年金缴费、职工基本医疗保险缴费、公务员医疗补助缴费、其他社会保障缴费、住房公积金、医疗费、其他工资福利支出等。</w:t>
      </w:r>
    </w:p>
    <w:p>
      <w:pPr>
        <w:spacing w:beforeLines="0" w:afterLines="0" w:line="560" w:lineRule="exact"/>
        <w:ind w:firstLine="643"/>
        <w:jc w:val="both"/>
        <w:rPr>
          <w:rFonts w:hint="default" w:ascii="Times New Roman" w:hAnsi="Times New Roman" w:eastAsia="Times New Roman"/>
          <w:color w:val="000000"/>
          <w:kern w:val="2"/>
          <w:sz w:val="32"/>
          <w:szCs w:val="24"/>
        </w:rPr>
      </w:pPr>
      <w:r>
        <w:rPr>
          <w:rFonts w:hint="eastAsia" w:ascii="仿宋_GB2312" w:hAnsi="仿宋_GB2312" w:eastAsia="仿宋_GB2312"/>
          <w:b/>
          <w:color w:val="000000"/>
          <w:kern w:val="2"/>
          <w:sz w:val="32"/>
          <w:szCs w:val="24"/>
        </w:rPr>
        <w:t>（二）商品和服务支出</w:t>
      </w:r>
      <w:r>
        <w:rPr>
          <w:rFonts w:hint="default" w:ascii="Times New Roman" w:hAnsi="Times New Roman" w:eastAsia="Times New Roman"/>
          <w:b/>
          <w:color w:val="000000"/>
          <w:kern w:val="2"/>
          <w:sz w:val="32"/>
          <w:szCs w:val="24"/>
          <w:u w:val="single"/>
        </w:rPr>
        <w:t>94.69</w:t>
      </w:r>
      <w:r>
        <w:rPr>
          <w:rFonts w:hint="eastAsia" w:ascii="仿宋_GB2312" w:hAnsi="仿宋_GB2312" w:eastAsia="仿宋_GB2312"/>
          <w:b/>
          <w:color w:val="000000"/>
          <w:kern w:val="2"/>
          <w:sz w:val="32"/>
          <w:szCs w:val="24"/>
        </w:rPr>
        <w:t>万元</w:t>
      </w:r>
      <w:r>
        <w:rPr>
          <w:rFonts w:hint="eastAsia" w:ascii="仿宋_GB2312" w:hAnsi="仿宋_GB2312" w:eastAsia="仿宋_GB2312"/>
          <w:color w:val="000000"/>
          <w:kern w:val="2"/>
          <w:sz w:val="32"/>
          <w:szCs w:val="24"/>
        </w:rPr>
        <w:t>。主要包括：办公费</w:t>
      </w:r>
      <w:r>
        <w:rPr>
          <w:rFonts w:hint="eastAsia" w:ascii="仿宋_GB2312" w:hAnsi="仿宋_GB2312" w:eastAsia="仿宋_GB2312"/>
          <w:color w:val="000000"/>
          <w:kern w:val="2"/>
          <w:sz w:val="32"/>
          <w:szCs w:val="24"/>
          <w:lang w:val="en-US" w:eastAsia="zh-CN"/>
        </w:rPr>
        <w:t>9.81万元</w:t>
      </w:r>
      <w:r>
        <w:rPr>
          <w:rFonts w:hint="eastAsia" w:ascii="仿宋_GB2312" w:hAnsi="仿宋_GB2312" w:eastAsia="仿宋_GB2312"/>
          <w:color w:val="000000"/>
          <w:kern w:val="2"/>
          <w:sz w:val="32"/>
          <w:szCs w:val="24"/>
        </w:rPr>
        <w:t>、取暖费</w:t>
      </w:r>
      <w:r>
        <w:rPr>
          <w:rFonts w:hint="eastAsia" w:ascii="仿宋_GB2312" w:hAnsi="仿宋_GB2312" w:eastAsia="仿宋_GB2312"/>
          <w:color w:val="000000"/>
          <w:kern w:val="2"/>
          <w:sz w:val="32"/>
          <w:szCs w:val="24"/>
          <w:u w:val="single"/>
          <w:lang w:val="en-US" w:eastAsia="zh-CN"/>
        </w:rPr>
        <w:t>32.54</w:t>
      </w:r>
      <w:r>
        <w:rPr>
          <w:rFonts w:hint="eastAsia" w:ascii="仿宋_GB2312" w:hAnsi="仿宋_GB2312" w:eastAsia="仿宋_GB2312"/>
          <w:color w:val="000000"/>
          <w:kern w:val="2"/>
          <w:sz w:val="32"/>
          <w:szCs w:val="24"/>
          <w:lang w:val="en-US" w:eastAsia="zh-CN"/>
        </w:rPr>
        <w:t>万元</w:t>
      </w:r>
      <w:r>
        <w:rPr>
          <w:rFonts w:hint="eastAsia" w:ascii="仿宋_GB2312" w:hAnsi="仿宋_GB2312" w:eastAsia="仿宋_GB2312"/>
          <w:color w:val="000000"/>
          <w:kern w:val="2"/>
          <w:sz w:val="32"/>
          <w:szCs w:val="24"/>
        </w:rPr>
        <w:t>、公务用车运行维护费</w:t>
      </w:r>
      <w:r>
        <w:rPr>
          <w:rFonts w:hint="eastAsia" w:ascii="仿宋_GB2312" w:hAnsi="仿宋_GB2312" w:eastAsia="仿宋_GB2312"/>
          <w:color w:val="000000"/>
          <w:kern w:val="2"/>
          <w:sz w:val="32"/>
          <w:szCs w:val="24"/>
          <w:lang w:val="en-US" w:eastAsia="zh-CN"/>
        </w:rPr>
        <w:t>9.34万元</w:t>
      </w:r>
      <w:r>
        <w:rPr>
          <w:rFonts w:hint="eastAsia" w:ascii="仿宋_GB2312" w:hAnsi="仿宋_GB2312" w:eastAsia="仿宋_GB2312"/>
          <w:color w:val="000000"/>
          <w:kern w:val="2"/>
          <w:sz w:val="32"/>
          <w:szCs w:val="24"/>
        </w:rPr>
        <w:t>、其他商品和服务支出</w:t>
      </w:r>
      <w:r>
        <w:rPr>
          <w:rFonts w:hint="eastAsia" w:ascii="仿宋_GB2312" w:hAnsi="仿宋_GB2312" w:eastAsia="仿宋_GB2312"/>
          <w:color w:val="000000"/>
          <w:kern w:val="2"/>
          <w:sz w:val="32"/>
          <w:szCs w:val="24"/>
          <w:u w:val="single"/>
          <w:lang w:val="en-US" w:eastAsia="zh-CN"/>
        </w:rPr>
        <w:t>27.40</w:t>
      </w:r>
      <w:r>
        <w:rPr>
          <w:rFonts w:hint="eastAsia" w:ascii="仿宋_GB2312" w:hAnsi="仿宋_GB2312" w:eastAsia="仿宋_GB2312"/>
          <w:color w:val="000000"/>
          <w:kern w:val="2"/>
          <w:sz w:val="32"/>
          <w:szCs w:val="24"/>
          <w:lang w:val="en-US" w:eastAsia="zh-CN"/>
        </w:rPr>
        <w:t>万元</w:t>
      </w:r>
      <w:r>
        <w:rPr>
          <w:rFonts w:hint="eastAsia" w:ascii="仿宋_GB2312" w:hAnsi="仿宋_GB2312" w:eastAsia="仿宋_GB2312"/>
          <w:color w:val="000000"/>
          <w:kern w:val="2"/>
          <w:sz w:val="32"/>
          <w:szCs w:val="24"/>
        </w:rPr>
        <w:t>等。</w:t>
      </w:r>
    </w:p>
    <w:p>
      <w:pPr>
        <w:spacing w:beforeLines="0" w:afterLines="0" w:line="560" w:lineRule="exact"/>
        <w:ind w:firstLine="640"/>
        <w:jc w:val="both"/>
        <w:rPr>
          <w:rFonts w:hint="eastAsia" w:ascii="仿宋_GB2312" w:hAnsi="仿宋_GB2312" w:eastAsia="仿宋_GB2312"/>
          <w:color w:val="000000"/>
          <w:kern w:val="2"/>
          <w:sz w:val="32"/>
          <w:szCs w:val="24"/>
          <w:lang w:val="en-US" w:eastAsia="zh-CN"/>
        </w:rPr>
      </w:pPr>
      <w:r>
        <w:rPr>
          <w:rFonts w:hint="eastAsia" w:ascii="仿宋_GB2312" w:hAnsi="仿宋_GB2312" w:eastAsia="仿宋_GB2312"/>
          <w:b/>
          <w:color w:val="000000"/>
          <w:kern w:val="2"/>
          <w:sz w:val="32"/>
          <w:szCs w:val="24"/>
        </w:rPr>
        <w:t>（</w:t>
      </w:r>
      <w:r>
        <w:rPr>
          <w:rFonts w:hint="eastAsia" w:ascii="仿宋_GB2312" w:hAnsi="仿宋_GB2312" w:eastAsia="仿宋_GB2312"/>
          <w:b/>
          <w:color w:val="000000"/>
          <w:kern w:val="2"/>
          <w:sz w:val="32"/>
          <w:szCs w:val="24"/>
          <w:lang w:val="en-US" w:eastAsia="zh-CN"/>
        </w:rPr>
        <w:t>三</w:t>
      </w:r>
      <w:r>
        <w:rPr>
          <w:rFonts w:hint="eastAsia" w:ascii="仿宋_GB2312" w:hAnsi="仿宋_GB2312" w:eastAsia="仿宋_GB2312"/>
          <w:b/>
          <w:color w:val="000000"/>
          <w:kern w:val="2"/>
          <w:sz w:val="32"/>
          <w:szCs w:val="24"/>
        </w:rPr>
        <w:t>）</w:t>
      </w:r>
      <w:r>
        <w:rPr>
          <w:rFonts w:hint="eastAsia" w:ascii="仿宋_GB2312" w:hAnsi="仿宋_GB2312" w:eastAsia="仿宋_GB2312" w:cs="Times New Roman"/>
          <w:b/>
          <w:color w:val="000000"/>
          <w:kern w:val="2"/>
          <w:sz w:val="32"/>
          <w:szCs w:val="24"/>
        </w:rPr>
        <w:t>资本性支出</w:t>
      </w:r>
      <w:r>
        <w:rPr>
          <w:rFonts w:hint="default" w:ascii="宋体" w:hAnsi="Times New Roman" w:eastAsia="宋体"/>
          <w:b/>
          <w:color w:val="000000"/>
          <w:kern w:val="2"/>
          <w:sz w:val="32"/>
          <w:szCs w:val="24"/>
          <w:u w:val="single"/>
          <w:lang w:val="en-US" w:eastAsia="zh-CN"/>
        </w:rPr>
        <w:t>1386.11</w:t>
      </w:r>
      <w:r>
        <w:rPr>
          <w:rFonts w:hint="eastAsia" w:ascii="仿宋_GB2312" w:hAnsi="仿宋_GB2312" w:eastAsia="仿宋_GB2312"/>
          <w:b/>
          <w:color w:val="000000"/>
          <w:kern w:val="2"/>
          <w:sz w:val="32"/>
          <w:szCs w:val="24"/>
        </w:rPr>
        <w:t>万元</w:t>
      </w:r>
      <w:r>
        <w:rPr>
          <w:rFonts w:hint="eastAsia" w:ascii="仿宋_GB2312" w:hAnsi="仿宋_GB2312" w:eastAsia="仿宋_GB2312"/>
          <w:b/>
          <w:color w:val="000000"/>
          <w:kern w:val="2"/>
          <w:sz w:val="32"/>
          <w:szCs w:val="24"/>
          <w:lang w:eastAsia="zh-CN"/>
        </w:rPr>
        <w:t>。</w:t>
      </w:r>
      <w:r>
        <w:rPr>
          <w:rFonts w:hint="eastAsia" w:ascii="仿宋_GB2312" w:hAnsi="仿宋_GB2312" w:eastAsia="仿宋_GB2312"/>
          <w:color w:val="000000"/>
          <w:kern w:val="2"/>
          <w:sz w:val="32"/>
          <w:szCs w:val="24"/>
        </w:rPr>
        <w:t>主要包括：基础设施建设</w:t>
      </w:r>
      <w:r>
        <w:rPr>
          <w:rFonts w:hint="eastAsia" w:ascii="仿宋_GB2312" w:hAnsi="仿宋_GB2312" w:eastAsia="仿宋_GB2312"/>
          <w:color w:val="000000"/>
          <w:kern w:val="2"/>
          <w:sz w:val="32"/>
          <w:szCs w:val="24"/>
          <w:u w:val="single"/>
          <w:lang w:val="en-US" w:eastAsia="zh-CN"/>
        </w:rPr>
        <w:t>1386.11</w:t>
      </w:r>
      <w:r>
        <w:rPr>
          <w:rFonts w:hint="eastAsia" w:ascii="仿宋_GB2312" w:hAnsi="仿宋_GB2312" w:eastAsia="仿宋_GB2312"/>
          <w:color w:val="000000"/>
          <w:kern w:val="2"/>
          <w:sz w:val="32"/>
          <w:szCs w:val="24"/>
          <w:lang w:val="en-US" w:eastAsia="zh-CN"/>
        </w:rPr>
        <w:t>万元。</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八、</w:t>
      </w:r>
      <w:r>
        <w:rPr>
          <w:rFonts w:hint="eastAsia" w:ascii="黑体" w:hAnsi="黑体" w:eastAsia="黑体"/>
          <w:b/>
          <w:color w:val="auto"/>
          <w:kern w:val="2"/>
          <w:sz w:val="32"/>
          <w:szCs w:val="24"/>
        </w:rPr>
        <w:t>财政拨款“三公”经费支出决算情况说明</w:t>
      </w:r>
    </w:p>
    <w:p>
      <w:pPr>
        <w:keepNext/>
        <w:keepLine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（一）财政拨款“三公”经费支出总体情况说明。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w:t>
      </w:r>
      <w:r>
        <w:rPr>
          <w:rFonts w:hint="default" w:ascii="Times New Roman" w:hAnsi="Times New Roman" w:eastAsia="Times New Roman"/>
          <w:color w:val="auto"/>
          <w:kern w:val="2"/>
          <w:sz w:val="32"/>
          <w:szCs w:val="24"/>
        </w:rPr>
        <w:t xml:space="preserve"> </w:t>
      </w:r>
      <w:r>
        <w:rPr>
          <w:rFonts w:hint="eastAsia" w:ascii="仿宋_GB2312" w:hAnsi="仿宋_GB2312" w:eastAsia="仿宋_GB2312"/>
          <w:color w:val="auto"/>
          <w:kern w:val="2"/>
          <w:sz w:val="32"/>
          <w:szCs w:val="24"/>
        </w:rPr>
        <w:t>2022年度财政拨款“三公”经费预算</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%。其中：因公出国（境）费预算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%；公务用车购置及运行维护费预算</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%；公务接待费预算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%。2022年度财政拨款“三公”经费支出决算与预算差异原因</w:t>
      </w:r>
      <w:r>
        <w:rPr>
          <w:rFonts w:hint="eastAsia" w:ascii="仿宋_GB2312" w:hAnsi="仿宋_GB2312" w:eastAsia="仿宋_GB2312"/>
          <w:color w:val="auto"/>
          <w:kern w:val="2"/>
          <w:sz w:val="32"/>
          <w:szCs w:val="24"/>
          <w:lang w:val="en-US" w:eastAsia="zh-CN"/>
        </w:rPr>
        <w:t>无</w:t>
      </w:r>
      <w:r>
        <w:rPr>
          <w:rFonts w:hint="eastAsia" w:ascii="仿宋_GB2312" w:hAnsi="仿宋_GB2312" w:eastAsia="仿宋_GB2312"/>
          <w:color w:val="auto"/>
          <w:kern w:val="2"/>
          <w:sz w:val="32"/>
          <w:szCs w:val="24"/>
        </w:rPr>
        <w:t>。</w:t>
      </w:r>
    </w:p>
    <w:p>
      <w:pPr>
        <w:keepNext/>
        <w:keepLines/>
        <w:spacing w:beforeLines="0" w:afterLines="0"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（二）财政拨款“三公”经费支出具体情况说明。</w:t>
      </w:r>
    </w:p>
    <w:p>
      <w:pPr>
        <w:keepNext/>
        <w:keepLines/>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莫力达瓦达斡尔族自治旗哈达阳镇人民政府2022年度财政拨款“三公”经费支出</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万元。因公出国（境）费支出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%；公务用车购置及运行维护费支出</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%；公务接待费支出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%。其中：</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因公出国（境）费支出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万元，全年出国（境）团组</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个，累计</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人次。与上年决算相比，增加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公务用车购置及运行维护费支出</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万元。其中：</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w:t>
      </w: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）公务用车购置支出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万元。本年度使用财政拨款购置公务用车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辆，开支内容：</w:t>
      </w:r>
      <w:r>
        <w:rPr>
          <w:rFonts w:hint="eastAsia" w:ascii="仿宋_GB2312" w:hAnsi="仿宋_GB2312" w:eastAsia="仿宋_GB2312"/>
          <w:color w:val="auto"/>
          <w:kern w:val="2"/>
          <w:sz w:val="32"/>
          <w:szCs w:val="24"/>
          <w:lang w:val="en-US" w:eastAsia="zh-CN"/>
        </w:rPr>
        <w:t>无</w:t>
      </w:r>
      <w:r>
        <w:rPr>
          <w:rFonts w:hint="eastAsia" w:ascii="仿宋_GB2312" w:hAnsi="仿宋_GB2312" w:eastAsia="仿宋_GB2312"/>
          <w:color w:val="auto"/>
          <w:kern w:val="2"/>
          <w:sz w:val="32"/>
          <w:szCs w:val="24"/>
        </w:rPr>
        <w:t>。与上年决算相比，增加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w:t>
      </w: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）公务用车运行维护费支出</w:t>
      </w:r>
      <w:r>
        <w:rPr>
          <w:rFonts w:hint="default" w:ascii="Times New Roman" w:hAnsi="Times New Roman" w:eastAsia="Times New Roman"/>
          <w:color w:val="auto"/>
          <w:kern w:val="2"/>
          <w:sz w:val="32"/>
          <w:szCs w:val="24"/>
          <w:u w:val="single"/>
        </w:rPr>
        <w:t>29.85</w:t>
      </w:r>
      <w:r>
        <w:rPr>
          <w:rFonts w:hint="eastAsia" w:ascii="仿宋_GB2312" w:hAnsi="仿宋_GB2312" w:eastAsia="仿宋_GB2312"/>
          <w:color w:val="auto"/>
          <w:kern w:val="2"/>
          <w:sz w:val="32"/>
          <w:szCs w:val="24"/>
        </w:rPr>
        <w:t>万元。公务用车运行维护费主要用于按规定保留的公务用车的燃料费、维修费、过桥过路费、保险费、安全奖励费用等支出。截至</w:t>
      </w:r>
      <w:r>
        <w:rPr>
          <w:rFonts w:hint="default" w:ascii="Times New Roman" w:hAnsi="Times New Roman" w:eastAsia="Times New Roman"/>
          <w:color w:val="auto"/>
          <w:kern w:val="2"/>
          <w:sz w:val="32"/>
          <w:szCs w:val="24"/>
        </w:rPr>
        <w:t>2022</w:t>
      </w:r>
      <w:r>
        <w:rPr>
          <w:rFonts w:hint="eastAsia" w:ascii="仿宋_GB2312" w:hAnsi="仿宋_GB2312" w:eastAsia="仿宋_GB2312"/>
          <w:color w:val="auto"/>
          <w:kern w:val="2"/>
          <w:sz w:val="32"/>
          <w:szCs w:val="24"/>
        </w:rPr>
        <w:t>年</w:t>
      </w:r>
      <w:r>
        <w:rPr>
          <w:rFonts w:hint="default" w:ascii="Times New Roman" w:hAnsi="Times New Roman" w:eastAsia="Times New Roman"/>
          <w:color w:val="auto"/>
          <w:kern w:val="2"/>
          <w:sz w:val="32"/>
          <w:szCs w:val="24"/>
        </w:rPr>
        <w:t>12</w:t>
      </w:r>
      <w:r>
        <w:rPr>
          <w:rFonts w:hint="eastAsia" w:ascii="仿宋_GB2312" w:hAnsi="仿宋_GB2312" w:eastAsia="仿宋_GB2312"/>
          <w:color w:val="auto"/>
          <w:kern w:val="2"/>
          <w:sz w:val="32"/>
          <w:szCs w:val="24"/>
        </w:rPr>
        <w:t>月</w:t>
      </w:r>
      <w:r>
        <w:rPr>
          <w:rFonts w:hint="default" w:ascii="Times New Roman" w:hAnsi="Times New Roman" w:eastAsia="Times New Roman"/>
          <w:color w:val="auto"/>
          <w:kern w:val="2"/>
          <w:sz w:val="32"/>
          <w:szCs w:val="24"/>
        </w:rPr>
        <w:t>31</w:t>
      </w:r>
      <w:r>
        <w:rPr>
          <w:rFonts w:hint="eastAsia" w:ascii="仿宋_GB2312" w:hAnsi="仿宋_GB2312" w:eastAsia="仿宋_GB2312"/>
          <w:color w:val="auto"/>
          <w:kern w:val="2"/>
          <w:sz w:val="32"/>
          <w:szCs w:val="24"/>
        </w:rPr>
        <w:t>日，使用财政拨款开支的公务用车保有量为</w:t>
      </w:r>
      <w:r>
        <w:rPr>
          <w:rFonts w:hint="default" w:ascii="Times New Roman" w:hAnsi="Times New Roman" w:eastAsia="Times New Roman"/>
          <w:color w:val="auto"/>
          <w:kern w:val="2"/>
          <w:sz w:val="32"/>
          <w:szCs w:val="24"/>
          <w:u w:val="single"/>
        </w:rPr>
        <w:t>2</w:t>
      </w:r>
      <w:r>
        <w:rPr>
          <w:rFonts w:hint="eastAsia" w:ascii="仿宋_GB2312" w:hAnsi="仿宋_GB2312" w:eastAsia="仿宋_GB2312"/>
          <w:color w:val="auto"/>
          <w:kern w:val="2"/>
          <w:sz w:val="32"/>
          <w:szCs w:val="24"/>
        </w:rPr>
        <w:t>辆。与上年决算相比，减少</w:t>
      </w:r>
      <w:r>
        <w:rPr>
          <w:rFonts w:hint="default" w:ascii="Times New Roman" w:hAnsi="Times New Roman" w:eastAsia="Times New Roman"/>
          <w:color w:val="auto"/>
          <w:kern w:val="2"/>
          <w:sz w:val="32"/>
          <w:szCs w:val="24"/>
          <w:u w:val="single"/>
        </w:rPr>
        <w:t>109.33</w:t>
      </w:r>
      <w:r>
        <w:rPr>
          <w:rFonts w:hint="eastAsia" w:ascii="仿宋_GB2312" w:hAnsi="仿宋_GB2312" w:eastAsia="仿宋_GB2312"/>
          <w:color w:val="auto"/>
          <w:kern w:val="2"/>
          <w:sz w:val="32"/>
          <w:szCs w:val="24"/>
        </w:rPr>
        <w:t>万元，减少</w:t>
      </w:r>
      <w:r>
        <w:rPr>
          <w:rFonts w:hint="default" w:ascii="Times New Roman" w:hAnsi="Times New Roman" w:eastAsia="Times New Roman"/>
          <w:color w:val="auto"/>
          <w:kern w:val="2"/>
          <w:sz w:val="32"/>
          <w:szCs w:val="24"/>
          <w:u w:val="single"/>
        </w:rPr>
        <w:t>78.55</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本年度正常业务变动</w:t>
      </w:r>
      <w:r>
        <w:rPr>
          <w:rFonts w:hint="eastAsia" w:ascii="仿宋_GB2312" w:hAnsi="仿宋_GB2312" w:eastAsia="仿宋_GB2312"/>
          <w:color w:val="auto"/>
          <w:kern w:val="2"/>
          <w:sz w:val="32"/>
          <w:szCs w:val="24"/>
        </w:rPr>
        <w:t>。</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3.</w:t>
      </w:r>
      <w:r>
        <w:rPr>
          <w:rFonts w:hint="eastAsia" w:ascii="仿宋_GB2312" w:hAnsi="仿宋_GB2312" w:eastAsia="仿宋_GB2312"/>
          <w:color w:val="auto"/>
          <w:kern w:val="2"/>
          <w:sz w:val="32"/>
          <w:szCs w:val="24"/>
        </w:rPr>
        <w:t>公务接待费支出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万元。其中：国内公务接待支出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万元，接待</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批次，</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人次，开支内容：</w:t>
      </w:r>
      <w:r>
        <w:rPr>
          <w:rFonts w:hint="eastAsia" w:ascii="仿宋_GB2312" w:hAnsi="仿宋_GB2312" w:eastAsia="仿宋_GB2312"/>
          <w:color w:val="auto"/>
          <w:kern w:val="2"/>
          <w:sz w:val="32"/>
          <w:szCs w:val="24"/>
          <w:lang w:val="en-US" w:eastAsia="zh-CN"/>
        </w:rPr>
        <w:t>无</w:t>
      </w:r>
      <w:r>
        <w:rPr>
          <w:rFonts w:hint="eastAsia" w:ascii="仿宋_GB2312" w:hAnsi="仿宋_GB2312" w:eastAsia="仿宋_GB2312"/>
          <w:color w:val="auto"/>
          <w:kern w:val="2"/>
          <w:sz w:val="32"/>
          <w:szCs w:val="24"/>
        </w:rPr>
        <w:t>；国（境）外公务接待支出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万元，接待</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批次，</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人次，开支内容：</w:t>
      </w:r>
      <w:r>
        <w:rPr>
          <w:rFonts w:hint="eastAsia" w:ascii="仿宋_GB2312" w:hAnsi="仿宋_GB2312" w:eastAsia="仿宋_GB2312"/>
          <w:color w:val="auto"/>
          <w:kern w:val="2"/>
          <w:sz w:val="32"/>
          <w:szCs w:val="24"/>
          <w:lang w:val="en-US" w:eastAsia="zh-CN"/>
        </w:rPr>
        <w:t>无</w:t>
      </w:r>
      <w:r>
        <w:rPr>
          <w:rFonts w:hint="eastAsia" w:ascii="仿宋_GB2312" w:hAnsi="仿宋_GB2312" w:eastAsia="仿宋_GB2312"/>
          <w:color w:val="auto"/>
          <w:kern w:val="2"/>
          <w:sz w:val="32"/>
          <w:szCs w:val="24"/>
        </w:rPr>
        <w:t>。与上年决算相比，增加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不存在此项内容。</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九、</w:t>
      </w:r>
      <w:r>
        <w:rPr>
          <w:rFonts w:hint="eastAsia" w:ascii="黑体" w:hAnsi="黑体" w:eastAsia="黑体"/>
          <w:b/>
          <w:color w:val="auto"/>
          <w:kern w:val="2"/>
          <w:sz w:val="32"/>
          <w:szCs w:val="24"/>
        </w:rPr>
        <w:t>政府性基金预算财政拨款支出决算情况说明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莫力达瓦达斡尔族自治旗哈达阳镇人民政府2022年度政府性基金支出决算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万元。与上年决算相比，增加（减少）</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万元，增长（减少）</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%，变动原因：本年无政府性基金预算财政拨款收、支、余。</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十、</w:t>
      </w:r>
      <w:r>
        <w:rPr>
          <w:rFonts w:hint="eastAsia" w:ascii="黑体" w:hAnsi="黑体" w:eastAsia="黑体"/>
          <w:b/>
          <w:color w:val="auto"/>
          <w:kern w:val="2"/>
          <w:sz w:val="32"/>
          <w:szCs w:val="24"/>
        </w:rPr>
        <w:t>国有资本经营预算财政拨款支出决算情况说明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莫力达瓦达斡尔族自治旗哈达阳镇人民政府2022年度国有资本经营预算支出决算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万元。与上年决算相比，增加（减少）</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万元，增长（减少）</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%，变动原因：本年无政府性基金预算财政拨款收、支、余。</w:t>
      </w:r>
    </w:p>
    <w:p>
      <w:pPr>
        <w:keepNext/>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十一、</w:t>
      </w:r>
      <w:r>
        <w:rPr>
          <w:rFonts w:hint="eastAsia" w:ascii="黑体" w:hAnsi="黑体" w:eastAsia="黑体"/>
          <w:b/>
          <w:color w:val="auto"/>
          <w:kern w:val="2"/>
          <w:sz w:val="32"/>
          <w:szCs w:val="24"/>
        </w:rPr>
        <w:t>项目支出决算情况说明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莫力达瓦达斡尔族自治旗哈达阳镇人民政府2022年度预算安排项目</w:t>
      </w:r>
      <w:r>
        <w:rPr>
          <w:rFonts w:hint="default" w:ascii="宋体" w:hAnsi="Times New Roman" w:eastAsia="宋体"/>
          <w:color w:val="auto"/>
          <w:kern w:val="2"/>
          <w:sz w:val="32"/>
          <w:szCs w:val="24"/>
          <w:u w:val="single"/>
          <w:lang w:val="en-US" w:eastAsia="zh-CN"/>
        </w:rPr>
        <w:t>13</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个，实施项目</w:t>
      </w:r>
      <w:r>
        <w:rPr>
          <w:rFonts w:hint="default" w:ascii="宋体" w:hAnsi="Times New Roman" w:eastAsia="宋体"/>
          <w:color w:val="auto"/>
          <w:kern w:val="2"/>
          <w:sz w:val="32"/>
          <w:szCs w:val="24"/>
          <w:u w:val="single"/>
          <w:lang w:val="en-US" w:eastAsia="zh-CN"/>
        </w:rPr>
        <w:t>13</w:t>
      </w:r>
      <w:r>
        <w:rPr>
          <w:rFonts w:hint="eastAsia" w:ascii="仿宋_GB2312" w:hAnsi="仿宋_GB2312" w:eastAsia="仿宋_GB2312"/>
          <w:color w:val="auto"/>
          <w:kern w:val="2"/>
          <w:sz w:val="32"/>
          <w:szCs w:val="24"/>
        </w:rPr>
        <w:t>个，完成项目</w:t>
      </w:r>
      <w:r>
        <w:rPr>
          <w:rFonts w:hint="default" w:ascii="宋体" w:hAnsi="Times New Roman" w:eastAsia="宋体"/>
          <w:color w:val="auto"/>
          <w:kern w:val="2"/>
          <w:sz w:val="32"/>
          <w:szCs w:val="24"/>
          <w:u w:val="single"/>
          <w:lang w:val="en-US" w:eastAsia="zh-CN"/>
        </w:rPr>
        <w:t>13</w:t>
      </w:r>
      <w:r>
        <w:rPr>
          <w:rFonts w:hint="eastAsia" w:ascii="仿宋_GB2312" w:hAnsi="仿宋_GB2312" w:eastAsia="仿宋_GB2312"/>
          <w:color w:val="auto"/>
          <w:kern w:val="2"/>
          <w:sz w:val="32"/>
          <w:szCs w:val="24"/>
        </w:rPr>
        <w:t>个，项目支出总金额</w:t>
      </w:r>
      <w:r>
        <w:rPr>
          <w:rFonts w:hint="default" w:ascii="Times New Roman" w:hAnsi="Times New Roman" w:eastAsia="Times New Roman"/>
          <w:color w:val="auto"/>
          <w:kern w:val="2"/>
          <w:sz w:val="32"/>
          <w:szCs w:val="24"/>
          <w:u w:val="single"/>
        </w:rPr>
        <w:t>1,480.79</w:t>
      </w:r>
      <w:r>
        <w:rPr>
          <w:rFonts w:hint="eastAsia" w:ascii="仿宋_GB2312" w:hAnsi="仿宋_GB2312" w:eastAsia="仿宋_GB2312"/>
          <w:color w:val="auto"/>
          <w:kern w:val="2"/>
          <w:sz w:val="32"/>
          <w:szCs w:val="24"/>
        </w:rPr>
        <w:t>万元。资金来源包括年初结转结余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万元，本年财政拨款金额</w:t>
      </w:r>
      <w:r>
        <w:rPr>
          <w:rFonts w:hint="default" w:ascii="Times New Roman" w:hAnsi="Times New Roman" w:eastAsia="Times New Roman"/>
          <w:color w:val="auto"/>
          <w:kern w:val="2"/>
          <w:sz w:val="32"/>
          <w:szCs w:val="24"/>
          <w:u w:val="single"/>
        </w:rPr>
        <w:t>1,480.79</w:t>
      </w:r>
      <w:r>
        <w:rPr>
          <w:rFonts w:hint="eastAsia" w:ascii="仿宋_GB2312" w:hAnsi="仿宋_GB2312" w:eastAsia="仿宋_GB2312"/>
          <w:color w:val="auto"/>
          <w:kern w:val="2"/>
          <w:sz w:val="32"/>
          <w:szCs w:val="24"/>
        </w:rPr>
        <w:t>万元，本年其他资金</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十二、</w:t>
      </w:r>
      <w:r>
        <w:rPr>
          <w:rFonts w:hint="eastAsia" w:ascii="黑体" w:hAnsi="黑体" w:eastAsia="黑体"/>
          <w:b/>
          <w:color w:val="auto"/>
          <w:kern w:val="2"/>
          <w:sz w:val="32"/>
          <w:szCs w:val="24"/>
        </w:rPr>
        <w:t>机构运行经费支出决算情况说明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莫力达瓦达斡尔族自治旗哈达阳镇人民政府2022年度机构运行经费支出决算</w:t>
      </w:r>
      <w:r>
        <w:rPr>
          <w:rFonts w:hint="default" w:ascii="Times New Roman" w:hAnsi="Times New Roman" w:eastAsia="Times New Roman"/>
          <w:color w:val="auto"/>
          <w:kern w:val="2"/>
          <w:sz w:val="32"/>
          <w:szCs w:val="24"/>
          <w:u w:val="single"/>
        </w:rPr>
        <w:t>82.05</w:t>
      </w:r>
      <w:r>
        <w:rPr>
          <w:rFonts w:hint="eastAsia" w:ascii="仿宋_GB2312" w:hAnsi="仿宋_GB2312" w:eastAsia="仿宋_GB2312"/>
          <w:color w:val="auto"/>
          <w:kern w:val="2"/>
          <w:sz w:val="32"/>
          <w:szCs w:val="24"/>
        </w:rPr>
        <w:t>万元。比上年决算相比，增加</w:t>
      </w:r>
      <w:r>
        <w:rPr>
          <w:rFonts w:hint="default" w:ascii="Times New Roman" w:hAnsi="Times New Roman" w:eastAsia="Times New Roman"/>
          <w:color w:val="auto"/>
          <w:kern w:val="2"/>
          <w:sz w:val="32"/>
          <w:szCs w:val="24"/>
          <w:u w:val="single"/>
        </w:rPr>
        <w:t>55.73</w:t>
      </w:r>
      <w:r>
        <w:rPr>
          <w:rFonts w:hint="eastAsia" w:ascii="仿宋_GB2312" w:hAnsi="仿宋_GB2312" w:eastAsia="仿宋_GB2312"/>
          <w:color w:val="auto"/>
          <w:kern w:val="2"/>
          <w:sz w:val="32"/>
          <w:szCs w:val="24"/>
        </w:rPr>
        <w:t>万元，减少</w:t>
      </w:r>
      <w:r>
        <w:rPr>
          <w:rFonts w:hint="default" w:ascii="Times New Roman" w:hAnsi="Times New Roman" w:eastAsia="Times New Roman"/>
          <w:color w:val="auto"/>
          <w:kern w:val="2"/>
          <w:sz w:val="32"/>
          <w:szCs w:val="24"/>
          <w:u w:val="single"/>
        </w:rPr>
        <w:t>40.45</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本年度正常业务变动</w:t>
      </w:r>
      <w:r>
        <w:rPr>
          <w:rFonts w:hint="eastAsia" w:ascii="仿宋_GB2312" w:hAnsi="仿宋_GB2312" w:eastAsia="仿宋_GB2312"/>
          <w:color w:val="auto"/>
          <w:kern w:val="2"/>
          <w:sz w:val="32"/>
          <w:szCs w:val="24"/>
        </w:rPr>
        <w:t>。</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十三、</w:t>
      </w:r>
      <w:r>
        <w:rPr>
          <w:rFonts w:hint="eastAsia" w:ascii="黑体" w:hAnsi="黑体" w:eastAsia="黑体"/>
          <w:b/>
          <w:color w:val="auto"/>
          <w:kern w:val="2"/>
          <w:sz w:val="32"/>
          <w:szCs w:val="24"/>
        </w:rPr>
        <w:t>政府采购支出决算情况说明</w:t>
      </w:r>
    </w:p>
    <w:p>
      <w:pPr>
        <w:spacing w:beforeLines="0" w:afterLines="0" w:line="560" w:lineRule="exact"/>
        <w:ind w:firstLine="640"/>
        <w:jc w:val="both"/>
        <w:rPr>
          <w:rFonts w:hint="default" w:ascii="Times New Roman" w:hAnsi="Times New Roman" w:eastAsia="Times New Roman"/>
          <w:color w:val="0000FF"/>
          <w:kern w:val="2"/>
          <w:sz w:val="32"/>
          <w:szCs w:val="24"/>
        </w:rPr>
      </w:pPr>
      <w:r>
        <w:rPr>
          <w:rFonts w:hint="eastAsia" w:ascii="仿宋_GB2312" w:hAnsi="仿宋_GB2312" w:eastAsia="仿宋_GB2312"/>
          <w:color w:val="auto"/>
          <w:kern w:val="2"/>
          <w:sz w:val="32"/>
          <w:szCs w:val="24"/>
        </w:rPr>
        <w:t>莫力达瓦达斡尔族自治旗哈达阳镇人民政府2022年度政府采购支出总额</w:t>
      </w:r>
      <w:r>
        <w:rPr>
          <w:rFonts w:hint="default" w:ascii="Times New Roman" w:hAnsi="Times New Roman" w:eastAsia="Times New Roman"/>
          <w:color w:val="auto"/>
          <w:kern w:val="2"/>
          <w:sz w:val="32"/>
          <w:szCs w:val="24"/>
          <w:u w:val="single"/>
        </w:rPr>
        <w:t>5.5</w:t>
      </w:r>
      <w:r>
        <w:rPr>
          <w:rFonts w:hint="eastAsia" w:ascii="仿宋_GB2312" w:hAnsi="仿宋_GB2312" w:eastAsia="仿宋_GB2312"/>
          <w:color w:val="auto"/>
          <w:kern w:val="2"/>
          <w:sz w:val="32"/>
          <w:szCs w:val="24"/>
        </w:rPr>
        <w:t>万元，其中：政府采购货物支出</w:t>
      </w:r>
      <w:r>
        <w:rPr>
          <w:rFonts w:hint="default" w:ascii="Times New Roman" w:hAnsi="Times New Roman" w:eastAsia="Times New Roman"/>
          <w:color w:val="auto"/>
          <w:kern w:val="2"/>
          <w:sz w:val="32"/>
          <w:szCs w:val="24"/>
          <w:u w:val="single"/>
        </w:rPr>
        <w:t>5.5</w:t>
      </w:r>
      <w:r>
        <w:rPr>
          <w:rFonts w:hint="eastAsia" w:ascii="仿宋_GB2312" w:hAnsi="仿宋_GB2312" w:eastAsia="仿宋_GB2312"/>
          <w:color w:val="auto"/>
          <w:kern w:val="2"/>
          <w:sz w:val="32"/>
          <w:szCs w:val="24"/>
        </w:rPr>
        <w:t>万元、政府采购工程支出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万元、政府采购服务支出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w:t>
      </w:r>
    </w:p>
    <w:p>
      <w:pPr>
        <w:keepNext/>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十四、</w:t>
      </w:r>
      <w:r>
        <w:rPr>
          <w:rFonts w:hint="eastAsia" w:ascii="黑体" w:hAnsi="黑体" w:eastAsia="黑体"/>
          <w:b/>
          <w:color w:val="auto"/>
          <w:kern w:val="2"/>
          <w:sz w:val="32"/>
          <w:szCs w:val="24"/>
        </w:rPr>
        <w:t>国有资产占用情况说明</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莫力达瓦达斡尔族自治旗哈达阳镇人民政府截至</w:t>
      </w:r>
      <w:r>
        <w:rPr>
          <w:rFonts w:hint="default" w:ascii="Times New Roman" w:hAnsi="Times New Roman" w:eastAsia="Times New Roman"/>
          <w:color w:val="auto"/>
          <w:kern w:val="2"/>
          <w:sz w:val="32"/>
          <w:szCs w:val="24"/>
        </w:rPr>
        <w:t>2022</w:t>
      </w:r>
      <w:r>
        <w:rPr>
          <w:rFonts w:hint="eastAsia" w:ascii="仿宋_GB2312" w:hAnsi="仿宋_GB2312" w:eastAsia="仿宋_GB2312"/>
          <w:color w:val="auto"/>
          <w:kern w:val="2"/>
          <w:sz w:val="32"/>
          <w:szCs w:val="24"/>
        </w:rPr>
        <w:t>年</w:t>
      </w:r>
      <w:r>
        <w:rPr>
          <w:rFonts w:hint="default" w:ascii="Times New Roman" w:hAnsi="Times New Roman" w:eastAsia="Times New Roman"/>
          <w:color w:val="auto"/>
          <w:kern w:val="2"/>
          <w:sz w:val="32"/>
          <w:szCs w:val="24"/>
        </w:rPr>
        <w:t>12</w:t>
      </w:r>
      <w:r>
        <w:rPr>
          <w:rFonts w:hint="eastAsia" w:ascii="仿宋_GB2312" w:hAnsi="仿宋_GB2312" w:eastAsia="仿宋_GB2312"/>
          <w:color w:val="auto"/>
          <w:kern w:val="2"/>
          <w:sz w:val="32"/>
          <w:szCs w:val="24"/>
        </w:rPr>
        <w:t>月</w:t>
      </w:r>
      <w:r>
        <w:rPr>
          <w:rFonts w:hint="default" w:ascii="Times New Roman" w:hAnsi="Times New Roman" w:eastAsia="Times New Roman"/>
          <w:color w:val="auto"/>
          <w:kern w:val="2"/>
          <w:sz w:val="32"/>
          <w:szCs w:val="24"/>
        </w:rPr>
        <w:t>31</w:t>
      </w:r>
      <w:r>
        <w:rPr>
          <w:rFonts w:hint="eastAsia" w:ascii="仿宋_GB2312" w:hAnsi="仿宋_GB2312" w:eastAsia="仿宋_GB2312"/>
          <w:color w:val="auto"/>
          <w:kern w:val="2"/>
          <w:sz w:val="32"/>
          <w:szCs w:val="24"/>
        </w:rPr>
        <w:t>日，本共有车辆</w:t>
      </w:r>
      <w:r>
        <w:rPr>
          <w:rFonts w:hint="default" w:ascii="Times New Roman" w:hAnsi="Times New Roman" w:eastAsia="Times New Roman"/>
          <w:color w:val="auto"/>
          <w:kern w:val="2"/>
          <w:sz w:val="32"/>
          <w:szCs w:val="24"/>
          <w:u w:val="single"/>
        </w:rPr>
        <w:t>2</w:t>
      </w:r>
      <w:r>
        <w:rPr>
          <w:rFonts w:hint="eastAsia" w:ascii="仿宋_GB2312" w:hAnsi="仿宋_GB2312" w:eastAsia="仿宋_GB2312"/>
          <w:color w:val="auto"/>
          <w:kern w:val="2"/>
          <w:sz w:val="32"/>
          <w:szCs w:val="24"/>
        </w:rPr>
        <w:t>辆，其中：副部（省）级及以上领导用车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辆、主要领导干部用车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辆、机要通信用车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辆、应急保障用车</w:t>
      </w:r>
      <w:r>
        <w:rPr>
          <w:rFonts w:hint="default" w:ascii="Times New Roman" w:hAnsi="Times New Roman" w:eastAsia="Times New Roman"/>
          <w:color w:val="auto"/>
          <w:kern w:val="2"/>
          <w:sz w:val="32"/>
          <w:szCs w:val="24"/>
          <w:u w:val="single"/>
        </w:rPr>
        <w:t>2</w:t>
      </w:r>
      <w:r>
        <w:rPr>
          <w:rFonts w:hint="eastAsia" w:ascii="仿宋_GB2312" w:hAnsi="仿宋_GB2312" w:eastAsia="仿宋_GB2312"/>
          <w:color w:val="auto"/>
          <w:kern w:val="2"/>
          <w:sz w:val="32"/>
          <w:szCs w:val="24"/>
        </w:rPr>
        <w:t>辆、执法执勤用车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辆、特种专业技术用车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辆、离退休干部用车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辆，其他用车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辆；单价</w:t>
      </w:r>
      <w:r>
        <w:rPr>
          <w:rFonts w:hint="default" w:ascii="Times New Roman" w:hAnsi="Times New Roman" w:eastAsia="Times New Roman"/>
          <w:color w:val="auto"/>
          <w:kern w:val="2"/>
          <w:sz w:val="32"/>
          <w:szCs w:val="24"/>
        </w:rPr>
        <w:t>100</w:t>
      </w:r>
      <w:r>
        <w:rPr>
          <w:rFonts w:hint="eastAsia" w:ascii="仿宋_GB2312" w:hAnsi="仿宋_GB2312" w:eastAsia="仿宋_GB2312"/>
          <w:color w:val="auto"/>
          <w:kern w:val="2"/>
          <w:sz w:val="32"/>
          <w:szCs w:val="24"/>
        </w:rPr>
        <w:t>万元（含）以上的设备（不含车辆）</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台（套）。</w:t>
      </w:r>
    </w:p>
    <w:p>
      <w:pPr>
        <w:spacing w:beforeLines="0" w:afterLines="0"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000000"/>
          <w:kern w:val="2"/>
          <w:sz w:val="32"/>
          <w:szCs w:val="24"/>
        </w:rPr>
        <w:t>十五、</w:t>
      </w:r>
      <w:r>
        <w:rPr>
          <w:rFonts w:hint="eastAsia" w:ascii="黑体" w:hAnsi="黑体" w:eastAsia="黑体"/>
          <w:b/>
          <w:color w:val="auto"/>
          <w:kern w:val="2"/>
          <w:sz w:val="32"/>
          <w:szCs w:val="24"/>
        </w:rPr>
        <w:t>预算绩效情况说明</w:t>
      </w:r>
    </w:p>
    <w:p>
      <w:pPr>
        <w:spacing w:beforeLines="0" w:afterLines="0"/>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（一）预算绩效管理工作开展情况。</w:t>
      </w:r>
    </w:p>
    <w:p>
      <w:pPr>
        <w:spacing w:beforeLines="0" w:afterLines="0" w:line="560" w:lineRule="exact"/>
        <w:ind w:firstLine="640"/>
        <w:jc w:val="both"/>
        <w:rPr>
          <w:rFonts w:hint="default" w:ascii="仿宋_GB2312" w:hAnsi="仿宋_GB2312" w:eastAsia="仿宋_GB2312"/>
          <w:color w:val="auto"/>
          <w:kern w:val="2"/>
          <w:sz w:val="32"/>
          <w:szCs w:val="24"/>
          <w:lang w:val="en-US"/>
        </w:rPr>
      </w:pPr>
      <w:r>
        <w:rPr>
          <w:rFonts w:hint="eastAsia" w:ascii="仿宋_GB2312" w:hAnsi="仿宋_GB2312" w:eastAsia="仿宋_GB2312"/>
          <w:color w:val="auto"/>
          <w:kern w:val="2"/>
          <w:sz w:val="32"/>
          <w:szCs w:val="24"/>
        </w:rPr>
        <w:t>莫力达瓦达斡尔族自治旗哈达阳镇人民政府根据预算绩效管理要求组织对2022年一般公共预算项目支出全面开展绩效自评，其中一级项目</w:t>
      </w:r>
      <w:r>
        <w:rPr>
          <w:rFonts w:hint="default" w:ascii="仿宋_GB2312" w:hAnsi="仿宋_GB2312" w:eastAsia="仿宋_GB2312"/>
          <w:color w:val="auto"/>
          <w:kern w:val="2"/>
          <w:sz w:val="32"/>
          <w:szCs w:val="24"/>
          <w:u w:val="single"/>
          <w:lang w:val="en-US" w:eastAsia="zh-CN"/>
        </w:rPr>
        <w:t>15</w:t>
      </w:r>
      <w:r>
        <w:rPr>
          <w:rFonts w:hint="eastAsia" w:ascii="仿宋_GB2312" w:hAnsi="仿宋_GB2312" w:eastAsia="仿宋_GB2312"/>
          <w:color w:val="auto"/>
          <w:kern w:val="2"/>
          <w:sz w:val="32"/>
          <w:szCs w:val="24"/>
        </w:rPr>
        <w:t>个，二级项目</w:t>
      </w:r>
      <w:r>
        <w:rPr>
          <w:rFonts w:hint="default"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rPr>
        <w:t>个，共涉及资金</w:t>
      </w:r>
      <w:r>
        <w:rPr>
          <w:rFonts w:hint="default" w:ascii="仿宋_GB2312" w:hAnsi="仿宋_GB2312" w:eastAsia="仿宋_GB2312"/>
          <w:color w:val="auto"/>
          <w:kern w:val="2"/>
          <w:sz w:val="32"/>
          <w:szCs w:val="24"/>
          <w:u w:val="single"/>
        </w:rPr>
        <w:t>1,480.79</w:t>
      </w:r>
      <w:r>
        <w:rPr>
          <w:rFonts w:hint="eastAsia" w:ascii="仿宋_GB2312" w:hAnsi="仿宋_GB2312" w:eastAsia="仿宋_GB2312"/>
          <w:color w:val="auto"/>
          <w:kern w:val="2"/>
          <w:sz w:val="32"/>
          <w:szCs w:val="24"/>
        </w:rPr>
        <w:t>万元，占一般公共预算项目支出总额的</w:t>
      </w:r>
      <w:r>
        <w:rPr>
          <w:rFonts w:hint="default" w:ascii="仿宋_GB2312" w:hAnsi="仿宋_GB2312" w:eastAsia="仿宋_GB2312"/>
          <w:color w:val="auto"/>
          <w:kern w:val="2"/>
          <w:sz w:val="32"/>
          <w:szCs w:val="24"/>
        </w:rPr>
        <w:t>100</w:t>
      </w:r>
      <w:r>
        <w:rPr>
          <w:rFonts w:hint="eastAsia" w:ascii="仿宋_GB2312" w:hAnsi="仿宋_GB2312" w:eastAsia="仿宋_GB2312"/>
          <w:color w:val="auto"/>
          <w:kern w:val="2"/>
          <w:sz w:val="32"/>
          <w:szCs w:val="24"/>
        </w:rPr>
        <w:t>%；政府性基金预算项目</w:t>
      </w:r>
      <w:r>
        <w:rPr>
          <w:rFonts w:hint="default"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rPr>
        <w:t>个，其中，一级项目</w:t>
      </w:r>
      <w:r>
        <w:rPr>
          <w:rFonts w:hint="default" w:ascii="仿宋_GB2312" w:hAnsi="仿宋_GB2312" w:eastAsia="仿宋_GB2312"/>
          <w:color w:val="auto"/>
          <w:kern w:val="2"/>
          <w:sz w:val="32"/>
          <w:szCs w:val="24"/>
          <w:u w:val="single"/>
        </w:rPr>
        <w:t xml:space="preserve"> </w:t>
      </w:r>
      <w:r>
        <w:rPr>
          <w:rFonts w:hint="default"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rPr>
        <w:t>个，二级项目</w:t>
      </w:r>
      <w:r>
        <w:rPr>
          <w:rFonts w:hint="default"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rPr>
        <w:t>个，共涉及资金</w:t>
      </w:r>
      <w:r>
        <w:rPr>
          <w:rFonts w:hint="default" w:ascii="仿宋_GB2312" w:hAnsi="仿宋_GB2312" w:eastAsia="仿宋_GB2312"/>
          <w:color w:val="auto"/>
          <w:kern w:val="2"/>
          <w:sz w:val="32"/>
          <w:szCs w:val="24"/>
          <w:u w:val="single"/>
        </w:rPr>
        <w:t>0</w:t>
      </w:r>
      <w:r>
        <w:rPr>
          <w:rFonts w:hint="eastAsia" w:ascii="仿宋_GB2312" w:hAnsi="仿宋_GB2312" w:eastAsia="仿宋_GB2312"/>
          <w:color w:val="auto"/>
          <w:kern w:val="2"/>
          <w:sz w:val="32"/>
          <w:szCs w:val="24"/>
        </w:rPr>
        <w:t>万元，占应纳入绩效自评的政府性基金预算项目支出总额的</w:t>
      </w:r>
      <w:r>
        <w:rPr>
          <w:rFonts w:hint="default" w:ascii="仿宋_GB2312" w:hAnsi="仿宋_GB2312" w:eastAsia="仿宋_GB2312"/>
          <w:color w:val="auto"/>
          <w:kern w:val="2"/>
          <w:sz w:val="32"/>
          <w:szCs w:val="24"/>
          <w:u w:val="single"/>
        </w:rPr>
        <w:t>100</w:t>
      </w:r>
      <w:r>
        <w:rPr>
          <w:rFonts w:hint="eastAsia" w:ascii="仿宋_GB2312" w:hAnsi="仿宋_GB2312" w:eastAsia="仿宋_GB2312"/>
          <w:color w:val="auto"/>
          <w:kern w:val="2"/>
          <w:sz w:val="32"/>
          <w:szCs w:val="24"/>
          <w:u w:val="single"/>
        </w:rPr>
        <w:t>%</w:t>
      </w:r>
      <w:r>
        <w:rPr>
          <w:rFonts w:hint="eastAsia" w:ascii="仿宋_GB2312" w:hAnsi="仿宋_GB2312" w:eastAsia="仿宋_GB2312"/>
          <w:color w:val="auto"/>
          <w:kern w:val="2"/>
          <w:sz w:val="32"/>
          <w:szCs w:val="24"/>
        </w:rPr>
        <w:t>；组织对“工作经费（收入安排）”、“哈达阳镇哈北农田路项目”、“哈达阳镇双哈村农田路项目”、“哈列图太阳能路灯”、“美丽乡村还本支出（直通车）”、“民族乡补助”、“</w:t>
      </w:r>
      <w:r>
        <w:rPr>
          <w:rFonts w:hint="eastAsia" w:ascii="仿宋_GB2312" w:hAnsi="仿宋_GB2312" w:eastAsia="仿宋_GB2312"/>
          <w:color w:val="auto"/>
          <w:kern w:val="2"/>
          <w:sz w:val="32"/>
          <w:szCs w:val="24"/>
          <w:lang w:val="en-US" w:eastAsia="zh-CN"/>
        </w:rPr>
        <w:t>莫</w:t>
      </w:r>
      <w:r>
        <w:rPr>
          <w:rFonts w:hint="eastAsia" w:ascii="仿宋_GB2312" w:hAnsi="仿宋_GB2312" w:eastAsia="仿宋_GB2312"/>
          <w:color w:val="auto"/>
          <w:kern w:val="2"/>
          <w:sz w:val="32"/>
          <w:szCs w:val="24"/>
        </w:rPr>
        <w:t>旗哈达阳镇双哈村农田路二类费”、“农村四好公路养护”、“人大专项经费”、“人居环境建设贷款利息”、“人居环境建设还款”、“涉诉资金”、“疫情防控经费”、“自然灾害救灾资金”、“综合执法工作经费（收入安排）”等</w:t>
      </w:r>
      <w:r>
        <w:rPr>
          <w:rFonts w:hint="eastAsia" w:ascii="仿宋_GB2312" w:hAnsi="仿宋_GB2312" w:eastAsia="仿宋_GB2312"/>
          <w:color w:val="auto"/>
          <w:kern w:val="2"/>
          <w:sz w:val="32"/>
          <w:szCs w:val="24"/>
          <w:u w:val="single"/>
          <w:lang w:val="en-US" w:eastAsia="zh-CN"/>
        </w:rPr>
        <w:t>15</w:t>
      </w:r>
      <w:r>
        <w:rPr>
          <w:rFonts w:hint="eastAsia" w:ascii="仿宋_GB2312" w:hAnsi="仿宋_GB2312" w:eastAsia="仿宋_GB2312"/>
          <w:color w:val="auto"/>
          <w:kern w:val="2"/>
          <w:sz w:val="32"/>
          <w:szCs w:val="24"/>
        </w:rPr>
        <w:t>个项目开展了评价，涉及一般公共预算支出</w:t>
      </w:r>
      <w:r>
        <w:rPr>
          <w:rFonts w:hint="eastAsia" w:ascii="仿宋_GB2312" w:hAnsi="仿宋_GB2312" w:eastAsia="仿宋_GB2312"/>
          <w:color w:val="auto"/>
          <w:kern w:val="2"/>
          <w:sz w:val="32"/>
          <w:szCs w:val="24"/>
          <w:u w:val="single"/>
        </w:rPr>
        <w:t>1,480.79</w:t>
      </w:r>
      <w:r>
        <w:rPr>
          <w:rFonts w:hint="eastAsia" w:ascii="仿宋_GB2312" w:hAnsi="仿宋_GB2312" w:eastAsia="仿宋_GB2312"/>
          <w:color w:val="auto"/>
          <w:kern w:val="2"/>
          <w:sz w:val="32"/>
          <w:szCs w:val="24"/>
        </w:rPr>
        <w:t>万元，政府性基金支出</w:t>
      </w:r>
      <w:r>
        <w:rPr>
          <w:rFonts w:hint="eastAsia" w:ascii="仿宋_GB2312" w:hAnsi="仿宋_GB2312" w:eastAsia="仿宋_GB2312"/>
          <w:color w:val="auto"/>
          <w:kern w:val="2"/>
          <w:sz w:val="32"/>
          <w:szCs w:val="24"/>
          <w:u w:val="single"/>
          <w:lang w:val="en-US" w:eastAsia="zh-CN"/>
        </w:rPr>
        <w:t>0</w:t>
      </w:r>
      <w:r>
        <w:rPr>
          <w:rFonts w:hint="eastAsia" w:ascii="仿宋_GB2312" w:hAnsi="仿宋_GB2312" w:eastAsia="仿宋_GB2312"/>
          <w:color w:val="auto"/>
          <w:kern w:val="2"/>
          <w:sz w:val="32"/>
          <w:szCs w:val="24"/>
        </w:rPr>
        <w:t>万元</w:t>
      </w:r>
      <w:r>
        <w:rPr>
          <w:rFonts w:hint="eastAsia" w:ascii="仿宋_GB2312" w:hAnsi="仿宋_GB2312" w:eastAsia="仿宋_GB2312"/>
          <w:color w:val="auto"/>
          <w:kern w:val="2"/>
          <w:sz w:val="32"/>
          <w:szCs w:val="24"/>
          <w:lang w:eastAsia="zh-CN"/>
        </w:rPr>
        <w:t>。从评价情况来看，以上项目</w:t>
      </w:r>
      <w:r>
        <w:rPr>
          <w:rFonts w:hint="eastAsia" w:ascii="仿宋_GB2312" w:hAnsi="仿宋_GB2312" w:eastAsia="仿宋_GB2312"/>
          <w:color w:val="auto"/>
          <w:kern w:val="2"/>
          <w:sz w:val="32"/>
          <w:szCs w:val="24"/>
          <w:lang w:val="en-US" w:eastAsia="zh-CN"/>
        </w:rPr>
        <w:t>总体自评结果良好，项目立项程序完整、规</w:t>
      </w:r>
      <w:r>
        <w:rPr>
          <w:rFonts w:hint="default" w:ascii="仿宋_GB2312" w:hAnsi="仿宋_GB2312" w:eastAsia="仿宋_GB2312"/>
          <w:color w:val="auto"/>
          <w:kern w:val="2"/>
          <w:sz w:val="32"/>
          <w:szCs w:val="24"/>
          <w:lang w:val="en-US" w:eastAsia="zh-CN"/>
        </w:rPr>
        <w:t>范，设置了明确的绩效目标，财务相关管理制度健全，预算执行及时、有效，群众满意度较高，基本实现了预期。</w:t>
      </w:r>
    </w:p>
    <w:p>
      <w:pPr>
        <w:spacing w:beforeLines="0" w:afterLines="0"/>
        <w:ind w:firstLine="1600" w:firstLineChars="500"/>
        <w:rPr>
          <w:rFonts w:hint="default" w:ascii="Times New Roman" w:hAnsi="Times New Roman" w:eastAsia="Times New Roman"/>
          <w:color w:val="auto"/>
          <w:kern w:val="2"/>
          <w:sz w:val="32"/>
          <w:szCs w:val="24"/>
        </w:rPr>
      </w:pPr>
    </w:p>
    <w:p>
      <w:pPr>
        <w:spacing w:beforeLines="0" w:afterLines="0"/>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（二）决算中项目绩效自评结果。</w:t>
      </w:r>
    </w:p>
    <w:p>
      <w:pPr>
        <w:spacing w:beforeLines="0" w:afterLines="0"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莫力达瓦达斡尔族自治旗哈达阳镇人民政府2022年度在决算中反映</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15</w:t>
      </w:r>
      <w:r>
        <w:rPr>
          <w:rFonts w:hint="eastAsia" w:ascii="仿宋_GB2312" w:hAnsi="仿宋_GB2312" w:eastAsia="仿宋_GB2312"/>
          <w:color w:val="auto"/>
          <w:kern w:val="2"/>
          <w:sz w:val="32"/>
          <w:szCs w:val="24"/>
        </w:rPr>
        <w:t>个一般公共预算项目，以及</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个政府性基金项目，</w:t>
      </w:r>
      <w:r>
        <w:rPr>
          <w:rFonts w:hint="default" w:ascii="Times New Roman" w:hAnsi="Times New Roman" w:eastAsia="Times New Roman"/>
          <w:color w:val="auto"/>
          <w:kern w:val="2"/>
          <w:sz w:val="32"/>
          <w:szCs w:val="24"/>
        </w:rPr>
        <w:t xml:space="preserve"> </w:t>
      </w:r>
      <w:r>
        <w:rPr>
          <w:rFonts w:hint="eastAsia" w:ascii="仿宋_GB2312" w:hAnsi="仿宋_GB2312" w:eastAsia="仿宋_GB2312"/>
          <w:color w:val="auto"/>
          <w:kern w:val="2"/>
          <w:sz w:val="32"/>
          <w:szCs w:val="24"/>
        </w:rPr>
        <w:t>共</w:t>
      </w:r>
      <w:r>
        <w:rPr>
          <w:rFonts w:hint="default" w:ascii="宋体" w:hAnsi="Times New Roman" w:eastAsia="宋体"/>
          <w:color w:val="auto"/>
          <w:kern w:val="2"/>
          <w:sz w:val="32"/>
          <w:szCs w:val="24"/>
          <w:u w:val="single"/>
          <w:lang w:val="en-US" w:eastAsia="zh-CN"/>
        </w:rPr>
        <w:t>15</w:t>
      </w:r>
      <w:r>
        <w:rPr>
          <w:rFonts w:hint="eastAsia" w:ascii="仿宋_GB2312" w:hAnsi="仿宋_GB2312" w:eastAsia="仿宋_GB2312"/>
          <w:color w:val="auto"/>
          <w:kern w:val="2"/>
          <w:sz w:val="32"/>
          <w:szCs w:val="24"/>
        </w:rPr>
        <w:t>个项目的绩效自评结果。</w:t>
      </w:r>
    </w:p>
    <w:p>
      <w:pPr>
        <w:spacing w:line="580" w:lineRule="exact"/>
        <w:ind w:firstLine="600"/>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default" w:ascii="宋体" w:hAnsi="Times New Roman" w:eastAsia="宋体"/>
          <w:color w:val="auto"/>
          <w:kern w:val="2"/>
          <w:sz w:val="32"/>
          <w:szCs w:val="24"/>
          <w:lang w:val="en-US" w:eastAsia="zh-CN"/>
        </w:rPr>
        <w:t>.</w:t>
      </w:r>
      <w:r>
        <w:rPr>
          <w:rFonts w:hint="eastAsia" w:ascii="仿宋_GB2312" w:hAnsi="仿宋_GB2312" w:eastAsia="仿宋_GB2312" w:cs="Times New Roman"/>
          <w:color w:val="auto"/>
          <w:kern w:val="2"/>
          <w:sz w:val="32"/>
          <w:szCs w:val="24"/>
        </w:rPr>
        <w:t>工作经费（收入安排）</w:t>
      </w:r>
      <w:r>
        <w:rPr>
          <w:rFonts w:hint="eastAsia" w:ascii="仿宋_GB2312" w:hAnsi="仿宋_GB2312" w:eastAsia="仿宋_GB2312"/>
          <w:color w:val="auto"/>
          <w:kern w:val="2"/>
          <w:sz w:val="32"/>
          <w:szCs w:val="24"/>
        </w:rPr>
        <w:t>项目自评综述：根据年初设定的绩效目标，项目自评得分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28.40</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28.40</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default" w:ascii="仿宋_GB2312" w:hAnsi="Times New Roman" w:eastAsia="仿宋_GB2312" w:cs="仿宋_GB2312"/>
          <w:color w:val="auto"/>
          <w:sz w:val="32"/>
          <w:szCs w:val="32"/>
          <w:lang w:eastAsia="zh-CN"/>
        </w:rPr>
        <w:t>项目绩效目标完成情况：</w:t>
      </w:r>
      <w:r>
        <w:rPr>
          <w:rFonts w:hint="default" w:ascii="仿宋_GB2312" w:hAnsi="仿宋_GB2312" w:eastAsia="仿宋_GB2312"/>
          <w:color w:val="auto"/>
          <w:sz w:val="32"/>
          <w:szCs w:val="24"/>
        </w:rPr>
        <w:t>按时拨付</w:t>
      </w:r>
      <w:r>
        <w:rPr>
          <w:rFonts w:hint="default" w:ascii="仿宋_GB2312" w:hAnsi="仿宋_GB2312" w:eastAsia="仿宋_GB2312"/>
          <w:color w:val="auto"/>
          <w:sz w:val="32"/>
          <w:szCs w:val="24"/>
          <w:lang w:eastAsia="zh-CN"/>
        </w:rPr>
        <w:t>资金</w:t>
      </w:r>
      <w:r>
        <w:rPr>
          <w:rFonts w:hint="default" w:ascii="仿宋_GB2312" w:hAnsi="Times New Roman" w:eastAsia="仿宋_GB2312" w:cs="仿宋_GB2312"/>
          <w:color w:val="auto"/>
          <w:sz w:val="32"/>
          <w:szCs w:val="32"/>
          <w:lang w:eastAsia="zh-CN"/>
        </w:rPr>
        <w:t>。发现的主要问题及原因：</w:t>
      </w:r>
      <w:r>
        <w:rPr>
          <w:rFonts w:hint="default" w:ascii="仿宋_GB2312" w:hAnsi="Times New Roman" w:eastAsia="仿宋_GB2312" w:cs="仿宋_GB2312"/>
          <w:color w:val="auto"/>
          <w:sz w:val="32"/>
          <w:szCs w:val="32"/>
          <w:lang w:val="en-US" w:eastAsia="zh-CN"/>
        </w:rPr>
        <w:t>指标有待进一步优化</w:t>
      </w:r>
      <w:r>
        <w:rPr>
          <w:rFonts w:hint="default" w:ascii="仿宋_GB2312" w:hAnsi="Times New Roman" w:eastAsia="仿宋_GB2312" w:cs="仿宋_GB2312"/>
          <w:color w:val="auto"/>
          <w:sz w:val="32"/>
          <w:szCs w:val="32"/>
          <w:lang w:eastAsia="zh-CN"/>
        </w:rPr>
        <w:t>。下一步改进措施：</w:t>
      </w:r>
      <w:r>
        <w:rPr>
          <w:rFonts w:hint="default" w:ascii="仿宋_GB2312" w:hAnsi="仿宋_GB2312" w:eastAsia="仿宋_GB2312"/>
          <w:color w:val="auto"/>
          <w:sz w:val="32"/>
          <w:szCs w:val="24"/>
          <w:lang w:eastAsia="zh-CN"/>
        </w:rPr>
        <w:t>合理分配资金，做好</w:t>
      </w:r>
      <w:r>
        <w:rPr>
          <w:rFonts w:hint="default" w:ascii="仿宋_GB2312" w:hAnsi="仿宋_GB2312" w:eastAsia="仿宋_GB2312"/>
          <w:color w:val="auto"/>
          <w:sz w:val="32"/>
          <w:szCs w:val="24"/>
          <w:lang w:val="en-US" w:eastAsia="zh-CN"/>
        </w:rPr>
        <w:t>日常运转</w:t>
      </w:r>
      <w:r>
        <w:rPr>
          <w:rFonts w:hint="default" w:ascii="仿宋_GB2312" w:hAnsi="仿宋_GB2312" w:eastAsia="仿宋_GB2312"/>
          <w:color w:val="auto"/>
          <w:sz w:val="32"/>
          <w:szCs w:val="24"/>
          <w:lang w:eastAsia="zh-CN"/>
        </w:rPr>
        <w:t>工作，</w:t>
      </w:r>
      <w:r>
        <w:rPr>
          <w:rFonts w:hint="default" w:ascii="仿宋_GB2312" w:hAnsi="Times New Roman" w:eastAsia="仿宋_GB2312" w:cs="仿宋_GB2312"/>
          <w:color w:val="auto"/>
          <w:sz w:val="32"/>
          <w:szCs w:val="32"/>
          <w:lang w:val="en-US" w:eastAsia="zh-CN"/>
        </w:rPr>
        <w:t>进一步优化项目指标，适当使用定性目标，注重其科学性、实用性、可操作性</w:t>
      </w:r>
      <w:r>
        <w:rPr>
          <w:rFonts w:hint="default" w:ascii="仿宋_GB2312" w:hAnsi="仿宋_GB2312" w:eastAsia="仿宋_GB2312"/>
          <w:color w:val="auto"/>
          <w:sz w:val="32"/>
          <w:szCs w:val="24"/>
          <w:lang w:eastAsia="zh-CN"/>
        </w:rPr>
        <w:t>。</w:t>
      </w:r>
    </w:p>
    <w:p>
      <w:pPr>
        <w:spacing w:line="580" w:lineRule="exact"/>
        <w:ind w:firstLine="600"/>
        <w:rPr>
          <w:rFonts w:hint="eastAsia" w:ascii="仿宋_GB2312" w:hAnsi="仿宋_GB2312" w:eastAsia="仿宋_GB2312"/>
          <w:color w:val="auto"/>
          <w:sz w:val="32"/>
          <w:szCs w:val="24"/>
          <w:lang w:eastAsia="zh-CN"/>
        </w:rPr>
      </w:pPr>
      <w:r>
        <w:rPr>
          <w:rFonts w:hint="default" w:ascii="Times New Roman" w:hAnsi="Times New Roman" w:eastAsia="Times New Roman"/>
          <w:color w:val="auto"/>
          <w:kern w:val="2"/>
          <w:sz w:val="32"/>
          <w:szCs w:val="24"/>
        </w:rPr>
        <w:t>2.</w:t>
      </w:r>
      <w:r>
        <w:rPr>
          <w:rFonts w:hint="eastAsia" w:ascii="仿宋_GB2312" w:hAnsi="仿宋_GB2312" w:eastAsia="仿宋_GB2312" w:cs="Times New Roman"/>
          <w:color w:val="auto"/>
          <w:kern w:val="2"/>
          <w:sz w:val="32"/>
          <w:szCs w:val="24"/>
        </w:rPr>
        <w:t>哈达阳镇哈北农田路项目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53.91</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53.91</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s="Times New Roman"/>
          <w:color w:val="auto"/>
          <w:kern w:val="2"/>
          <w:sz w:val="32"/>
          <w:szCs w:val="24"/>
          <w:lang w:val="en-US" w:eastAsia="zh-CN"/>
        </w:rPr>
        <w:t>3.</w:t>
      </w:r>
      <w:r>
        <w:rPr>
          <w:rFonts w:hint="eastAsia" w:ascii="仿宋_GB2312" w:hAnsi="仿宋_GB2312" w:eastAsia="仿宋_GB2312" w:cs="Times New Roman"/>
          <w:color w:val="auto"/>
          <w:kern w:val="2"/>
          <w:sz w:val="32"/>
          <w:szCs w:val="24"/>
        </w:rPr>
        <w:t>哈达阳镇双哈村农田路项目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21.20</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21.20</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s="Times New Roman"/>
          <w:color w:val="auto"/>
          <w:kern w:val="2"/>
          <w:sz w:val="32"/>
          <w:szCs w:val="24"/>
          <w:lang w:val="en-US" w:eastAsia="zh-CN"/>
        </w:rPr>
        <w:t>4.</w:t>
      </w:r>
      <w:r>
        <w:rPr>
          <w:rFonts w:hint="eastAsia" w:ascii="仿宋_GB2312" w:hAnsi="仿宋_GB2312" w:eastAsia="仿宋_GB2312" w:cs="Times New Roman"/>
          <w:color w:val="auto"/>
          <w:kern w:val="2"/>
          <w:sz w:val="32"/>
          <w:szCs w:val="24"/>
        </w:rPr>
        <w:t>哈列图太阳能路灯项目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1.04</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1.04</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line="580" w:lineRule="exact"/>
        <w:ind w:firstLine="600"/>
        <w:rPr>
          <w:rFonts w:hint="eastAsia" w:ascii="仿宋_GB2312" w:hAnsi="仿宋_GB2312" w:eastAsia="仿宋_GB2312" w:cs="Times New Roman"/>
          <w:color w:val="auto"/>
          <w:kern w:val="2"/>
          <w:sz w:val="32"/>
          <w:szCs w:val="24"/>
          <w:lang w:val="en-US" w:eastAsia="zh-CN"/>
        </w:rPr>
      </w:pPr>
      <w:r>
        <w:rPr>
          <w:rFonts w:hint="eastAsia" w:ascii="仿宋_GB2312" w:hAnsi="仿宋_GB2312" w:eastAsia="仿宋_GB2312" w:cs="Times New Roman"/>
          <w:color w:val="auto"/>
          <w:kern w:val="2"/>
          <w:sz w:val="32"/>
          <w:szCs w:val="24"/>
          <w:lang w:val="en-US" w:eastAsia="zh-CN"/>
        </w:rPr>
        <w:t>5.美丽乡村还本支出（直通车）项目自评综述：根据年初设定的绩效目标，项目自评得分</w:t>
      </w:r>
      <w:r>
        <w:rPr>
          <w:rFonts w:hint="default" w:ascii="仿宋_GB2312" w:hAnsi="仿宋_GB2312" w:eastAsia="仿宋_GB2312" w:cs="Times New Roman"/>
          <w:color w:val="auto"/>
          <w:kern w:val="2"/>
          <w:sz w:val="32"/>
          <w:szCs w:val="24"/>
          <w:u w:val="single"/>
          <w:lang w:val="en-US" w:eastAsia="zh-CN"/>
        </w:rPr>
        <w:t xml:space="preserve">100 </w:t>
      </w:r>
      <w:r>
        <w:rPr>
          <w:rFonts w:hint="eastAsia" w:ascii="仿宋_GB2312" w:hAnsi="仿宋_GB2312" w:eastAsia="仿宋_GB2312" w:cs="Times New Roman"/>
          <w:color w:val="auto"/>
          <w:kern w:val="2"/>
          <w:sz w:val="32"/>
          <w:szCs w:val="24"/>
          <w:lang w:val="en-US" w:eastAsia="zh-CN"/>
        </w:rPr>
        <w:t>分。全年预算数为</w:t>
      </w:r>
      <w:r>
        <w:rPr>
          <w:rFonts w:hint="default" w:ascii="仿宋_GB2312" w:hAnsi="仿宋_GB2312" w:eastAsia="仿宋_GB2312" w:cs="Times New Roman"/>
          <w:color w:val="auto"/>
          <w:kern w:val="2"/>
          <w:sz w:val="32"/>
          <w:szCs w:val="24"/>
          <w:u w:val="single"/>
          <w:lang w:val="en-US" w:eastAsia="zh-CN"/>
        </w:rPr>
        <w:t>19.28</w:t>
      </w:r>
      <w:r>
        <w:rPr>
          <w:rFonts w:hint="eastAsia" w:ascii="仿宋_GB2312" w:hAnsi="仿宋_GB2312" w:eastAsia="仿宋_GB2312" w:cs="Times New Roman"/>
          <w:color w:val="auto"/>
          <w:kern w:val="2"/>
          <w:sz w:val="32"/>
          <w:szCs w:val="24"/>
          <w:lang w:val="en-US" w:eastAsia="zh-CN"/>
        </w:rPr>
        <w:t>万元，执行数为</w:t>
      </w:r>
      <w:r>
        <w:rPr>
          <w:rFonts w:hint="default" w:ascii="仿宋_GB2312" w:hAnsi="仿宋_GB2312" w:eastAsia="仿宋_GB2312" w:cs="Times New Roman"/>
          <w:color w:val="auto"/>
          <w:kern w:val="2"/>
          <w:sz w:val="32"/>
          <w:szCs w:val="24"/>
          <w:u w:val="single"/>
          <w:lang w:val="en-US" w:eastAsia="zh-CN"/>
        </w:rPr>
        <w:t>19.28</w:t>
      </w:r>
      <w:r>
        <w:rPr>
          <w:rFonts w:hint="eastAsia" w:ascii="仿宋_GB2312" w:hAnsi="仿宋_GB2312" w:eastAsia="仿宋_GB2312" w:cs="Times New Roman"/>
          <w:color w:val="auto"/>
          <w:kern w:val="2"/>
          <w:sz w:val="32"/>
          <w:szCs w:val="24"/>
          <w:lang w:val="en-US" w:eastAsia="zh-CN"/>
        </w:rPr>
        <w:t>万元，完成预算的</w:t>
      </w:r>
      <w:r>
        <w:rPr>
          <w:rFonts w:hint="default" w:ascii="仿宋_GB2312" w:hAnsi="仿宋_GB2312" w:eastAsia="仿宋_GB2312" w:cs="Times New Roman"/>
          <w:color w:val="auto"/>
          <w:kern w:val="2"/>
          <w:sz w:val="32"/>
          <w:szCs w:val="24"/>
          <w:u w:val="single"/>
          <w:lang w:val="en-US" w:eastAsia="zh-CN"/>
        </w:rPr>
        <w:t xml:space="preserve">100 </w:t>
      </w:r>
      <w:r>
        <w:rPr>
          <w:rFonts w:hint="eastAsia" w:ascii="仿宋_GB2312" w:hAnsi="仿宋_GB2312" w:eastAsia="仿宋_GB2312" w:cs="Times New Roman"/>
          <w:color w:val="auto"/>
          <w:kern w:val="2"/>
          <w:sz w:val="32"/>
          <w:szCs w:val="24"/>
          <w:lang w:val="en-US" w:eastAsia="zh-CN"/>
        </w:rPr>
        <w:t>%。项目绩效目标完成情况：按时拨付资金。发现的主要问题及原因：指标有待进一步优化。下一步改进措施：合理分配资金，做好日常运转工作，进一步优化项目指标，适当使用定性目标，注重其科学性、实用性、可操作性。</w:t>
      </w:r>
    </w:p>
    <w:p>
      <w:pPr>
        <w:spacing w:line="580" w:lineRule="exact"/>
        <w:ind w:firstLine="600"/>
        <w:rPr>
          <w:rFonts w:hint="default" w:ascii="仿宋_GB2312" w:hAnsi="Times New Roman" w:eastAsia="仿宋_GB2312" w:cs="仿宋_GB2312"/>
          <w:color w:val="auto"/>
          <w:sz w:val="32"/>
          <w:szCs w:val="32"/>
          <w:lang w:eastAsia="zh-CN"/>
        </w:rPr>
      </w:pPr>
      <w:r>
        <w:rPr>
          <w:rFonts w:hint="eastAsia" w:ascii="仿宋_GB2312" w:hAnsi="仿宋_GB2312" w:eastAsia="仿宋_GB2312" w:cs="Times New Roman"/>
          <w:color w:val="auto"/>
          <w:kern w:val="2"/>
          <w:sz w:val="32"/>
          <w:szCs w:val="24"/>
          <w:lang w:val="en-US" w:eastAsia="zh-CN"/>
        </w:rPr>
        <w:t>6.民族乡补助项目自评</w:t>
      </w:r>
      <w:r>
        <w:rPr>
          <w:rFonts w:hint="eastAsia" w:ascii="仿宋_GB2312" w:hAnsi="仿宋_GB2312" w:eastAsia="仿宋_GB2312"/>
          <w:color w:val="auto"/>
          <w:kern w:val="2"/>
          <w:sz w:val="32"/>
          <w:szCs w:val="24"/>
        </w:rPr>
        <w:t>综述：根据年初设定的绩效目标，项目自评得分</w:t>
      </w:r>
      <w:r>
        <w:rPr>
          <w:rFonts w:hint="default" w:ascii="宋体" w:hAnsi="Times New Roman" w:eastAsia="宋体"/>
          <w:color w:val="auto"/>
          <w:kern w:val="2"/>
          <w:sz w:val="32"/>
          <w:szCs w:val="24"/>
          <w:u w:val="single"/>
          <w:lang w:val="en-US" w:eastAsia="zh-CN"/>
        </w:rPr>
        <w:t>99.76</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5</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4.92</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98.4</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拨付</w:t>
      </w:r>
      <w:r>
        <w:rPr>
          <w:rFonts w:hint="eastAsia" w:ascii="仿宋_GB2312" w:hAnsi="仿宋_GB2312" w:eastAsia="仿宋_GB2312"/>
          <w:color w:val="auto"/>
          <w:sz w:val="32"/>
          <w:szCs w:val="24"/>
          <w:lang w:val="en-US" w:eastAsia="zh-CN"/>
        </w:rPr>
        <w:t>部分</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w:t>
      </w:r>
      <w:r>
        <w:rPr>
          <w:rFonts w:hint="default" w:ascii="仿宋_GB2312" w:hAnsi="Times New Roman" w:eastAsia="仿宋_GB2312" w:cs="仿宋_GB2312"/>
          <w:color w:val="auto"/>
          <w:sz w:val="32"/>
          <w:szCs w:val="32"/>
          <w:lang w:eastAsia="zh-CN"/>
        </w:rPr>
        <w:t>下一步改进措施：在后续项目资金管理中将进一步严格审批手续，严格执行相关的政策及规定，严格按照批准的项目和用途以及项目实施方案执行资金支出，不自行改变项目内容，不扩大支出范围。保证所有项目支出均合法合规。在经费支出时坚持"量入为出，收支平衡"的原则，从严控制支出，既考虑事业发展需要，又要考虑财力可能，实行预算资金统筹安排，综合平衡。</w:t>
      </w:r>
    </w:p>
    <w:p>
      <w:pPr>
        <w:spacing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s="Times New Roman"/>
          <w:color w:val="auto"/>
          <w:kern w:val="2"/>
          <w:sz w:val="32"/>
          <w:szCs w:val="24"/>
          <w:lang w:val="en-US" w:eastAsia="zh-CN"/>
        </w:rPr>
        <w:t>7.莫</w:t>
      </w:r>
      <w:r>
        <w:rPr>
          <w:rFonts w:hint="eastAsia" w:ascii="仿宋_GB2312" w:hAnsi="仿宋_GB2312" w:eastAsia="仿宋_GB2312" w:cs="Times New Roman"/>
          <w:color w:val="auto"/>
          <w:kern w:val="2"/>
          <w:sz w:val="32"/>
          <w:szCs w:val="24"/>
        </w:rPr>
        <w:t>旗哈达阳镇双哈村农田路二类费项目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6.37</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6.37</w:t>
      </w:r>
      <w:r>
        <w:rPr>
          <w:rFonts w:hint="eastAsia" w:ascii="仿宋_GB2312" w:hAnsi="仿宋_GB2312" w:eastAsia="仿宋_GB2312"/>
          <w:color w:val="auto"/>
          <w:kern w:val="2"/>
          <w:sz w:val="32"/>
          <w:szCs w:val="24"/>
        </w:rPr>
        <w:t>万元，完成预算的</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line="580" w:lineRule="exact"/>
        <w:ind w:firstLine="600"/>
        <w:rPr>
          <w:rFonts w:hint="default" w:ascii="仿宋_GB2312" w:hAnsi="Times New Roman" w:eastAsia="仿宋_GB2312" w:cs="仿宋_GB2312"/>
          <w:color w:val="auto"/>
          <w:sz w:val="32"/>
          <w:szCs w:val="32"/>
          <w:lang w:eastAsia="zh-CN"/>
        </w:rPr>
      </w:pPr>
      <w:r>
        <w:rPr>
          <w:rFonts w:hint="eastAsia" w:ascii="仿宋_GB2312" w:hAnsi="仿宋_GB2312" w:eastAsia="仿宋_GB2312" w:cs="Times New Roman"/>
          <w:color w:val="auto"/>
          <w:kern w:val="2"/>
          <w:sz w:val="32"/>
          <w:szCs w:val="24"/>
          <w:lang w:val="en-US" w:eastAsia="zh-CN"/>
        </w:rPr>
        <w:t>8.</w:t>
      </w:r>
      <w:r>
        <w:rPr>
          <w:rFonts w:hint="eastAsia" w:ascii="仿宋_GB2312" w:hAnsi="仿宋_GB2312" w:eastAsia="仿宋_GB2312" w:cs="Times New Roman"/>
          <w:color w:val="auto"/>
          <w:kern w:val="2"/>
          <w:sz w:val="32"/>
          <w:szCs w:val="24"/>
        </w:rPr>
        <w:t>农村四好公路养护项目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90</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17.76</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万元，完成预算的</w:t>
      </w:r>
      <w:r>
        <w:rPr>
          <w:rFonts w:hint="default" w:ascii="宋体" w:hAnsi="Times New Roman" w:eastAsia="宋体"/>
          <w:color w:val="auto"/>
          <w:kern w:val="2"/>
          <w:sz w:val="32"/>
          <w:szCs w:val="24"/>
          <w:u w:val="single"/>
          <w:lang w:val="en-US" w:eastAsia="zh-CN"/>
        </w:rPr>
        <w:t>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仿宋_GB2312" w:eastAsia="仿宋_GB2312" w:cs="Times New Roman"/>
          <w:color w:val="auto"/>
          <w:kern w:val="2"/>
          <w:sz w:val="32"/>
          <w:szCs w:val="24"/>
          <w:lang w:eastAsia="zh-CN"/>
        </w:rPr>
        <w:t>项目绩效目标完成情况：</w:t>
      </w:r>
      <w:r>
        <w:rPr>
          <w:rFonts w:hint="eastAsia" w:ascii="仿宋_GB2312" w:hAnsi="仿宋_GB2312" w:eastAsia="仿宋_GB2312" w:cs="Times New Roman"/>
          <w:color w:val="auto"/>
          <w:kern w:val="2"/>
          <w:sz w:val="32"/>
          <w:szCs w:val="24"/>
          <w:lang w:val="en-US" w:eastAsia="zh-CN"/>
        </w:rPr>
        <w:t>未</w:t>
      </w:r>
      <w:r>
        <w:rPr>
          <w:rFonts w:hint="eastAsia" w:ascii="仿宋_GB2312" w:hAnsi="仿宋_GB2312" w:eastAsia="仿宋_GB2312" w:cs="Times New Roman"/>
          <w:color w:val="auto"/>
          <w:kern w:val="2"/>
          <w:sz w:val="32"/>
          <w:szCs w:val="24"/>
        </w:rPr>
        <w:t>拨付</w:t>
      </w:r>
      <w:r>
        <w:rPr>
          <w:rFonts w:hint="eastAsia" w:ascii="仿宋_GB2312" w:hAnsi="仿宋_GB2312" w:eastAsia="仿宋_GB2312" w:cs="Times New Roman"/>
          <w:color w:val="auto"/>
          <w:kern w:val="2"/>
          <w:sz w:val="32"/>
          <w:szCs w:val="24"/>
          <w:lang w:eastAsia="zh-CN"/>
        </w:rPr>
        <w:t>资金。现的主要问题及原因：</w:t>
      </w:r>
      <w:r>
        <w:rPr>
          <w:rFonts w:hint="eastAsia" w:ascii="仿宋_GB2312" w:hAnsi="仿宋_GB2312" w:eastAsia="仿宋_GB2312" w:cs="Times New Roman"/>
          <w:color w:val="auto"/>
          <w:kern w:val="2"/>
          <w:sz w:val="32"/>
          <w:szCs w:val="24"/>
        </w:rPr>
        <w:t>旗财政资金紧张，支出矛盾突出，又加之疫情因素，财政收入大幅降低，“三保支出”及其他刚性支出压力大，所以该项目资金未予以安排拨付，导致项目资金最终无法支出，无法完成既定的绩效目标任务，故未达到设定指标值。因未形成有效支出，所以未形成产出成果。</w:t>
      </w:r>
      <w:r>
        <w:rPr>
          <w:rFonts w:hint="eastAsia" w:ascii="仿宋_GB2312" w:hAnsi="仿宋_GB2312" w:eastAsia="仿宋_GB2312" w:cs="Times New Roman"/>
          <w:color w:val="auto"/>
          <w:kern w:val="2"/>
          <w:sz w:val="32"/>
          <w:szCs w:val="24"/>
          <w:lang w:eastAsia="zh-CN"/>
        </w:rPr>
        <w:t>下一步改进措施：在后续项目资金管理中将进一步严格审批手续，严格执行相关的政策及规定，严格按照批准的项目和用途以及项目实施方案执行资金支出，不自行改变项目内容，不扩大支出范围。保证所有项目支出均合法合规。在经费支出时坚持"量入为出，收支平衡"的原则，从严控制支出，既考虑事业发展需要，又要考虑财力可能，实</w:t>
      </w:r>
      <w:r>
        <w:rPr>
          <w:rFonts w:hint="default" w:ascii="仿宋_GB2312" w:hAnsi="Times New Roman" w:eastAsia="仿宋_GB2312" w:cs="仿宋_GB2312"/>
          <w:color w:val="auto"/>
          <w:sz w:val="32"/>
          <w:szCs w:val="32"/>
          <w:lang w:eastAsia="zh-CN"/>
        </w:rPr>
        <w:t>行预算资金统筹安排，综合平衡。</w:t>
      </w:r>
    </w:p>
    <w:p>
      <w:pPr>
        <w:spacing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s="Times New Roman"/>
          <w:color w:val="auto"/>
          <w:kern w:val="2"/>
          <w:sz w:val="32"/>
          <w:szCs w:val="24"/>
          <w:lang w:val="en-US" w:eastAsia="zh-CN"/>
        </w:rPr>
        <w:t>9.</w:t>
      </w:r>
      <w:r>
        <w:rPr>
          <w:rFonts w:hint="eastAsia" w:ascii="仿宋_GB2312" w:hAnsi="仿宋_GB2312" w:eastAsia="仿宋_GB2312" w:cs="Times New Roman"/>
          <w:color w:val="auto"/>
          <w:kern w:val="2"/>
          <w:sz w:val="32"/>
          <w:szCs w:val="24"/>
        </w:rPr>
        <w:t>人大专项经费项目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98.96</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5</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4.58</w:t>
      </w:r>
      <w:r>
        <w:rPr>
          <w:rFonts w:hint="eastAsia" w:ascii="仿宋_GB2312" w:hAnsi="仿宋_GB2312" w:eastAsia="仿宋_GB2312"/>
          <w:color w:val="auto"/>
          <w:kern w:val="2"/>
          <w:sz w:val="32"/>
          <w:szCs w:val="24"/>
        </w:rPr>
        <w:t>万元，完成预算的</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s="Times New Roman"/>
          <w:color w:val="auto"/>
          <w:kern w:val="2"/>
          <w:sz w:val="32"/>
          <w:szCs w:val="24"/>
          <w:lang w:val="en-US" w:eastAsia="zh-CN"/>
        </w:rPr>
        <w:t>10.</w:t>
      </w:r>
      <w:r>
        <w:rPr>
          <w:rFonts w:hint="eastAsia" w:ascii="仿宋_GB2312" w:hAnsi="仿宋_GB2312" w:eastAsia="仿宋_GB2312" w:cs="Times New Roman"/>
          <w:color w:val="auto"/>
          <w:kern w:val="2"/>
          <w:sz w:val="32"/>
          <w:szCs w:val="24"/>
        </w:rPr>
        <w:t>人居环境建设贷款利息项目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562.22</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562.22</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beforeLines="0" w:afterLines="0" w:line="560" w:lineRule="exact"/>
        <w:ind w:firstLine="640"/>
        <w:jc w:val="both"/>
        <w:rPr>
          <w:rFonts w:hint="eastAsia" w:ascii="仿宋_GB2312" w:hAnsi="仿宋_GB2312" w:eastAsia="仿宋_GB2312"/>
          <w:color w:val="auto"/>
          <w:sz w:val="32"/>
          <w:szCs w:val="24"/>
          <w:lang w:eastAsia="zh-CN"/>
        </w:rPr>
      </w:pPr>
      <w:r>
        <w:rPr>
          <w:rFonts w:hint="eastAsia" w:ascii="仿宋_GB2312" w:hAnsi="仿宋_GB2312" w:eastAsia="仿宋_GB2312" w:cs="Times New Roman"/>
          <w:color w:val="auto"/>
          <w:kern w:val="2"/>
          <w:sz w:val="32"/>
          <w:szCs w:val="24"/>
          <w:lang w:val="en-US" w:eastAsia="zh-CN"/>
        </w:rPr>
        <w:t>11.</w:t>
      </w:r>
      <w:r>
        <w:rPr>
          <w:rFonts w:hint="eastAsia" w:ascii="仿宋_GB2312" w:hAnsi="仿宋_GB2312" w:eastAsia="仿宋_GB2312" w:cs="Times New Roman"/>
          <w:color w:val="auto"/>
          <w:kern w:val="2"/>
          <w:sz w:val="32"/>
          <w:szCs w:val="24"/>
        </w:rPr>
        <w:t>人居环境建设还款项目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684.17</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684.17</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beforeLines="0" w:afterLines="0" w:line="560" w:lineRule="exact"/>
        <w:ind w:firstLine="640"/>
        <w:jc w:val="both"/>
        <w:rPr>
          <w:rFonts w:hint="eastAsia" w:ascii="仿宋_GB2312" w:hAnsi="仿宋_GB2312" w:eastAsia="仿宋_GB2312"/>
          <w:color w:val="auto"/>
          <w:sz w:val="32"/>
          <w:szCs w:val="24"/>
          <w:lang w:eastAsia="zh-CN"/>
        </w:rPr>
      </w:pPr>
      <w:r>
        <w:rPr>
          <w:rFonts w:hint="eastAsia" w:ascii="仿宋_GB2312" w:hAnsi="仿宋_GB2312" w:eastAsia="仿宋_GB2312"/>
          <w:color w:val="auto"/>
          <w:sz w:val="32"/>
          <w:szCs w:val="24"/>
          <w:lang w:val="en-US" w:eastAsia="zh-CN"/>
        </w:rPr>
        <w:t>12.</w:t>
      </w:r>
      <w:r>
        <w:rPr>
          <w:rFonts w:hint="eastAsia" w:ascii="仿宋_GB2312" w:hAnsi="仿宋_GB2312" w:eastAsia="仿宋_GB2312" w:cs="Times New Roman"/>
          <w:color w:val="auto"/>
          <w:kern w:val="2"/>
          <w:sz w:val="32"/>
          <w:szCs w:val="24"/>
        </w:rPr>
        <w:t>人居环境建设还款项目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27</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27</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beforeLines="0" w:afterLines="0" w:line="560" w:lineRule="exact"/>
        <w:ind w:firstLine="640"/>
        <w:jc w:val="both"/>
        <w:rPr>
          <w:rFonts w:hint="eastAsia" w:ascii="仿宋_GB2312" w:hAnsi="仿宋_GB2312" w:eastAsia="仿宋_GB2312"/>
          <w:color w:val="auto"/>
          <w:sz w:val="32"/>
          <w:szCs w:val="24"/>
          <w:lang w:eastAsia="zh-CN"/>
        </w:rPr>
      </w:pPr>
      <w:r>
        <w:rPr>
          <w:rFonts w:hint="eastAsia" w:ascii="仿宋_GB2312" w:hAnsi="仿宋_GB2312" w:eastAsia="仿宋_GB2312"/>
          <w:color w:val="auto"/>
          <w:sz w:val="32"/>
          <w:szCs w:val="24"/>
          <w:lang w:val="en-US" w:eastAsia="zh-CN"/>
        </w:rPr>
        <w:t>13.</w:t>
      </w:r>
      <w:r>
        <w:rPr>
          <w:rFonts w:hint="eastAsia" w:ascii="仿宋_GB2312" w:hAnsi="仿宋_GB2312" w:eastAsia="仿宋_GB2312" w:cs="Times New Roman"/>
          <w:color w:val="auto"/>
          <w:kern w:val="2"/>
          <w:sz w:val="32"/>
          <w:szCs w:val="24"/>
        </w:rPr>
        <w:t>疫情防控经费项目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15</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15</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100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Times New Roman" w:eastAsia="仿宋_GB2312" w:cs="仿宋_GB2312"/>
          <w:color w:val="auto"/>
          <w:sz w:val="32"/>
          <w:szCs w:val="32"/>
          <w:lang w:eastAsia="zh-CN"/>
        </w:rPr>
        <w:t>项目绩效目标完成情况：</w:t>
      </w:r>
      <w:r>
        <w:rPr>
          <w:rFonts w:hint="eastAsia" w:ascii="仿宋_GB2312" w:hAnsi="仿宋_GB2312" w:eastAsia="仿宋_GB2312"/>
          <w:color w:val="auto"/>
          <w:sz w:val="32"/>
          <w:szCs w:val="24"/>
        </w:rPr>
        <w:t>按时拨付</w:t>
      </w:r>
      <w:r>
        <w:rPr>
          <w:rFonts w:hint="eastAsia" w:ascii="仿宋_GB2312" w:hAnsi="仿宋_GB2312" w:eastAsia="仿宋_GB2312"/>
          <w:color w:val="auto"/>
          <w:sz w:val="32"/>
          <w:szCs w:val="24"/>
          <w:lang w:eastAsia="zh-CN"/>
        </w:rPr>
        <w:t>资金</w:t>
      </w:r>
      <w:r>
        <w:rPr>
          <w:rFonts w:hint="eastAsia" w:ascii="仿宋_GB2312" w:hAnsi="Times New Roman" w:eastAsia="仿宋_GB2312" w:cs="仿宋_GB2312"/>
          <w:color w:val="auto"/>
          <w:sz w:val="32"/>
          <w:szCs w:val="32"/>
          <w:lang w:eastAsia="zh-CN"/>
        </w:rPr>
        <w:t>。发现的主要问题及原因：</w:t>
      </w:r>
      <w:r>
        <w:rPr>
          <w:rFonts w:hint="eastAsia" w:ascii="仿宋_GB2312" w:hAnsi="Times New Roman" w:eastAsia="仿宋_GB2312" w:cs="仿宋_GB2312"/>
          <w:color w:val="auto"/>
          <w:sz w:val="32"/>
          <w:szCs w:val="32"/>
          <w:lang w:val="en-US" w:eastAsia="zh-CN"/>
        </w:rPr>
        <w:t>指标有待进一步优化</w:t>
      </w:r>
      <w:r>
        <w:rPr>
          <w:rFonts w:hint="eastAsia" w:ascii="仿宋_GB2312" w:hAnsi="Times New Roman" w:eastAsia="仿宋_GB2312" w:cs="仿宋_GB2312"/>
          <w:color w:val="auto"/>
          <w:sz w:val="32"/>
          <w:szCs w:val="32"/>
          <w:lang w:eastAsia="zh-CN"/>
        </w:rPr>
        <w:t>。下一步改进措施：</w:t>
      </w:r>
      <w:r>
        <w:rPr>
          <w:rFonts w:hint="eastAsia" w:ascii="仿宋_GB2312" w:hAnsi="仿宋_GB2312" w:eastAsia="仿宋_GB2312"/>
          <w:color w:val="auto"/>
          <w:sz w:val="32"/>
          <w:szCs w:val="24"/>
          <w:lang w:eastAsia="zh-CN"/>
        </w:rPr>
        <w:t>合理分配资金，做好</w:t>
      </w:r>
      <w:r>
        <w:rPr>
          <w:rFonts w:hint="eastAsia" w:ascii="仿宋_GB2312" w:hAnsi="仿宋_GB2312" w:eastAsia="仿宋_GB2312"/>
          <w:color w:val="auto"/>
          <w:sz w:val="32"/>
          <w:szCs w:val="24"/>
          <w:lang w:val="en-US" w:eastAsia="zh-CN"/>
        </w:rPr>
        <w:t>日常运转</w:t>
      </w:r>
      <w:r>
        <w:rPr>
          <w:rFonts w:hint="eastAsia" w:ascii="仿宋_GB2312" w:hAnsi="仿宋_GB2312" w:eastAsia="仿宋_GB2312"/>
          <w:color w:val="auto"/>
          <w:sz w:val="32"/>
          <w:szCs w:val="24"/>
          <w:lang w:eastAsia="zh-CN"/>
        </w:rPr>
        <w:t>工作，</w:t>
      </w:r>
      <w:r>
        <w:rPr>
          <w:rFonts w:hint="eastAsia" w:ascii="仿宋_GB2312" w:hAnsi="Times New Roman" w:eastAsia="仿宋_GB2312" w:cs="仿宋_GB2312"/>
          <w:color w:val="auto"/>
          <w:sz w:val="32"/>
          <w:szCs w:val="32"/>
          <w:lang w:val="en-US" w:eastAsia="zh-CN"/>
        </w:rPr>
        <w:t>进一步优化项目指标，适当使用定性目标，注重其科学性、实用性、可操作性</w:t>
      </w:r>
      <w:r>
        <w:rPr>
          <w:rFonts w:hint="eastAsia" w:ascii="仿宋_GB2312" w:hAnsi="仿宋_GB2312" w:eastAsia="仿宋_GB2312"/>
          <w:color w:val="auto"/>
          <w:sz w:val="32"/>
          <w:szCs w:val="24"/>
          <w:lang w:eastAsia="zh-CN"/>
        </w:rPr>
        <w:t>。</w:t>
      </w:r>
    </w:p>
    <w:p>
      <w:pPr>
        <w:spacing w:line="580" w:lineRule="exact"/>
        <w:ind w:firstLine="600"/>
        <w:rPr>
          <w:rFonts w:hint="eastAsia" w:ascii="仿宋_GB2312" w:hAnsi="仿宋_GB2312" w:eastAsia="仿宋_GB2312"/>
          <w:color w:val="auto"/>
          <w:sz w:val="32"/>
          <w:szCs w:val="24"/>
          <w:lang w:val="en-US" w:eastAsia="zh-CN"/>
        </w:rPr>
      </w:pPr>
      <w:r>
        <w:rPr>
          <w:rFonts w:hint="eastAsia" w:ascii="仿宋_GB2312" w:hAnsi="仿宋_GB2312" w:eastAsia="仿宋_GB2312" w:cs="Times New Roman"/>
          <w:color w:val="auto"/>
          <w:kern w:val="2"/>
          <w:sz w:val="32"/>
          <w:szCs w:val="24"/>
          <w:lang w:val="en-US" w:eastAsia="zh-CN"/>
        </w:rPr>
        <w:t>15.</w:t>
      </w:r>
      <w:r>
        <w:rPr>
          <w:rFonts w:hint="eastAsia" w:ascii="仿宋_GB2312" w:hAnsi="仿宋_GB2312" w:eastAsia="仿宋_GB2312" w:cs="Times New Roman"/>
          <w:color w:val="auto"/>
          <w:kern w:val="2"/>
          <w:sz w:val="32"/>
          <w:szCs w:val="24"/>
        </w:rPr>
        <w:t>综合执法工作经费（收入安排）项目</w:t>
      </w:r>
      <w:r>
        <w:rPr>
          <w:rFonts w:hint="eastAsia" w:ascii="仿宋_GB2312" w:hAnsi="仿宋_GB2312" w:eastAsia="仿宋_GB2312"/>
          <w:color w:val="auto"/>
          <w:kern w:val="2"/>
          <w:sz w:val="32"/>
          <w:szCs w:val="24"/>
        </w:rPr>
        <w:t>自评综述：根据年初设定的绩效目标，项目自评得分</w:t>
      </w:r>
      <w:r>
        <w:rPr>
          <w:rFonts w:hint="default" w:ascii="宋体" w:hAnsi="Times New Roman" w:eastAsia="宋体"/>
          <w:color w:val="auto"/>
          <w:kern w:val="2"/>
          <w:sz w:val="32"/>
          <w:szCs w:val="24"/>
          <w:u w:val="single"/>
          <w:lang w:val="en-US" w:eastAsia="zh-CN"/>
        </w:rPr>
        <w:t>90</w:t>
      </w:r>
      <w:r>
        <w:rPr>
          <w:rFonts w:hint="eastAsia" w:ascii="仿宋_GB2312" w:hAnsi="仿宋_GB2312" w:eastAsia="仿宋_GB2312"/>
          <w:color w:val="auto"/>
          <w:kern w:val="2"/>
          <w:sz w:val="32"/>
          <w:szCs w:val="24"/>
        </w:rPr>
        <w:t>分。全年预算数为</w:t>
      </w:r>
      <w:r>
        <w:rPr>
          <w:rFonts w:hint="default" w:ascii="宋体" w:hAnsi="Times New Roman" w:eastAsia="宋体"/>
          <w:color w:val="auto"/>
          <w:kern w:val="2"/>
          <w:sz w:val="32"/>
          <w:szCs w:val="24"/>
          <w:u w:val="single"/>
          <w:lang w:val="en-US" w:eastAsia="zh-CN"/>
        </w:rPr>
        <w:t>7.5</w:t>
      </w:r>
      <w:r>
        <w:rPr>
          <w:rFonts w:hint="eastAsia" w:ascii="仿宋_GB2312" w:hAnsi="仿宋_GB2312" w:eastAsia="仿宋_GB2312"/>
          <w:color w:val="auto"/>
          <w:kern w:val="2"/>
          <w:sz w:val="32"/>
          <w:szCs w:val="24"/>
        </w:rPr>
        <w:t>万元，执行数为</w:t>
      </w:r>
      <w:r>
        <w:rPr>
          <w:rFonts w:hint="default" w:ascii="宋体"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 xml:space="preserve"> </w:t>
      </w:r>
      <w:r>
        <w:rPr>
          <w:rFonts w:hint="default" w:ascii="宋体" w:hAnsi="Times New Roman" w:eastAsia="宋体"/>
          <w:color w:val="auto"/>
          <w:kern w:val="2"/>
          <w:sz w:val="32"/>
          <w:szCs w:val="24"/>
          <w:u w:val="single"/>
          <w:lang w:val="en-US" w:eastAsia="zh-CN"/>
        </w:rPr>
        <w:t>0</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w:t>
      </w:r>
      <w:r>
        <w:rPr>
          <w:rFonts w:hint="eastAsia" w:ascii="仿宋_GB2312" w:hAnsi="仿宋_GB2312" w:eastAsia="仿宋_GB2312" w:cs="Times New Roman"/>
          <w:color w:val="auto"/>
          <w:kern w:val="2"/>
          <w:sz w:val="32"/>
          <w:szCs w:val="24"/>
          <w:lang w:eastAsia="zh-CN"/>
        </w:rPr>
        <w:t>项目绩效目标完成情况：</w:t>
      </w:r>
      <w:r>
        <w:rPr>
          <w:rFonts w:hint="eastAsia" w:ascii="仿宋_GB2312" w:hAnsi="仿宋_GB2312" w:eastAsia="仿宋_GB2312" w:cs="Times New Roman"/>
          <w:color w:val="auto"/>
          <w:kern w:val="2"/>
          <w:sz w:val="32"/>
          <w:szCs w:val="24"/>
          <w:lang w:val="en-US" w:eastAsia="zh-CN"/>
        </w:rPr>
        <w:t>未</w:t>
      </w:r>
      <w:r>
        <w:rPr>
          <w:rFonts w:hint="eastAsia" w:ascii="仿宋_GB2312" w:hAnsi="仿宋_GB2312" w:eastAsia="仿宋_GB2312" w:cs="Times New Roman"/>
          <w:color w:val="auto"/>
          <w:kern w:val="2"/>
          <w:sz w:val="32"/>
          <w:szCs w:val="24"/>
        </w:rPr>
        <w:t>拨付</w:t>
      </w:r>
      <w:r>
        <w:rPr>
          <w:rFonts w:hint="eastAsia" w:ascii="仿宋_GB2312" w:hAnsi="仿宋_GB2312" w:eastAsia="仿宋_GB2312" w:cs="Times New Roman"/>
          <w:color w:val="auto"/>
          <w:kern w:val="2"/>
          <w:sz w:val="32"/>
          <w:szCs w:val="24"/>
          <w:lang w:eastAsia="zh-CN"/>
        </w:rPr>
        <w:t>资金。现的主要问题及原因：</w:t>
      </w:r>
      <w:r>
        <w:rPr>
          <w:rFonts w:hint="eastAsia" w:ascii="仿宋_GB2312" w:hAnsi="仿宋_GB2312" w:eastAsia="仿宋_GB2312" w:cs="Times New Roman"/>
          <w:color w:val="auto"/>
          <w:kern w:val="2"/>
          <w:sz w:val="32"/>
          <w:szCs w:val="24"/>
        </w:rPr>
        <w:t>旗财政资金紧张，支出矛盾突出，又加之疫情因素，财政收入大幅降低，“三保支出”及其他刚性支出压力大，所以该项目资金未予以安排拨付，导致项目资金最终无法支出，无法完成既定的绩效目标任务，故未达到设定指标值。因未形成有效支出，所以未形成产出成果。</w:t>
      </w:r>
      <w:r>
        <w:rPr>
          <w:rFonts w:hint="eastAsia" w:ascii="仿宋_GB2312" w:hAnsi="仿宋_GB2312" w:eastAsia="仿宋_GB2312" w:cs="Times New Roman"/>
          <w:color w:val="auto"/>
          <w:kern w:val="2"/>
          <w:sz w:val="32"/>
          <w:szCs w:val="24"/>
          <w:lang w:eastAsia="zh-CN"/>
        </w:rPr>
        <w:t>下一步改进措施：在后续项目资金管理中将进一步严格审批手续，严格执行相关的政策及规定，严格按照批准的项目和用途以及项目实施方案执行资金支出，不自行改变项目内容，不扩大支出范围。保证所有项目支出均合法合规。在经费支出时坚持"量入为出，收支平衡"的原则，从严控制支出，既考虑事业发展需要，又要考虑财力可能，实</w:t>
      </w:r>
      <w:r>
        <w:rPr>
          <w:rFonts w:hint="eastAsia" w:ascii="仿宋_GB2312" w:hAnsi="Times New Roman" w:eastAsia="仿宋_GB2312" w:cs="仿宋_GB2312"/>
          <w:color w:val="auto"/>
          <w:sz w:val="32"/>
          <w:szCs w:val="32"/>
          <w:lang w:eastAsia="zh-CN"/>
        </w:rPr>
        <w:t>行预算资金统筹安排，综合平衡。</w:t>
      </w:r>
    </w:p>
    <w:p>
      <w:pPr>
        <w:spacing w:beforeLines="0" w:afterLines="0"/>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（三）项目绩效评价结果。</w:t>
      </w:r>
    </w:p>
    <w:tbl>
      <w:tblPr>
        <w:tblStyle w:val="4"/>
        <w:tblW w:w="90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5"/>
        <w:gridCol w:w="829"/>
        <w:gridCol w:w="731"/>
        <w:gridCol w:w="1070"/>
        <w:gridCol w:w="610"/>
        <w:gridCol w:w="507"/>
        <w:gridCol w:w="1066"/>
        <w:gridCol w:w="918"/>
        <w:gridCol w:w="567"/>
        <w:gridCol w:w="729"/>
        <w:gridCol w:w="525"/>
        <w:gridCol w:w="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012"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398"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工作经费（收入安排）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18"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98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496"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4"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1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98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25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14"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28.40</w:t>
            </w:r>
          </w:p>
        </w:tc>
        <w:tc>
          <w:tcPr>
            <w:tcW w:w="111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28.40</w:t>
            </w:r>
          </w:p>
        </w:tc>
        <w:tc>
          <w:tcPr>
            <w:tcW w:w="198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28.40</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25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14"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28.40</w:t>
            </w:r>
          </w:p>
        </w:tc>
        <w:tc>
          <w:tcPr>
            <w:tcW w:w="111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28.40</w:t>
            </w:r>
          </w:p>
        </w:tc>
        <w:tc>
          <w:tcPr>
            <w:tcW w:w="198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28.40</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25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14"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1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98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25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4"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1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98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25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4"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398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1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4"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398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依据乡镇2022年年初预算数统计表，合理分配资金。</w:t>
            </w:r>
          </w:p>
        </w:tc>
        <w:tc>
          <w:tcPr>
            <w:tcW w:w="341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根据实际工作需要使用业务费资金，保障正常运转。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8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2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91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2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52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29"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科目调整次数</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次</w:t>
            </w: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工作运行质量</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工作运行质量</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工作运行质量</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实际工作完成率</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w:t>
            </w: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工作完成及时率</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薪酬发放成本</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人工成本</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1"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运转保障率</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保开展障日常业务正常</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保开展障日常业务正常</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保开展障日常业务正常</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1"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7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职工满意度</w:t>
            </w:r>
          </w:p>
        </w:tc>
        <w:tc>
          <w:tcPr>
            <w:tcW w:w="6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6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91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6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2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52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83"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2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2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3"/>
        <w:gridCol w:w="828"/>
        <w:gridCol w:w="731"/>
        <w:gridCol w:w="1069"/>
        <w:gridCol w:w="609"/>
        <w:gridCol w:w="507"/>
        <w:gridCol w:w="1069"/>
        <w:gridCol w:w="416"/>
        <w:gridCol w:w="804"/>
        <w:gridCol w:w="857"/>
        <w:gridCol w:w="582"/>
        <w:gridCol w:w="7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023"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1"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12"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哈达阳镇哈北农田路项目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1"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16"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4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301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1"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6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1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4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80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8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135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11"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6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111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14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80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8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135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11"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6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111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14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804"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8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1350"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11"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6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1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4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804"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8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1350"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11"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6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1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4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804" w:type="dxa"/>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8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1350"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1"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3985"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7"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11"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3985"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哈达阳镇哈北农田路项目全长18.75公里，圆管涵8处</w:t>
            </w:r>
          </w:p>
        </w:tc>
        <w:tc>
          <w:tcPr>
            <w:tcW w:w="3427"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哈达阳镇哈北农田路项目建设完成，验收合格并交付使用。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8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2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6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6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80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8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58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7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28"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支持工作项数</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支持工作次数</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次</w:t>
            </w: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项目质量</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项目实施时效</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按计划实施</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按计划实施</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53.91</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成本节约率</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1"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1"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83"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28"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1"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0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0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69"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416"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804"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857"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582"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8"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16"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8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8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7"/>
        <w:gridCol w:w="730"/>
        <w:gridCol w:w="1068"/>
        <w:gridCol w:w="609"/>
        <w:gridCol w:w="507"/>
        <w:gridCol w:w="1066"/>
        <w:gridCol w:w="701"/>
        <w:gridCol w:w="596"/>
        <w:gridCol w:w="757"/>
        <w:gridCol w:w="757"/>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哈达阳镇双哈村农田路项目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21.20</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哈达阳镇双哈村农田路项目新建公路15公里，两处涵洞</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哈达阳镇双哈农田路项目建设完成，验收完成交付使用。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支持工作项数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支持工作次数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次</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项目质量</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项目实施时效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按项目计划实施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按项目计划实施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21.2</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成本节约率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8"/>
        <w:gridCol w:w="731"/>
        <w:gridCol w:w="1066"/>
        <w:gridCol w:w="609"/>
        <w:gridCol w:w="507"/>
        <w:gridCol w:w="1066"/>
        <w:gridCol w:w="701"/>
        <w:gridCol w:w="596"/>
        <w:gridCol w:w="757"/>
        <w:gridCol w:w="757"/>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哈列图太阳能路灯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哈列图太阳能路灯二类费：招标代理费、清单编制费</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哈达阳镇哈列图村路灯项目已完工，交付已使用。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支持工作项数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支持工作次数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次</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项目普惠范围</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全村</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项目实施时效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按计划实施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按计划实施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1.04</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成本节约率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2"/>
        <w:gridCol w:w="827"/>
        <w:gridCol w:w="730"/>
        <w:gridCol w:w="1067"/>
        <w:gridCol w:w="608"/>
        <w:gridCol w:w="507"/>
        <w:gridCol w:w="1067"/>
        <w:gridCol w:w="704"/>
        <w:gridCol w:w="596"/>
        <w:gridCol w:w="757"/>
        <w:gridCol w:w="757"/>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美丽乡村还本支出（直通车）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根据美丽乡村产业基金还款计划填报，合理分配资金。</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根据美丽乡村产业基金还款计划填报，合理分配资金。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资金使用率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工作运行质量</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工作完成及时率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人工成本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按实际核算</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按实际核算</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工作运转成本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19.28</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7"/>
        <w:gridCol w:w="730"/>
        <w:gridCol w:w="1066"/>
        <w:gridCol w:w="609"/>
        <w:gridCol w:w="507"/>
        <w:gridCol w:w="1063"/>
        <w:gridCol w:w="701"/>
        <w:gridCol w:w="596"/>
        <w:gridCol w:w="757"/>
        <w:gridCol w:w="762"/>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民族乡补助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4.92</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98.40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4.92</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98.40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有效开展哈达阳镇工作，合理分配资金，做好全年统计工作。</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有效开展哈达阳镇工作，合理分配资金，做好全年统计工作。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工作运行质量</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工作完成及时率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人工成本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按工资匹配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按工资匹配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工作运转成本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4.92</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4.92</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运转保障率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99.76</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8"/>
        <w:gridCol w:w="731"/>
        <w:gridCol w:w="1066"/>
        <w:gridCol w:w="609"/>
        <w:gridCol w:w="507"/>
        <w:gridCol w:w="1066"/>
        <w:gridCol w:w="701"/>
        <w:gridCol w:w="596"/>
        <w:gridCol w:w="757"/>
        <w:gridCol w:w="757"/>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莫旗哈达阳镇双哈村农田路二类费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莫旗哈达阳镇双哈村农田路二类费。招标代理费、造价咨询服务费、监理费、勘察鉴定费。</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莫旗哈达阳镇双哈村农田路建设完成，验收合格并交付使用。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支持工作项数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支持工作次数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次</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项目质量</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项目实施时效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按计划实施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按计划实施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6.37</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可持续使用</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8"/>
        <w:gridCol w:w="731"/>
        <w:gridCol w:w="1069"/>
        <w:gridCol w:w="609"/>
        <w:gridCol w:w="507"/>
        <w:gridCol w:w="1069"/>
        <w:gridCol w:w="697"/>
        <w:gridCol w:w="596"/>
        <w:gridCol w:w="757"/>
        <w:gridCol w:w="755"/>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农村四好公路养护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17.76</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17.76</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17.76</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17.76</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全旗乡村路日常养护里程，做好全年预算，合理分配资金。</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哈达阳镇养护路面总里程66.442公里，未将资金使用。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维护总里程（公里）</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66.44</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公里</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道路维修保养验收合格率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工程质量合格率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工程完工时间</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工程完工时间</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工程完工时间</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人工成本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按实际结算</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材料成本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按实际结算</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交通安全事故降低率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3"/>
        <w:gridCol w:w="828"/>
        <w:gridCol w:w="731"/>
        <w:gridCol w:w="1066"/>
        <w:gridCol w:w="609"/>
        <w:gridCol w:w="507"/>
        <w:gridCol w:w="1064"/>
        <w:gridCol w:w="699"/>
        <w:gridCol w:w="596"/>
        <w:gridCol w:w="757"/>
        <w:gridCol w:w="762"/>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人大专项经费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4.58</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91.60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4.58</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91.60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要保证苏木乡镇人大、人大街道工委的基本工作经费，每个苏木乡镇、街道每年不低于5万元。</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要保证苏木乡镇人大、人大街道工委的基本工作经费，每个苏木乡镇、街道每年不低于5万元。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资金使用率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工作运行质量</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工作完成及时率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人工成本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按工资匹配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按工资匹配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工作运转成本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4.8</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4.8</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保证人大正常运转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保证人大正常运转</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保证人大正常运转</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人大代表满意率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98.96</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74"/>
        <w:gridCol w:w="817"/>
        <w:gridCol w:w="727"/>
        <w:gridCol w:w="1063"/>
        <w:gridCol w:w="604"/>
        <w:gridCol w:w="504"/>
        <w:gridCol w:w="1063"/>
        <w:gridCol w:w="756"/>
        <w:gridCol w:w="596"/>
        <w:gridCol w:w="750"/>
        <w:gridCol w:w="750"/>
        <w:gridCol w:w="6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人居环境建设贷款利息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根据人居环境建设贷款还款计划进行还款，按时还款，足额保障，不发生违约。</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按计划及时还款，足额保障资金，不发生违约。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人居环境建设贷款利息</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还款利息进度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反馈时效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高效反馈</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高效反馈</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562.66</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成本节约率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74"/>
        <w:gridCol w:w="817"/>
        <w:gridCol w:w="727"/>
        <w:gridCol w:w="1063"/>
        <w:gridCol w:w="604"/>
        <w:gridCol w:w="504"/>
        <w:gridCol w:w="1063"/>
        <w:gridCol w:w="756"/>
        <w:gridCol w:w="596"/>
        <w:gridCol w:w="750"/>
        <w:gridCol w:w="750"/>
        <w:gridCol w:w="6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人居环境建设还款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足额保障，及时支付，减少预算结余，保障贷款不逾期</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及时拨付人居环境建设还款，保障贷款不逾期。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人居环境建设还款</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还款工作进度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反馈时效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高效反馈</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高效反馈</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684.17</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成本节约率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8"/>
        <w:gridCol w:w="731"/>
        <w:gridCol w:w="1069"/>
        <w:gridCol w:w="609"/>
        <w:gridCol w:w="507"/>
        <w:gridCol w:w="1064"/>
        <w:gridCol w:w="699"/>
        <w:gridCol w:w="596"/>
        <w:gridCol w:w="757"/>
        <w:gridCol w:w="757"/>
        <w:gridCol w:w="6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4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涉诉资金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27.00</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涉足资金，足额保障，及时支付，减少预算结余</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根据计划及时拨付涉斥资金。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涉诉项目</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涉斥工作解程度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反馈时效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高效反馈</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高效反馈</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27</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成本节约率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8"/>
        <w:gridCol w:w="731"/>
        <w:gridCol w:w="1069"/>
        <w:gridCol w:w="609"/>
        <w:gridCol w:w="507"/>
        <w:gridCol w:w="1064"/>
        <w:gridCol w:w="699"/>
        <w:gridCol w:w="596"/>
        <w:gridCol w:w="757"/>
        <w:gridCol w:w="757"/>
        <w:gridCol w:w="6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疫情防控经费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15.00</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哈达阳镇二零二一至二零二二年度疫情防控经费</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哈达阳镇疫情防控经费合理分配资金，已全部用于疫情防控中。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足额保障率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疫情防控经费</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次</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工作效率改善程度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完成及时率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资金按需支付</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按需支付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按需支付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良好</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4"/>
        <w:gridCol w:w="828"/>
        <w:gridCol w:w="731"/>
        <w:gridCol w:w="1069"/>
        <w:gridCol w:w="609"/>
        <w:gridCol w:w="507"/>
        <w:gridCol w:w="1064"/>
        <w:gridCol w:w="699"/>
        <w:gridCol w:w="596"/>
        <w:gridCol w:w="757"/>
        <w:gridCol w:w="757"/>
        <w:gridCol w:w="6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自然灾害救灾资金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莫旗2021年自治区自然灾害救灾资金，做到合理分配资金。</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合理分配自然灾害救灾资金，保障灾害救助顺利进行。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支持工作项数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支持工作次数</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次</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工作达标率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工作惠及率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资金拨付时效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按时拨付</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按需拨付</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工作开展时效</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按计划按需开展</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按计划开展</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成本控制额</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成本节约率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反向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救灾实现率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tbl>
      <w:tblPr>
        <w:tblStyle w:val="4"/>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5"/>
        <w:gridCol w:w="829"/>
        <w:gridCol w:w="731"/>
        <w:gridCol w:w="1067"/>
        <w:gridCol w:w="609"/>
        <w:gridCol w:w="507"/>
        <w:gridCol w:w="1065"/>
        <w:gridCol w:w="699"/>
        <w:gridCol w:w="596"/>
        <w:gridCol w:w="758"/>
        <w:gridCol w:w="756"/>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9075" w:type="dxa"/>
            <w:gridSpan w:val="1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b/>
                <w:color w:val="000000"/>
                <w:sz w:val="40"/>
                <w:szCs w:val="40"/>
              </w:rPr>
            </w:pPr>
            <w:r>
              <w:rPr>
                <w:rFonts w:hint="default" w:ascii="宋体" w:hAnsi="宋体" w:eastAsia="宋体" w:cs="宋体"/>
                <w:b/>
                <w:color w:val="000000"/>
                <w:sz w:val="40"/>
                <w:szCs w:val="40"/>
                <w:lang w:val="en-US" w:eastAsia="zh-CN" w:bidi="ar"/>
              </w:rPr>
              <w:t>项目支出绩效自评表</w:t>
            </w:r>
            <w:r>
              <w:rPr>
                <w:rFonts w:hint="default" w:ascii="宋体" w:hAnsi="宋体" w:eastAsia="宋体" w:cs="宋体"/>
                <w:b/>
                <w:color w:val="000000"/>
                <w:sz w:val="40"/>
                <w:szCs w:val="40"/>
                <w:lang w:val="en-US" w:eastAsia="zh-CN" w:bidi="ar"/>
              </w:rPr>
              <w:br w:type="textWrapping"/>
            </w:r>
            <w:r>
              <w:rPr>
                <w:rFonts w:hint="default" w:ascii="宋体" w:hAnsi="宋体" w:eastAsia="宋体" w:cs="宋体"/>
                <w:b/>
                <w:color w:val="000000"/>
                <w:sz w:val="40"/>
                <w:szCs w:val="4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项目名称</w:t>
            </w:r>
          </w:p>
        </w:tc>
        <w:tc>
          <w:tcPr>
            <w:tcW w:w="744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综合执法工作经费（收入安排）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主管部门</w:t>
            </w:r>
          </w:p>
        </w:tc>
        <w:tc>
          <w:tcPr>
            <w:tcW w:w="2940"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莫力达瓦达斡尔族自治旗哈达阳镇人民政府（部门）</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right"/>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实施单位</w:t>
            </w:r>
          </w:p>
        </w:tc>
        <w:tc>
          <w:tcPr>
            <w:tcW w:w="2715"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项目资金</w:t>
            </w:r>
            <w:r>
              <w:rPr>
                <w:rFonts w:hint="default" w:ascii="宋体" w:hAnsi="宋体" w:eastAsia="宋体" w:cs="宋体"/>
                <w:color w:val="000000"/>
                <w:sz w:val="18"/>
                <w:szCs w:val="18"/>
                <w:lang w:val="en-US" w:eastAsia="zh-CN" w:bidi="ar"/>
              </w:rPr>
              <w:br w:type="textWrapping"/>
            </w:r>
            <w:r>
              <w:rPr>
                <w:rFonts w:hint="default" w:ascii="宋体" w:hAnsi="宋体" w:eastAsia="宋体" w:cs="宋体"/>
                <w:color w:val="000000"/>
                <w:sz w:val="18"/>
                <w:szCs w:val="18"/>
                <w:lang w:val="en-US" w:eastAsia="zh-CN" w:bidi="ar"/>
              </w:rPr>
              <w:t>（万元）</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rPr>
                <w:rFonts w:hint="default" w:ascii="宋体" w:hAnsi="宋体" w:eastAsia="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年初预算数</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全年预算数</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全年执行数</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年度资金总额</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7.50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7.50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其中：财政拨款</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7.50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7.50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上年结转资金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其他资金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12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178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0.00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c>
          <w:tcPr>
            <w:tcW w:w="1530"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0" w:type="auto"/>
            <w:tcBorders>
              <w:top w:val="single" w:color="000000" w:sz="4" w:space="0"/>
              <w:left w:val="single" w:color="000000" w:sz="4" w:space="0"/>
              <w:bottom w:val="single" w:color="000000" w:sz="4" w:space="0"/>
              <w:right w:val="single" w:color="000000" w:sz="4" w:space="0"/>
              <w:tl2br w:val="nil"/>
              <w:tr2bl w:val="nil"/>
            </w:tcBorders>
            <w:noWrap/>
            <w:vAlign w:val="center"/>
          </w:tcPr>
          <w:p>
            <w:pPr>
              <w:widowControl/>
              <w:spacing w:beforeLines="0" w:afterLines="0"/>
              <w:jc w:val="center"/>
              <w:textAlignment w:val="center"/>
              <w:rPr>
                <w:rFonts w:hint="default" w:ascii="Arial" w:hAnsi="Arial" w:eastAsia="宋体" w:cs="Arial"/>
                <w:color w:val="222222"/>
                <w:sz w:val="19"/>
                <w:szCs w:val="19"/>
              </w:rPr>
            </w:pPr>
            <w:r>
              <w:rPr>
                <w:rFonts w:hint="default" w:ascii="Arial" w:hAnsi="Arial" w:eastAsia="宋体" w:cs="Arial"/>
                <w:color w:val="222222"/>
                <w:sz w:val="19"/>
                <w:szCs w:val="19"/>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年度总体目标</w:t>
            </w: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预期目标</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635"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40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基层综合行政执法工作所需经费和装备由旗县人民政府财政予以保障。</w:t>
            </w:r>
          </w:p>
        </w:tc>
        <w:tc>
          <w:tcPr>
            <w:tcW w:w="3420"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基层综合行政执法工作所需经费和装备由旗县人民政府予以保障，未执行绩效目标。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一级指标</w:t>
            </w:r>
          </w:p>
        </w:tc>
        <w:tc>
          <w:tcPr>
            <w:tcW w:w="7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二级指标</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三级指标</w:t>
            </w:r>
          </w:p>
        </w:tc>
        <w:tc>
          <w:tcPr>
            <w:tcW w:w="61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指标性质</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指标方向</w:t>
            </w:r>
          </w:p>
        </w:tc>
        <w:tc>
          <w:tcPr>
            <w:tcW w:w="1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年度指标值</w:t>
            </w:r>
          </w:p>
        </w:tc>
        <w:tc>
          <w:tcPr>
            <w:tcW w:w="7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实际完成值</w:t>
            </w:r>
          </w:p>
        </w:tc>
        <w:tc>
          <w:tcPr>
            <w:tcW w:w="5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计量单位</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分值</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得分</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绩效指标</w:t>
            </w: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产出指标</w:t>
            </w: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数量指标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按照使用范围使用资金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人员数量</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12</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12</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质量指标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实际工作完成率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95</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薪酬发放率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时效指标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资金按时到位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工作完成及时率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工作及时完成</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成本指标</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人工成本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按工资匹配</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按工资匹配</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工作运转成本</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小于等于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7.5</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万元</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restart"/>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效益指标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社会效益</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运转保障率</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可持续影响</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定性</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保障日常业务正常开展</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15</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5" w:type="dxa"/>
            <w:vMerge w:val="continue"/>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c>
          <w:tcPr>
            <w:tcW w:w="84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满意度指标</w:t>
            </w:r>
          </w:p>
        </w:tc>
        <w:tc>
          <w:tcPr>
            <w:tcW w:w="73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服务对象满意度</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职工满意度</w:t>
            </w:r>
          </w:p>
        </w:tc>
        <w:tc>
          <w:tcPr>
            <w:tcW w:w="61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正向</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大于等于</w:t>
            </w:r>
          </w:p>
        </w:tc>
        <w:tc>
          <w:tcPr>
            <w:tcW w:w="108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70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510"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765" w:type="dxa"/>
            <w:tcBorders>
              <w:top w:val="single" w:color="000000" w:sz="4" w:space="0"/>
              <w:left w:val="single" w:color="000000" w:sz="4" w:space="0"/>
              <w:bottom w:val="nil"/>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w:t>
            </w:r>
          </w:p>
        </w:tc>
        <w:tc>
          <w:tcPr>
            <w:tcW w:w="675"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870"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总分</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100</w:t>
            </w:r>
          </w:p>
        </w:tc>
        <w:tc>
          <w:tcPr>
            <w:tcW w:w="76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spacing w:beforeLines="0" w:afterLines="0"/>
              <w:jc w:val="center"/>
              <w:textAlignment w:val="center"/>
              <w:rPr>
                <w:rFonts w:hint="default" w:ascii="宋体" w:hAnsi="宋体" w:eastAsia="宋体" w:cs="宋体"/>
                <w:color w:val="000000"/>
                <w:sz w:val="18"/>
                <w:szCs w:val="18"/>
              </w:rPr>
            </w:pPr>
            <w:r>
              <w:rPr>
                <w:rFonts w:hint="default" w:ascii="宋体" w:hAnsi="宋体" w:eastAsia="宋体" w:cs="宋体"/>
                <w:color w:val="000000"/>
                <w:sz w:val="18"/>
                <w:szCs w:val="18"/>
                <w:lang w:val="en-US" w:eastAsia="zh-CN" w:bidi="ar"/>
              </w:rPr>
              <w:t>90</w:t>
            </w:r>
          </w:p>
        </w:tc>
        <w:tc>
          <w:tcPr>
            <w:tcW w:w="6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default" w:ascii="宋体" w:hAnsi="宋体" w:eastAsia="宋体" w:cs="宋体"/>
                <w:color w:val="000000"/>
                <w:sz w:val="18"/>
                <w:szCs w:val="18"/>
              </w:rPr>
            </w:pPr>
          </w:p>
        </w:tc>
      </w:tr>
    </w:tbl>
    <w:p>
      <w:pPr>
        <w:spacing w:beforeLines="0" w:afterLines="0" w:line="560" w:lineRule="exact"/>
        <w:jc w:val="both"/>
        <w:rPr>
          <w:rFonts w:hint="default" w:ascii="Times New Roman" w:hAnsi="Times New Roman" w:eastAsia="Times New Roman"/>
          <w:color w:val="auto"/>
          <w:kern w:val="2"/>
          <w:sz w:val="32"/>
          <w:szCs w:val="24"/>
        </w:rPr>
      </w:pPr>
    </w:p>
    <w:p>
      <w:pPr>
        <w:pStyle w:val="3"/>
        <w:keepNext/>
        <w:keepLines/>
        <w:tabs>
          <w:tab w:val="left" w:pos="4392"/>
        </w:tabs>
        <w:spacing w:beforeLines="0" w:afterLines="0" w:line="360" w:lineRule="auto"/>
        <w:jc w:val="center"/>
        <w:rPr>
          <w:rFonts w:hint="default" w:ascii="Times New Roman" w:hAnsi="Times New Roman" w:eastAsia="Times New Roman"/>
          <w:color w:val="auto"/>
          <w:kern w:val="2"/>
          <w:sz w:val="36"/>
          <w:szCs w:val="24"/>
        </w:rPr>
      </w:pPr>
      <w:r>
        <w:rPr>
          <w:rFonts w:hint="eastAsia" w:ascii="方正小标宋简体" w:hAnsi="方正小标宋简体" w:eastAsia="方正小标宋简体"/>
          <w:color w:val="auto"/>
          <w:kern w:val="2"/>
          <w:sz w:val="36"/>
          <w:szCs w:val="24"/>
        </w:rPr>
        <w:t>第三部分  名词解释</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一、财政拨款收入：</w:t>
      </w:r>
      <w:r>
        <w:rPr>
          <w:rFonts w:hint="eastAsia" w:ascii="仿宋_GB2312" w:hAnsi="仿宋_GB2312" w:eastAsia="仿宋_GB2312"/>
          <w:color w:val="auto"/>
          <w:kern w:val="2"/>
          <w:sz w:val="32"/>
          <w:szCs w:val="24"/>
        </w:rPr>
        <w:t>从同级财政部门取得的各类财政拨款，包括一般公共预算财政拨款、政府性基金预算财政拨款、国有资本经营预算财政拨款。</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二、上级补助收入：</w:t>
      </w:r>
      <w:r>
        <w:rPr>
          <w:rFonts w:hint="eastAsia" w:ascii="仿宋_GB2312" w:hAnsi="仿宋_GB2312" w:eastAsia="仿宋_GB2312"/>
          <w:color w:val="auto"/>
          <w:kern w:val="2"/>
          <w:sz w:val="32"/>
          <w:szCs w:val="24"/>
        </w:rPr>
        <w:t>指事业单位从主管部门和上级单位取得的非财政补助收入。</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三、财政专户管理教育收费：</w:t>
      </w:r>
      <w:r>
        <w:rPr>
          <w:rFonts w:hint="eastAsia" w:ascii="仿宋_GB2312" w:hAnsi="仿宋_GB2312" w:eastAsia="仿宋_GB2312"/>
          <w:color w:val="auto"/>
          <w:kern w:val="2"/>
          <w:sz w:val="32"/>
          <w:szCs w:val="24"/>
        </w:rPr>
        <w:t>指缴入财政专户、实行专项管理的高中以上学费、住宿费、高校委托培养费、函大、电大、夜大及短训班培训费等教育收费。</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四、事业收入：</w:t>
      </w:r>
      <w:r>
        <w:rPr>
          <w:rFonts w:hint="eastAsia" w:ascii="仿宋_GB2312" w:hAnsi="仿宋_GB2312" w:eastAsia="仿宋_GB2312"/>
          <w:color w:val="auto"/>
          <w:kern w:val="2"/>
          <w:sz w:val="32"/>
          <w:szCs w:val="24"/>
        </w:rPr>
        <w:t>指事业单位开展专业业务活动及其辅助活动取得的收入。</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五、经营收入：</w:t>
      </w:r>
      <w:r>
        <w:rPr>
          <w:rFonts w:hint="eastAsia" w:ascii="仿宋_GB2312" w:hAnsi="仿宋_GB2312" w:eastAsia="仿宋_GB2312"/>
          <w:color w:val="auto"/>
          <w:kern w:val="2"/>
          <w:sz w:val="32"/>
          <w:szCs w:val="24"/>
        </w:rPr>
        <w:t>指事业单位在专业业务活动及其辅助活动之外开展非独立核算经营活动取得的收入。</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六、附属单位上缴收入：</w:t>
      </w:r>
      <w:r>
        <w:rPr>
          <w:rFonts w:hint="eastAsia" w:ascii="仿宋_GB2312" w:hAnsi="仿宋_GB2312" w:eastAsia="仿宋_GB2312"/>
          <w:color w:val="auto"/>
          <w:kern w:val="2"/>
          <w:sz w:val="32"/>
          <w:szCs w:val="24"/>
        </w:rPr>
        <w:t>指事业单位附属独立核算单位按照有关规定上缴的收入。</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七、其他收入：</w:t>
      </w:r>
      <w:r>
        <w:rPr>
          <w:rFonts w:hint="eastAsia" w:ascii="仿宋_GB2312" w:hAnsi="仿宋_GB2312" w:eastAsia="仿宋_GB2312"/>
          <w:color w:val="auto"/>
          <w:kern w:val="2"/>
          <w:sz w:val="32"/>
          <w:szCs w:val="24"/>
        </w:rPr>
        <w:t>取得的除上述“财政拨款收入”、“上级补助收入”、“事业收入”、“经营收入”、“附属单位上缴收入”等以外的各项收入。</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八、使用非财政拨款结余：</w:t>
      </w:r>
      <w:r>
        <w:rPr>
          <w:rFonts w:hint="eastAsia" w:ascii="仿宋_GB2312" w:hAnsi="仿宋_GB2312" w:eastAsia="仿宋_GB2312"/>
          <w:color w:val="auto"/>
          <w:kern w:val="2"/>
          <w:sz w:val="32"/>
          <w:szCs w:val="24"/>
        </w:rPr>
        <w:t>指事业单位按照预算管理要求使用非财政拨款结余弥补当年收支差额的数额。</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九、年初结转和结余：</w:t>
      </w:r>
      <w:r>
        <w:rPr>
          <w:rFonts w:hint="eastAsia" w:ascii="仿宋_GB2312" w:hAnsi="仿宋_GB2312" w:eastAsia="仿宋_GB2312"/>
          <w:color w:val="auto"/>
          <w:kern w:val="2"/>
          <w:sz w:val="32"/>
          <w:szCs w:val="24"/>
        </w:rPr>
        <w:t>指单位上年结转本年使用的基本支出结转、项目支出结转和结余、经营结余。</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十、结余分配：</w:t>
      </w:r>
      <w:r>
        <w:rPr>
          <w:rFonts w:hint="eastAsia" w:ascii="仿宋_GB2312" w:hAnsi="仿宋_GB2312" w:eastAsia="仿宋_GB2312"/>
          <w:color w:val="auto"/>
          <w:kern w:val="2"/>
          <w:sz w:val="32"/>
          <w:szCs w:val="24"/>
        </w:rPr>
        <w:t>指事业单位按规定缴纳的所得税以及从非财政拨款结余中提取各类结余的情况。</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十一、年末结转和结余资金：</w:t>
      </w:r>
      <w:r>
        <w:rPr>
          <w:rFonts w:hint="eastAsia" w:ascii="仿宋_GB2312" w:hAnsi="仿宋_GB2312" w:eastAsia="仿宋_GB2312"/>
          <w:color w:val="auto"/>
          <w:kern w:val="2"/>
          <w:sz w:val="32"/>
          <w:szCs w:val="24"/>
        </w:rPr>
        <w:t>指单位结转下年的基本支出结转、项目支出结转和结余、经营结余。</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十二、基本支出：</w:t>
      </w:r>
      <w:r>
        <w:rPr>
          <w:rFonts w:hint="eastAsia" w:ascii="仿宋_GB2312" w:hAnsi="仿宋_GB2312" w:eastAsia="仿宋_GB2312"/>
          <w:color w:val="auto"/>
          <w:kern w:val="2"/>
          <w:sz w:val="32"/>
          <w:szCs w:val="24"/>
        </w:rPr>
        <w:t>指为保障机构正常运转、完成日常工作任务所发生的支出，包括人员经费和公用经费。</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十三、项目支出：</w:t>
      </w:r>
      <w:r>
        <w:rPr>
          <w:rFonts w:hint="eastAsia" w:ascii="仿宋_GB2312" w:hAnsi="仿宋_GB2312" w:eastAsia="仿宋_GB2312"/>
          <w:color w:val="auto"/>
          <w:kern w:val="2"/>
          <w:sz w:val="32"/>
          <w:szCs w:val="24"/>
        </w:rPr>
        <w:t>指在为完成特定的工作任务和事业发展目标所发生的支出。</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十四、上缴上级支出：</w:t>
      </w:r>
      <w:r>
        <w:rPr>
          <w:rFonts w:hint="eastAsia" w:ascii="仿宋_GB2312" w:hAnsi="仿宋_GB2312" w:eastAsia="仿宋_GB2312"/>
          <w:color w:val="auto"/>
          <w:kern w:val="2"/>
          <w:sz w:val="32"/>
          <w:szCs w:val="24"/>
        </w:rPr>
        <w:t>指事业单位按照财政部门和主管部门的规定上缴上级单位的支出。</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十五、经营支出：</w:t>
      </w:r>
      <w:r>
        <w:rPr>
          <w:rFonts w:hint="eastAsia" w:ascii="仿宋_GB2312" w:hAnsi="仿宋_GB2312" w:eastAsia="仿宋_GB2312"/>
          <w:color w:val="auto"/>
          <w:kern w:val="2"/>
          <w:sz w:val="32"/>
          <w:szCs w:val="24"/>
        </w:rPr>
        <w:t>指事业单位在专业业务活动及其辅助活动之外开展非独立核算经营活动发生的支出。</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十六、对附属单位补助支出：</w:t>
      </w:r>
      <w:r>
        <w:rPr>
          <w:rFonts w:hint="eastAsia" w:ascii="仿宋_GB2312" w:hAnsi="仿宋_GB2312" w:eastAsia="仿宋_GB2312"/>
          <w:color w:val="auto"/>
          <w:kern w:val="2"/>
          <w:sz w:val="32"/>
          <w:szCs w:val="24"/>
        </w:rPr>
        <w:t>指事业单位用财政拨款收入之外的收入对附属单位补助发生的支出。</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十七、“三公”经费：</w:t>
      </w:r>
      <w:r>
        <w:rPr>
          <w:rFonts w:hint="eastAsia" w:ascii="仿宋_GB2312" w:hAnsi="仿宋_GB2312" w:eastAsia="仿宋_GB2312"/>
          <w:color w:val="auto"/>
          <w:kern w:val="2"/>
          <w:sz w:val="32"/>
          <w:szCs w:val="24"/>
        </w:rPr>
        <w:t>指用财政拨款安排的因公出国（境）费、公务用车购置及运行维护费和公务接待费。其中，因公出国（境）费反映)公务出国（境）的国际旅费、国外城市间交通费、住宿费、伙食费、培训费、公杂费等支出；公务用车购置及运行维护费反映公务用车购置支出（含车辆购置税、牌照费）以及按规定保留的公务用车燃料费、维修费、过路过桥费、保险费、安全奖励费用等支出；公务接待费反映按规定开支的各类公务接待（含外宾接待）费用。</w:t>
      </w:r>
    </w:p>
    <w:p>
      <w:pPr>
        <w:spacing w:beforeLines="0" w:afterLines="0"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十八、机构运行经费：</w:t>
      </w:r>
      <w:r>
        <w:rPr>
          <w:rFonts w:hint="eastAsia" w:ascii="仿宋_GB2312" w:hAnsi="仿宋_GB2312" w:eastAsia="仿宋_GB2312"/>
          <w:color w:val="auto"/>
          <w:kern w:val="2"/>
          <w:sz w:val="32"/>
          <w:szCs w:val="24"/>
        </w:rPr>
        <w:t>指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beforeLines="0" w:after="120" w:afterLines="0"/>
        <w:ind w:left="420" w:firstLine="420"/>
        <w:jc w:val="both"/>
        <w:rPr>
          <w:rFonts w:hint="default" w:ascii="Times New Roman" w:hAnsi="Times New Roman" w:eastAsia="Times New Roman"/>
          <w:color w:val="auto"/>
          <w:kern w:val="2"/>
          <w:sz w:val="21"/>
          <w:szCs w:val="24"/>
        </w:rPr>
      </w:pPr>
    </w:p>
    <w:p>
      <w:pPr>
        <w:pStyle w:val="3"/>
        <w:keepNext/>
        <w:keepLines/>
        <w:tabs>
          <w:tab w:val="left" w:pos="4392"/>
        </w:tabs>
        <w:spacing w:beforeLines="0" w:afterLines="0" w:line="360" w:lineRule="auto"/>
        <w:jc w:val="center"/>
        <w:rPr>
          <w:rFonts w:hint="default" w:ascii="Times New Roman" w:hAnsi="Times New Roman" w:eastAsia="Times New Roman"/>
          <w:color w:val="auto"/>
          <w:kern w:val="2"/>
          <w:sz w:val="36"/>
          <w:szCs w:val="24"/>
        </w:rPr>
      </w:pPr>
      <w:r>
        <w:rPr>
          <w:rFonts w:hint="eastAsia" w:ascii="方正小标宋简体" w:hAnsi="方正小标宋简体" w:eastAsia="方正小标宋简体"/>
          <w:color w:val="auto"/>
          <w:kern w:val="2"/>
          <w:sz w:val="36"/>
          <w:szCs w:val="24"/>
        </w:rPr>
        <w:t>第四部分 决算公开联系方式及信息反馈渠道</w:t>
      </w:r>
    </w:p>
    <w:p>
      <w:pPr>
        <w:spacing w:beforeLines="0" w:afterLines="0" w:line="600" w:lineRule="exact"/>
        <w:jc w:val="both"/>
        <w:rPr>
          <w:rFonts w:hint="default" w:ascii="Times New Roman" w:hAnsi="Times New Roman" w:eastAsia="Times New Roman"/>
          <w:color w:val="auto"/>
          <w:kern w:val="2"/>
          <w:sz w:val="36"/>
          <w:szCs w:val="24"/>
        </w:rPr>
      </w:pPr>
    </w:p>
    <w:p>
      <w:pPr>
        <w:spacing w:beforeLines="0" w:afterLines="0" w:line="60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本单位决算公开信息反馈和联系方式：</w:t>
      </w:r>
    </w:p>
    <w:p>
      <w:pPr>
        <w:spacing w:beforeLines="0" w:afterLines="0"/>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联系人：张本钰           联系电话：0470-4812020</w:t>
      </w:r>
    </w:p>
    <w:p>
      <w:pPr>
        <w:spacing w:beforeLines="0" w:afterLines="0"/>
        <w:rPr>
          <w:rFonts w:hint="eastAsia" w:ascii="仿宋_GB2312" w:hAnsi="仿宋_GB2312" w:eastAsia="仿宋_GB2312"/>
          <w:color w:val="auto"/>
          <w:kern w:val="2"/>
          <w:sz w:val="32"/>
          <w:szCs w:val="24"/>
        </w:rPr>
      </w:pPr>
    </w:p>
    <w:p>
      <w:pPr>
        <w:spacing w:beforeLines="0" w:afterLines="0"/>
        <w:jc w:val="center"/>
        <w:rPr>
          <w:rFonts w:hint="eastAsia" w:ascii="方正小标宋简体" w:hAnsi="方正小标宋简体" w:eastAsia="方正小标宋简体"/>
          <w:color w:val="auto"/>
          <w:kern w:val="2"/>
          <w:sz w:val="36"/>
          <w:szCs w:val="24"/>
        </w:rPr>
      </w:pPr>
    </w:p>
    <w:p>
      <w:pPr>
        <w:spacing w:beforeLines="0" w:afterLines="0"/>
        <w:jc w:val="center"/>
        <w:rPr>
          <w:rFonts w:hint="eastAsia" w:ascii="方正小标宋简体" w:hAnsi="方正小标宋简体" w:eastAsia="方正小标宋简体"/>
          <w:color w:val="auto"/>
          <w:kern w:val="2"/>
          <w:sz w:val="36"/>
          <w:szCs w:val="24"/>
        </w:rPr>
      </w:pPr>
      <w:r>
        <w:rPr>
          <w:rFonts w:hint="eastAsia" w:ascii="方正小标宋简体" w:hAnsi="方正小标宋简体" w:eastAsia="方正小标宋简体"/>
          <w:color w:val="auto"/>
          <w:kern w:val="2"/>
          <w:sz w:val="36"/>
          <w:szCs w:val="24"/>
        </w:rPr>
        <w:t>第五部分 2022年度决算表</w:t>
      </w:r>
    </w:p>
    <w:p>
      <w:pPr>
        <w:spacing w:beforeLines="0" w:afterLines="0"/>
        <w:rPr>
          <w:rFonts w:hint="eastAsia" w:ascii="方正小标宋简体" w:hAnsi="方正小标宋简体" w:eastAsia="方正小标宋简体"/>
          <w:color w:val="auto"/>
          <w:kern w:val="2"/>
          <w:sz w:val="36"/>
          <w:szCs w:val="24"/>
        </w:rPr>
      </w:pPr>
      <w:r>
        <w:rPr>
          <w:rFonts w:hint="eastAsia" w:ascii="仿宋_GB2312" w:hAnsi="仿宋_GB2312" w:eastAsia="仿宋_GB2312"/>
          <w:color w:val="auto"/>
          <w:kern w:val="2"/>
          <w:sz w:val="32"/>
          <w:szCs w:val="24"/>
        </w:rPr>
        <w:tab/>
      </w:r>
      <w:r>
        <w:rPr>
          <w:rFonts w:hint="eastAsia" w:ascii="仿宋_GB2312" w:hAnsi="仿宋_GB2312" w:eastAsia="仿宋_GB2312"/>
          <w:color w:val="auto"/>
          <w:kern w:val="2"/>
          <w:sz w:val="32"/>
          <w:szCs w:val="24"/>
        </w:rPr>
        <w:t>见附件。</w:t>
      </w:r>
    </w:p>
    <w:p>
      <w:pPr>
        <w:spacing w:beforeLines="0" w:afterLines="0"/>
        <w:jc w:val="center"/>
        <w:rPr>
          <w:rFonts w:hint="eastAsia" w:ascii="仿宋_GB2312" w:hAnsi="仿宋_GB2312" w:eastAsia="仿宋_GB2312"/>
          <w:color w:val="auto"/>
          <w:kern w:val="2"/>
          <w:sz w:val="32"/>
          <w:szCs w:val="24"/>
        </w:rPr>
      </w:pPr>
    </w:p>
    <w:p>
      <w:pPr>
        <w:spacing w:beforeLines="0" w:afterLines="0"/>
        <w:rPr>
          <w:rFonts w:hint="default" w:ascii="宋体" w:hAnsi="宋体" w:eastAsia="宋体"/>
          <w:color w:val="auto"/>
          <w:sz w:val="18"/>
          <w:szCs w:val="24"/>
          <w:lang w:val="zh-CN"/>
        </w:rPr>
      </w:pPr>
    </w:p>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7D846B"/>
    <w:multiLevelType w:val="multilevel"/>
    <w:tmpl w:val="757D846B"/>
    <w:lvl w:ilvl="0" w:tentative="0">
      <w:start w:val="1"/>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yZjI3YzRhMGU2NmMzNTg3Nzk3NDUzNWI5YzhlOWEifQ=="/>
  </w:docVars>
  <w:rsids>
    <w:rsidRoot w:val="07852BAC"/>
    <w:rsid w:val="07852BAC"/>
    <w:rsid w:val="1CBD5EC9"/>
    <w:rsid w:val="6CA77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99"/>
    <w:pPr>
      <w:widowControl w:val="0"/>
      <w:autoSpaceDE w:val="0"/>
      <w:autoSpaceDN w:val="0"/>
      <w:adjustRightInd w:val="0"/>
      <w:spacing w:beforeLines="0" w:afterLines="0"/>
    </w:pPr>
    <w:rPr>
      <w:rFonts w:hint="default" w:ascii="Times New Roman" w:hAnsi="Times New Roman" w:eastAsia="宋体" w:cs="Times New Roman"/>
      <w:sz w:val="24"/>
      <w:szCs w:val="24"/>
    </w:rPr>
  </w:style>
  <w:style w:type="paragraph" w:styleId="2">
    <w:name w:val="heading 1"/>
    <w:unhideWhenUsed/>
    <w:uiPriority w:val="99"/>
    <w:pPr>
      <w:widowControl w:val="0"/>
      <w:autoSpaceDE w:val="0"/>
      <w:autoSpaceDN w:val="0"/>
      <w:adjustRightInd w:val="0"/>
      <w:spacing w:beforeLines="0" w:afterLines="0"/>
    </w:pPr>
    <w:rPr>
      <w:rFonts w:hint="default" w:ascii="Times New Roman" w:hAnsi="Times New Roman" w:eastAsia="宋体" w:cs="Times New Roman"/>
      <w:sz w:val="24"/>
      <w:szCs w:val="24"/>
    </w:rPr>
  </w:style>
  <w:style w:type="paragraph" w:styleId="3">
    <w:name w:val="heading 2"/>
    <w:unhideWhenUsed/>
    <w:uiPriority w:val="99"/>
    <w:pPr>
      <w:widowControl w:val="0"/>
      <w:autoSpaceDE w:val="0"/>
      <w:autoSpaceDN w:val="0"/>
      <w:adjustRightInd w:val="0"/>
      <w:spacing w:beforeLines="0" w:afterLines="0"/>
    </w:pPr>
    <w:rPr>
      <w:rFonts w:hint="default" w:ascii="Times New Roman" w:hAnsi="Times New Roman" w:eastAsia="宋体" w:cs="Times New Roman"/>
      <w:sz w:val="24"/>
      <w:szCs w:val="2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6">
    <w:name w:val="western"/>
    <w:basedOn w:val="1"/>
    <w:unhideWhenUsed/>
    <w:qFormat/>
    <w:uiPriority w:val="0"/>
    <w:pPr>
      <w:widowControl/>
      <w:spacing w:before="100" w:beforeLines="0" w:beforeAutospacing="1" w:after="100" w:afterLines="0" w:afterAutospacing="1"/>
    </w:pPr>
    <w:rPr>
      <w:rFonts w:hint="default" w:ascii="宋体" w:hAnsi="宋体" w:eastAsia="宋体" w:cs="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2023-10-18T10:59:00Z</dcterms:created>
  <dc:creator>admin</dc:creator>
  <cp:lastModifiedBy>admin</cp:lastModifiedBy>
  <dcterms:modified xsi:type="dcterms:W3CDTF">2023-10-18T11:19:51Z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31A2A4642AFF4755AD77531CA236FD4F_11</vt:lpwstr>
  </property>
</Properties>
</file>