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00" w:after="100" w:line="580" w:lineRule="atLeast"/>
        <w:ind w:firstLine="600"/>
        <w:jc w:val="center"/>
        <w:rPr>
          <w:rFonts w:hint="default" w:eastAsia="Times New Roman"/>
          <w:sz w:val="24"/>
          <w:szCs w:val="24"/>
        </w:rPr>
      </w:pPr>
      <w:r>
        <w:rPr>
          <w:rFonts w:hint="default" w:eastAsia="Times New Roman"/>
          <w:b/>
          <w:sz w:val="36"/>
          <w:szCs w:val="24"/>
        </w:rPr>
        <w:t xml:space="preserve"> </w:t>
      </w:r>
    </w:p>
    <w:p>
      <w:pPr>
        <w:spacing w:before="100" w:after="100" w:line="580" w:lineRule="atLeast"/>
        <w:ind w:firstLine="600"/>
        <w:jc w:val="center"/>
        <w:rPr>
          <w:rFonts w:hint="default" w:eastAsia="Times New Roman"/>
          <w:b/>
          <w:sz w:val="36"/>
          <w:szCs w:val="24"/>
        </w:rPr>
      </w:pPr>
      <w:r>
        <w:rPr>
          <w:rFonts w:hint="default" w:eastAsia="Times New Roman"/>
          <w:b/>
          <w:sz w:val="36"/>
          <w:szCs w:val="24"/>
        </w:rPr>
        <w:t xml:space="preserve"> </w:t>
      </w:r>
    </w:p>
    <w:p>
      <w:pPr>
        <w:spacing w:before="100" w:after="100" w:line="580" w:lineRule="atLeast"/>
        <w:ind w:firstLine="600"/>
        <w:jc w:val="center"/>
        <w:rPr>
          <w:rFonts w:hint="default" w:eastAsia="Times New Roman"/>
          <w:b/>
          <w:sz w:val="36"/>
          <w:szCs w:val="24"/>
        </w:rPr>
      </w:pPr>
    </w:p>
    <w:p>
      <w:pPr>
        <w:spacing w:before="100" w:after="100" w:line="580" w:lineRule="atLeast"/>
        <w:ind w:firstLine="600"/>
        <w:jc w:val="center"/>
        <w:rPr>
          <w:rFonts w:hint="default" w:eastAsia="Times New Roman"/>
          <w:b/>
          <w:sz w:val="36"/>
          <w:szCs w:val="24"/>
        </w:rPr>
      </w:pPr>
    </w:p>
    <w:p>
      <w:pPr>
        <w:spacing w:before="100" w:after="100" w:line="580" w:lineRule="atLeast"/>
        <w:ind w:firstLine="600"/>
        <w:jc w:val="center"/>
        <w:rPr>
          <w:rFonts w:hint="default" w:eastAsia="Times New Roman"/>
          <w:sz w:val="24"/>
          <w:szCs w:val="24"/>
        </w:rPr>
      </w:pPr>
    </w:p>
    <w:p>
      <w:pPr>
        <w:spacing w:before="100" w:after="100" w:line="580" w:lineRule="atLeast"/>
        <w:ind w:firstLine="600"/>
        <w:jc w:val="center"/>
        <w:rPr>
          <w:rFonts w:hint="default" w:eastAsia="Times New Roman"/>
          <w:sz w:val="24"/>
          <w:szCs w:val="24"/>
        </w:rPr>
      </w:pPr>
      <w:r>
        <w:rPr>
          <w:rFonts w:hint="default" w:eastAsia="Times New Roman"/>
          <w:b/>
          <w:sz w:val="36"/>
          <w:szCs w:val="24"/>
        </w:rPr>
        <w:t xml:space="preserve"> </w:t>
      </w:r>
    </w:p>
    <w:p>
      <w:pPr>
        <w:spacing w:before="100" w:after="100"/>
        <w:ind w:firstLine="601"/>
        <w:jc w:val="center"/>
        <w:rPr>
          <w:rFonts w:hint="default" w:eastAsia="Times New Roman"/>
          <w:color w:val="auto"/>
          <w:sz w:val="24"/>
          <w:szCs w:val="24"/>
        </w:rPr>
      </w:pPr>
      <w:r>
        <w:rPr>
          <w:rFonts w:hint="eastAsia" w:ascii="仿宋_GB2312" w:hAnsi="仿宋_GB2312" w:eastAsia="仿宋_GB2312"/>
          <w:b/>
          <w:color w:val="auto"/>
          <w:sz w:val="44"/>
          <w:szCs w:val="24"/>
        </w:rPr>
        <w:t>莫力达瓦达斡尔族自治旗红彦镇人民政府</w:t>
      </w:r>
    </w:p>
    <w:p>
      <w:pPr>
        <w:spacing w:before="100" w:after="100"/>
        <w:ind w:firstLine="601"/>
        <w:jc w:val="center"/>
        <w:rPr>
          <w:rFonts w:hint="default" w:eastAsia="Times New Roman"/>
          <w:color w:val="auto"/>
          <w:sz w:val="24"/>
          <w:szCs w:val="24"/>
        </w:rPr>
      </w:pPr>
      <w:r>
        <w:rPr>
          <w:rFonts w:hint="eastAsia" w:ascii="仿宋_GB2312" w:hAnsi="仿宋_GB2312" w:eastAsia="仿宋_GB2312"/>
          <w:b/>
          <w:color w:val="auto"/>
          <w:sz w:val="44"/>
          <w:szCs w:val="24"/>
        </w:rPr>
        <w:t>2021年度决算公开报告</w:t>
      </w:r>
    </w:p>
    <w:p>
      <w:pPr>
        <w:spacing w:before="100" w:after="100" w:line="580" w:lineRule="atLeast"/>
        <w:ind w:firstLine="600"/>
        <w:jc w:val="center"/>
        <w:rPr>
          <w:rFonts w:hint="default" w:eastAsia="Times New Roman"/>
          <w:color w:val="auto"/>
          <w:sz w:val="24"/>
          <w:szCs w:val="24"/>
        </w:rPr>
      </w:pPr>
      <w:r>
        <w:rPr>
          <w:rFonts w:hint="default" w:eastAsia="Times New Roman"/>
          <w:b/>
          <w:color w:val="auto"/>
          <w:sz w:val="36"/>
          <w:szCs w:val="24"/>
        </w:rPr>
        <w:t xml:space="preserve"> </w:t>
      </w:r>
    </w:p>
    <w:p>
      <w:pPr>
        <w:spacing w:before="100" w:after="100" w:line="580" w:lineRule="atLeast"/>
        <w:ind w:firstLine="600"/>
        <w:jc w:val="center"/>
        <w:rPr>
          <w:rFonts w:hint="default" w:eastAsia="Times New Roman"/>
          <w:color w:val="auto"/>
          <w:sz w:val="24"/>
          <w:szCs w:val="24"/>
        </w:rPr>
      </w:pPr>
      <w:r>
        <w:rPr>
          <w:rFonts w:hint="default" w:eastAsia="Times New Roman"/>
          <w:b/>
          <w:color w:val="auto"/>
          <w:sz w:val="36"/>
          <w:szCs w:val="24"/>
        </w:rPr>
        <w:t xml:space="preserve"> </w:t>
      </w:r>
    </w:p>
    <w:p>
      <w:pPr>
        <w:spacing w:before="100" w:after="100" w:line="580" w:lineRule="atLeast"/>
        <w:ind w:firstLine="600"/>
        <w:jc w:val="center"/>
        <w:rPr>
          <w:rFonts w:hint="default" w:eastAsia="Times New Roman"/>
          <w:color w:val="auto"/>
          <w:sz w:val="24"/>
          <w:szCs w:val="24"/>
        </w:rPr>
      </w:pPr>
      <w:r>
        <w:rPr>
          <w:rFonts w:hint="default" w:eastAsia="Times New Roman"/>
          <w:b/>
          <w:color w:val="auto"/>
          <w:sz w:val="36"/>
          <w:szCs w:val="24"/>
        </w:rPr>
        <w:t xml:space="preserve"> </w:t>
      </w:r>
    </w:p>
    <w:p>
      <w:pPr>
        <w:spacing w:before="100" w:after="100" w:line="580" w:lineRule="atLeast"/>
        <w:ind w:firstLine="600"/>
        <w:jc w:val="center"/>
        <w:rPr>
          <w:rFonts w:hint="default" w:eastAsia="Times New Roman"/>
          <w:color w:val="auto"/>
          <w:sz w:val="24"/>
          <w:szCs w:val="24"/>
        </w:rPr>
      </w:pPr>
      <w:r>
        <w:rPr>
          <w:rFonts w:hint="default" w:eastAsia="Times New Roman"/>
          <w:b/>
          <w:color w:val="auto"/>
          <w:sz w:val="36"/>
          <w:szCs w:val="24"/>
        </w:rPr>
        <w:t xml:space="preserve"> </w:t>
      </w:r>
    </w:p>
    <w:p>
      <w:pPr>
        <w:spacing w:before="100" w:after="100" w:line="580" w:lineRule="atLeast"/>
        <w:ind w:firstLine="600"/>
        <w:jc w:val="center"/>
        <w:rPr>
          <w:rFonts w:hint="default" w:eastAsia="Times New Roman"/>
          <w:color w:val="auto"/>
          <w:sz w:val="24"/>
          <w:szCs w:val="24"/>
        </w:rPr>
      </w:pPr>
      <w:r>
        <w:rPr>
          <w:rFonts w:hint="default" w:eastAsia="Times New Roman"/>
          <w:b/>
          <w:color w:val="auto"/>
          <w:sz w:val="36"/>
          <w:szCs w:val="24"/>
        </w:rPr>
        <w:t xml:space="preserve"> </w:t>
      </w:r>
    </w:p>
    <w:p>
      <w:pPr>
        <w:spacing w:before="100" w:after="100" w:line="580" w:lineRule="atLeast"/>
        <w:ind w:firstLine="600"/>
        <w:jc w:val="center"/>
        <w:rPr>
          <w:rFonts w:hint="default" w:eastAsia="Times New Roman"/>
          <w:color w:val="auto"/>
          <w:sz w:val="24"/>
          <w:szCs w:val="24"/>
        </w:rPr>
      </w:pPr>
      <w:r>
        <w:rPr>
          <w:rFonts w:hint="default" w:eastAsia="Times New Roman"/>
          <w:b/>
          <w:color w:val="auto"/>
          <w:sz w:val="36"/>
          <w:szCs w:val="24"/>
        </w:rPr>
        <w:t xml:space="preserve"> </w:t>
      </w:r>
    </w:p>
    <w:p>
      <w:pPr>
        <w:spacing w:before="100" w:after="100" w:line="580" w:lineRule="atLeast"/>
        <w:ind w:firstLine="600"/>
        <w:jc w:val="center"/>
        <w:rPr>
          <w:rFonts w:hint="default" w:eastAsia="Times New Roman"/>
          <w:color w:val="auto"/>
          <w:sz w:val="24"/>
          <w:szCs w:val="24"/>
        </w:rPr>
      </w:pPr>
      <w:r>
        <w:rPr>
          <w:rFonts w:hint="default" w:eastAsia="Times New Roman"/>
          <w:b/>
          <w:color w:val="auto"/>
          <w:sz w:val="36"/>
          <w:szCs w:val="24"/>
        </w:rPr>
        <w:t xml:space="preserve"> </w:t>
      </w:r>
    </w:p>
    <w:p>
      <w:pPr>
        <w:spacing w:before="100" w:after="100" w:line="580" w:lineRule="atLeast"/>
        <w:ind w:firstLine="600"/>
        <w:jc w:val="center"/>
        <w:rPr>
          <w:rFonts w:hint="default" w:eastAsia="Times New Roman"/>
          <w:color w:val="auto"/>
          <w:sz w:val="24"/>
          <w:szCs w:val="24"/>
        </w:rPr>
      </w:pPr>
      <w:r>
        <w:rPr>
          <w:rFonts w:hint="default" w:eastAsia="Times New Roman"/>
          <w:b/>
          <w:color w:val="auto"/>
          <w:sz w:val="36"/>
          <w:szCs w:val="24"/>
        </w:rPr>
        <w:t xml:space="preserve"> </w:t>
      </w:r>
    </w:p>
    <w:p>
      <w:pPr>
        <w:spacing w:before="100" w:after="100" w:line="580" w:lineRule="atLeast"/>
        <w:ind w:firstLine="600"/>
        <w:jc w:val="center"/>
        <w:rPr>
          <w:rFonts w:hint="default" w:eastAsia="Times New Roman"/>
          <w:color w:val="auto"/>
          <w:sz w:val="24"/>
          <w:szCs w:val="24"/>
        </w:rPr>
      </w:pPr>
      <w:r>
        <w:rPr>
          <w:rFonts w:hint="default" w:eastAsia="Times New Roman"/>
          <w:b/>
          <w:color w:val="auto"/>
          <w:sz w:val="36"/>
          <w:szCs w:val="24"/>
        </w:rPr>
        <w:t xml:space="preserve"> </w:t>
      </w:r>
    </w:p>
    <w:p>
      <w:pPr>
        <w:spacing w:before="100" w:after="100"/>
        <w:ind w:firstLine="601"/>
        <w:jc w:val="left"/>
        <w:rPr>
          <w:rFonts w:hint="default" w:eastAsia="Times New Roman"/>
          <w:color w:val="auto"/>
          <w:sz w:val="24"/>
          <w:szCs w:val="24"/>
        </w:rPr>
      </w:pPr>
      <w:r>
        <w:rPr>
          <w:rFonts w:hint="default" w:eastAsia="Times New Roman"/>
          <w:b/>
          <w:color w:val="auto"/>
          <w:sz w:val="44"/>
          <w:szCs w:val="24"/>
        </w:rPr>
        <w:t xml:space="preserve"> </w:t>
      </w:r>
    </w:p>
    <w:p>
      <w:pPr>
        <w:spacing w:before="100" w:after="100"/>
        <w:ind w:firstLine="601"/>
        <w:jc w:val="center"/>
        <w:rPr>
          <w:rFonts w:hint="default" w:eastAsia="Times New Roman"/>
          <w:color w:val="auto"/>
          <w:sz w:val="24"/>
          <w:szCs w:val="24"/>
        </w:rPr>
      </w:pPr>
      <w:r>
        <w:rPr>
          <w:rFonts w:hint="eastAsia" w:ascii="仿宋_GB2312" w:hAnsi="仿宋_GB2312" w:eastAsia="仿宋_GB2312"/>
          <w:b/>
          <w:color w:val="auto"/>
          <w:sz w:val="44"/>
          <w:szCs w:val="24"/>
        </w:rPr>
        <w:t>目录</w:t>
      </w:r>
    </w:p>
    <w:p>
      <w:pPr>
        <w:spacing w:before="100" w:after="100"/>
        <w:ind w:firstLine="601"/>
        <w:jc w:val="left"/>
        <w:rPr>
          <w:rFonts w:hint="default" w:eastAsia="Times New Roman"/>
          <w:color w:val="auto"/>
          <w:sz w:val="24"/>
          <w:szCs w:val="24"/>
        </w:rPr>
      </w:pPr>
      <w:r>
        <w:rPr>
          <w:rFonts w:hint="default" w:eastAsia="Times New Roman"/>
          <w:b/>
          <w:color w:val="auto"/>
          <w:sz w:val="44"/>
          <w:szCs w:val="24"/>
        </w:rPr>
        <w:t xml:space="preserve"> </w:t>
      </w:r>
    </w:p>
    <w:p>
      <w:pPr>
        <w:spacing w:before="100" w:after="100" w:line="580" w:lineRule="atLeast"/>
        <w:ind w:firstLine="601"/>
        <w:jc w:val="left"/>
        <w:rPr>
          <w:rFonts w:hint="default" w:eastAsia="Times New Roman"/>
          <w:color w:val="auto"/>
          <w:sz w:val="24"/>
          <w:szCs w:val="24"/>
        </w:rPr>
      </w:pPr>
      <w:r>
        <w:rPr>
          <w:rFonts w:hint="eastAsia" w:ascii="黑体" w:hAnsi="黑体" w:eastAsia="黑体"/>
          <w:b/>
          <w:color w:val="auto"/>
          <w:sz w:val="32"/>
          <w:szCs w:val="24"/>
        </w:rPr>
        <w:t>第一部分 部门基本情况</w:t>
      </w:r>
    </w:p>
    <w:p>
      <w:pPr>
        <w:spacing w:before="100" w:after="100" w:line="580" w:lineRule="atLeast"/>
        <w:ind w:firstLine="600"/>
        <w:jc w:val="left"/>
        <w:rPr>
          <w:rFonts w:hint="default" w:eastAsia="Times New Roman"/>
          <w:color w:val="auto"/>
          <w:sz w:val="24"/>
          <w:szCs w:val="24"/>
        </w:rPr>
      </w:pPr>
      <w:r>
        <w:rPr>
          <w:rFonts w:hint="eastAsia" w:ascii="仿宋_GB2312" w:hAnsi="仿宋_GB2312" w:eastAsia="仿宋_GB2312"/>
          <w:color w:val="auto"/>
          <w:sz w:val="32"/>
          <w:szCs w:val="24"/>
        </w:rPr>
        <w:t>一、主要职能职责</w:t>
      </w:r>
    </w:p>
    <w:p>
      <w:pPr>
        <w:spacing w:before="100" w:after="100" w:line="580" w:lineRule="atLeast"/>
        <w:ind w:firstLine="600"/>
        <w:jc w:val="left"/>
        <w:rPr>
          <w:rFonts w:hint="default" w:eastAsia="Times New Roman"/>
          <w:color w:val="auto"/>
          <w:sz w:val="24"/>
          <w:szCs w:val="24"/>
        </w:rPr>
      </w:pPr>
      <w:r>
        <w:rPr>
          <w:rFonts w:hint="eastAsia" w:ascii="仿宋_GB2312" w:hAnsi="仿宋_GB2312" w:eastAsia="仿宋_GB2312"/>
          <w:color w:val="auto"/>
          <w:sz w:val="32"/>
          <w:szCs w:val="24"/>
        </w:rPr>
        <w:t>二、部门（单位）机构设置及决算单位构成情况</w:t>
      </w:r>
    </w:p>
    <w:p>
      <w:pPr>
        <w:spacing w:before="100" w:after="100" w:line="580" w:lineRule="atLeast"/>
        <w:ind w:firstLine="601"/>
        <w:jc w:val="left"/>
        <w:rPr>
          <w:rFonts w:hint="default" w:eastAsia="Times New Roman"/>
          <w:color w:val="auto"/>
          <w:sz w:val="24"/>
          <w:szCs w:val="24"/>
        </w:rPr>
      </w:pPr>
      <w:r>
        <w:rPr>
          <w:rFonts w:hint="eastAsia" w:ascii="黑体" w:hAnsi="黑体" w:eastAsia="黑体"/>
          <w:b/>
          <w:color w:val="auto"/>
          <w:sz w:val="32"/>
          <w:szCs w:val="24"/>
        </w:rPr>
        <w:t>第二部分 2021年度部门决算情况说明</w:t>
      </w:r>
    </w:p>
    <w:p>
      <w:pPr>
        <w:spacing w:before="100" w:after="100" w:line="580" w:lineRule="atLeast"/>
        <w:ind w:firstLine="601"/>
        <w:jc w:val="left"/>
        <w:rPr>
          <w:rFonts w:hint="default" w:eastAsia="Times New Roman"/>
          <w:color w:val="auto"/>
          <w:sz w:val="24"/>
          <w:szCs w:val="24"/>
        </w:rPr>
      </w:pPr>
      <w:r>
        <w:rPr>
          <w:rFonts w:hint="eastAsia" w:ascii="仿宋_GB2312" w:hAnsi="仿宋_GB2312" w:eastAsia="仿宋_GB2312"/>
          <w:color w:val="auto"/>
          <w:sz w:val="32"/>
          <w:szCs w:val="24"/>
        </w:rPr>
        <w:t>一、关于2021年度预算执行情况分析</w:t>
      </w:r>
    </w:p>
    <w:p>
      <w:pPr>
        <w:spacing w:before="100" w:after="100" w:line="580" w:lineRule="atLeast"/>
        <w:ind w:firstLine="601"/>
        <w:jc w:val="left"/>
        <w:rPr>
          <w:rFonts w:hint="default" w:eastAsia="Times New Roman"/>
          <w:color w:val="auto"/>
          <w:sz w:val="24"/>
          <w:szCs w:val="24"/>
        </w:rPr>
      </w:pPr>
      <w:r>
        <w:rPr>
          <w:rFonts w:hint="eastAsia" w:ascii="仿宋_GB2312" w:hAnsi="仿宋_GB2312" w:eastAsia="仿宋_GB2312"/>
          <w:color w:val="auto"/>
          <w:sz w:val="32"/>
          <w:szCs w:val="24"/>
        </w:rPr>
        <w:t>二、关于2021年度决算情况说明</w:t>
      </w:r>
    </w:p>
    <w:p>
      <w:pPr>
        <w:spacing w:before="100" w:after="100" w:line="580" w:lineRule="atLeast"/>
        <w:ind w:firstLine="601"/>
        <w:jc w:val="left"/>
        <w:rPr>
          <w:rFonts w:hint="default" w:eastAsia="Times New Roman"/>
          <w:color w:val="auto"/>
          <w:sz w:val="24"/>
          <w:szCs w:val="24"/>
        </w:rPr>
      </w:pPr>
      <w:r>
        <w:rPr>
          <w:rFonts w:hint="eastAsia" w:ascii="仿宋_GB2312" w:hAnsi="仿宋_GB2312" w:eastAsia="仿宋_GB2312"/>
          <w:color w:val="auto"/>
          <w:sz w:val="32"/>
          <w:szCs w:val="24"/>
        </w:rPr>
        <w:t>（一）关于收支情况总体说明</w:t>
      </w:r>
    </w:p>
    <w:p>
      <w:pPr>
        <w:spacing w:before="100" w:after="100" w:line="580" w:lineRule="atLeast"/>
        <w:ind w:firstLine="601"/>
        <w:jc w:val="left"/>
        <w:rPr>
          <w:rFonts w:hint="default" w:eastAsia="Times New Roman"/>
          <w:color w:val="auto"/>
          <w:sz w:val="24"/>
          <w:szCs w:val="24"/>
        </w:rPr>
      </w:pPr>
      <w:r>
        <w:rPr>
          <w:rFonts w:hint="eastAsia" w:ascii="仿宋_GB2312" w:hAnsi="仿宋_GB2312" w:eastAsia="仿宋_GB2312"/>
          <w:color w:val="auto"/>
          <w:sz w:val="32"/>
          <w:szCs w:val="24"/>
        </w:rPr>
        <w:t>（二）关于2021年度收入决算情况说明</w:t>
      </w:r>
    </w:p>
    <w:p>
      <w:pPr>
        <w:spacing w:before="100" w:after="100" w:line="580" w:lineRule="atLeast"/>
        <w:ind w:firstLine="601"/>
        <w:jc w:val="left"/>
        <w:rPr>
          <w:rFonts w:hint="default" w:eastAsia="Times New Roman"/>
          <w:color w:val="auto"/>
          <w:sz w:val="24"/>
          <w:szCs w:val="24"/>
        </w:rPr>
      </w:pPr>
      <w:r>
        <w:rPr>
          <w:rFonts w:hint="eastAsia" w:ascii="仿宋_GB2312" w:hAnsi="仿宋_GB2312" w:eastAsia="仿宋_GB2312"/>
          <w:color w:val="auto"/>
          <w:sz w:val="32"/>
          <w:szCs w:val="24"/>
        </w:rPr>
        <w:t>（三）关于2021年度支出决算情况说明</w:t>
      </w:r>
    </w:p>
    <w:p>
      <w:pPr>
        <w:spacing w:before="100" w:after="100" w:line="580" w:lineRule="atLeast"/>
        <w:ind w:firstLine="601"/>
        <w:jc w:val="left"/>
        <w:rPr>
          <w:rFonts w:hint="default" w:eastAsia="Times New Roman"/>
          <w:color w:val="auto"/>
          <w:sz w:val="24"/>
          <w:szCs w:val="24"/>
        </w:rPr>
      </w:pPr>
      <w:r>
        <w:rPr>
          <w:rFonts w:hint="eastAsia" w:ascii="仿宋_GB2312" w:hAnsi="仿宋_GB2312" w:eastAsia="仿宋_GB2312"/>
          <w:color w:val="auto"/>
          <w:sz w:val="32"/>
          <w:szCs w:val="24"/>
        </w:rPr>
        <w:t>（四）关于2021年度财政拨款收入支出决算总体情况说明</w:t>
      </w:r>
    </w:p>
    <w:p>
      <w:pPr>
        <w:spacing w:before="100" w:after="100" w:line="580" w:lineRule="atLeast"/>
        <w:ind w:firstLine="601"/>
        <w:jc w:val="left"/>
        <w:rPr>
          <w:rFonts w:hint="default" w:eastAsia="Times New Roman"/>
          <w:color w:val="auto"/>
          <w:sz w:val="24"/>
          <w:szCs w:val="24"/>
        </w:rPr>
      </w:pPr>
      <w:r>
        <w:rPr>
          <w:rFonts w:hint="eastAsia" w:ascii="仿宋_GB2312" w:hAnsi="仿宋_GB2312" w:eastAsia="仿宋_GB2312"/>
          <w:color w:val="auto"/>
          <w:sz w:val="32"/>
          <w:szCs w:val="24"/>
        </w:rPr>
        <w:t>（五）关于2021年度一般公共预算财政拨款支出决算情况说明</w:t>
      </w:r>
    </w:p>
    <w:p>
      <w:pPr>
        <w:spacing w:before="100" w:after="100" w:line="580" w:lineRule="atLeast"/>
        <w:ind w:firstLine="601"/>
        <w:jc w:val="left"/>
        <w:rPr>
          <w:rFonts w:hint="default" w:eastAsia="Times New Roman"/>
          <w:color w:val="auto"/>
          <w:sz w:val="24"/>
          <w:szCs w:val="24"/>
        </w:rPr>
      </w:pPr>
      <w:r>
        <w:rPr>
          <w:rFonts w:hint="eastAsia" w:ascii="仿宋_GB2312" w:hAnsi="仿宋_GB2312" w:eastAsia="仿宋_GB2312"/>
          <w:color w:val="auto"/>
          <w:sz w:val="32"/>
          <w:szCs w:val="24"/>
        </w:rPr>
        <w:t>（六）关于2021年度一般公共预算财政拨款基本支出决算情况说明</w:t>
      </w:r>
    </w:p>
    <w:p>
      <w:pPr>
        <w:spacing w:before="100" w:after="100" w:line="580" w:lineRule="atLeast"/>
        <w:ind w:firstLine="601"/>
        <w:jc w:val="left"/>
        <w:rPr>
          <w:rFonts w:hint="default" w:eastAsia="Times New Roman"/>
          <w:color w:val="auto"/>
          <w:sz w:val="24"/>
          <w:szCs w:val="24"/>
        </w:rPr>
      </w:pPr>
      <w:r>
        <w:rPr>
          <w:rFonts w:hint="eastAsia" w:ascii="仿宋_GB2312" w:hAnsi="仿宋_GB2312" w:eastAsia="仿宋_GB2312"/>
          <w:color w:val="auto"/>
          <w:sz w:val="32"/>
          <w:szCs w:val="24"/>
        </w:rPr>
        <w:t>（七）关于2021年度财政拨款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经费支出决算情况说明</w:t>
      </w:r>
    </w:p>
    <w:p>
      <w:pPr>
        <w:spacing w:before="100" w:after="100" w:line="580" w:lineRule="atLeast"/>
        <w:ind w:firstLine="601"/>
        <w:jc w:val="left"/>
        <w:rPr>
          <w:rFonts w:hint="default" w:eastAsia="Times New Roman"/>
          <w:color w:val="auto"/>
          <w:sz w:val="24"/>
          <w:szCs w:val="24"/>
        </w:rPr>
      </w:pPr>
      <w:r>
        <w:rPr>
          <w:rFonts w:hint="default" w:eastAsia="Times New Roman"/>
          <w:color w:val="auto"/>
          <w:sz w:val="32"/>
          <w:szCs w:val="24"/>
        </w:rPr>
        <w:t xml:space="preserve"> </w:t>
      </w:r>
      <w:r>
        <w:rPr>
          <w:rFonts w:hint="eastAsia" w:ascii="宋体" w:hAnsi="宋体"/>
          <w:color w:val="auto"/>
          <w:sz w:val="32"/>
          <w:szCs w:val="24"/>
        </w:rPr>
        <w:t xml:space="preserve"> </w:t>
      </w:r>
      <w:r>
        <w:rPr>
          <w:rFonts w:hint="eastAsia" w:ascii="仿宋_GB2312" w:hAnsi="仿宋_GB2312" w:eastAsia="仿宋_GB2312"/>
          <w:color w:val="auto"/>
          <w:sz w:val="32"/>
          <w:szCs w:val="24"/>
        </w:rPr>
        <w:t>1、财政拨款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经费支出决算总体情况说明</w:t>
      </w:r>
    </w:p>
    <w:p>
      <w:pPr>
        <w:spacing w:before="100" w:after="100" w:line="580" w:lineRule="atLeast"/>
        <w:ind w:firstLine="601"/>
        <w:jc w:val="left"/>
        <w:rPr>
          <w:rFonts w:hint="default" w:eastAsia="Times New Roman"/>
          <w:color w:val="auto"/>
          <w:sz w:val="32"/>
          <w:szCs w:val="24"/>
        </w:rPr>
      </w:pPr>
      <w:r>
        <w:rPr>
          <w:rFonts w:hint="default" w:eastAsia="Times New Roman"/>
          <w:color w:val="auto"/>
          <w:sz w:val="32"/>
          <w:szCs w:val="24"/>
        </w:rPr>
        <w:t xml:space="preserve"> </w:t>
      </w:r>
      <w:r>
        <w:rPr>
          <w:rFonts w:hint="eastAsia" w:ascii="宋体" w:hAnsi="宋体"/>
          <w:color w:val="auto"/>
          <w:sz w:val="32"/>
          <w:szCs w:val="24"/>
        </w:rPr>
        <w:t xml:space="preserve"> </w:t>
      </w:r>
      <w:r>
        <w:rPr>
          <w:rFonts w:hint="eastAsia" w:ascii="仿宋_GB2312" w:hAnsi="仿宋_GB2312" w:eastAsia="仿宋_GB2312"/>
          <w:color w:val="auto"/>
          <w:sz w:val="32"/>
          <w:szCs w:val="24"/>
        </w:rPr>
        <w:t>2、财政拨款</w:t>
      </w:r>
      <w:r>
        <w:rPr>
          <w:rFonts w:hint="default" w:eastAsia="Times New Roman"/>
          <w:color w:val="auto"/>
          <w:sz w:val="32"/>
          <w:szCs w:val="24"/>
        </w:rPr>
        <w:t>“</w:t>
      </w:r>
      <w:r>
        <w:rPr>
          <w:rFonts w:hint="eastAsia" w:ascii="仿宋_GB2312" w:hAnsi="仿宋_GB2312" w:eastAsia="仿宋_GB2312"/>
          <w:color w:val="auto"/>
          <w:sz w:val="32"/>
          <w:szCs w:val="24"/>
        </w:rPr>
        <w:t>三公</w:t>
      </w:r>
      <w:r>
        <w:rPr>
          <w:rFonts w:hint="default" w:eastAsia="Times New Roman"/>
          <w:color w:val="auto"/>
          <w:sz w:val="32"/>
          <w:szCs w:val="24"/>
        </w:rPr>
        <w:t>”</w:t>
      </w:r>
      <w:r>
        <w:rPr>
          <w:rFonts w:hint="eastAsia" w:ascii="仿宋_GB2312" w:hAnsi="仿宋_GB2312" w:eastAsia="仿宋_GB2312"/>
          <w:color w:val="auto"/>
          <w:sz w:val="32"/>
          <w:szCs w:val="24"/>
        </w:rPr>
        <w:t>经费支出决算具体情况说明</w:t>
      </w:r>
    </w:p>
    <w:p>
      <w:pPr>
        <w:spacing w:before="100" w:after="100" w:line="580" w:lineRule="atLeast"/>
        <w:ind w:firstLine="601"/>
        <w:jc w:val="left"/>
        <w:rPr>
          <w:rFonts w:hint="default" w:eastAsia="Times New Roman"/>
          <w:color w:val="auto"/>
          <w:sz w:val="32"/>
          <w:szCs w:val="24"/>
        </w:rPr>
      </w:pPr>
      <w:r>
        <w:rPr>
          <w:rFonts w:hint="eastAsia" w:ascii="仿宋_GB2312" w:hAnsi="仿宋_GB2312" w:eastAsia="仿宋_GB2312"/>
          <w:color w:val="auto"/>
          <w:sz w:val="32"/>
          <w:szCs w:val="24"/>
        </w:rPr>
        <w:t>（八）关于2021年度政府性基金预算财政拨款支出决算情况说明</w:t>
      </w:r>
    </w:p>
    <w:p>
      <w:pPr>
        <w:spacing w:before="100" w:after="100" w:line="580" w:lineRule="atLeast"/>
        <w:ind w:firstLine="601"/>
        <w:jc w:val="left"/>
        <w:rPr>
          <w:rFonts w:hint="default" w:eastAsia="Times New Roman"/>
          <w:color w:val="auto"/>
          <w:sz w:val="32"/>
          <w:szCs w:val="24"/>
        </w:rPr>
      </w:pPr>
      <w:r>
        <w:rPr>
          <w:rFonts w:hint="eastAsia" w:ascii="仿宋_GB2312" w:hAnsi="仿宋_GB2312" w:eastAsia="仿宋_GB2312"/>
          <w:color w:val="auto"/>
          <w:sz w:val="32"/>
          <w:szCs w:val="24"/>
        </w:rPr>
        <w:t>（九）关于2021年度国有资本经营预算支出决算情况说明</w:t>
      </w:r>
    </w:p>
    <w:p>
      <w:pPr>
        <w:spacing w:before="100" w:after="100" w:line="580" w:lineRule="atLeast"/>
        <w:ind w:firstLine="601"/>
        <w:jc w:val="left"/>
        <w:rPr>
          <w:rFonts w:hint="default" w:eastAsia="Times New Roman"/>
          <w:color w:val="auto"/>
          <w:sz w:val="32"/>
          <w:szCs w:val="24"/>
        </w:rPr>
      </w:pPr>
      <w:r>
        <w:rPr>
          <w:rFonts w:hint="eastAsia" w:ascii="仿宋_GB2312" w:hAnsi="仿宋_GB2312" w:eastAsia="仿宋_GB2312"/>
          <w:color w:val="auto"/>
          <w:sz w:val="32"/>
          <w:szCs w:val="24"/>
        </w:rPr>
        <w:t>（十）关于2021年度项目支出决算情况说明</w:t>
      </w:r>
    </w:p>
    <w:p>
      <w:pPr>
        <w:spacing w:before="100" w:after="100" w:line="580" w:lineRule="atLeast"/>
        <w:ind w:firstLine="601"/>
        <w:jc w:val="left"/>
        <w:rPr>
          <w:rFonts w:hint="default" w:eastAsia="Times New Roman"/>
          <w:color w:val="auto"/>
          <w:sz w:val="32"/>
          <w:szCs w:val="24"/>
        </w:rPr>
      </w:pPr>
      <w:r>
        <w:rPr>
          <w:rFonts w:hint="eastAsia" w:ascii="仿宋_GB2312" w:hAnsi="仿宋_GB2312" w:eastAsia="仿宋_GB2312"/>
          <w:color w:val="auto"/>
          <w:sz w:val="32"/>
          <w:szCs w:val="24"/>
        </w:rPr>
        <w:t>（十一）政府采购支出情况</w:t>
      </w:r>
    </w:p>
    <w:p>
      <w:pPr>
        <w:spacing w:before="100" w:after="100" w:line="580" w:lineRule="atLeast"/>
        <w:ind w:firstLine="601"/>
        <w:jc w:val="left"/>
        <w:rPr>
          <w:rFonts w:hint="default" w:eastAsia="Times New Roman"/>
          <w:color w:val="auto"/>
          <w:sz w:val="32"/>
          <w:szCs w:val="24"/>
        </w:rPr>
      </w:pPr>
      <w:r>
        <w:rPr>
          <w:rFonts w:hint="eastAsia" w:ascii="仿宋_GB2312" w:hAnsi="仿宋_GB2312" w:eastAsia="仿宋_GB2312"/>
          <w:color w:val="auto"/>
          <w:sz w:val="32"/>
          <w:szCs w:val="24"/>
        </w:rPr>
        <w:t>（十二）机关运行经费支出情况</w:t>
      </w:r>
    </w:p>
    <w:p>
      <w:pPr>
        <w:spacing w:before="100" w:after="100" w:line="580" w:lineRule="atLeast"/>
        <w:ind w:firstLine="601"/>
        <w:jc w:val="left"/>
        <w:rPr>
          <w:rFonts w:hint="default" w:eastAsia="Times New Roman"/>
          <w:color w:val="auto"/>
          <w:sz w:val="32"/>
          <w:szCs w:val="24"/>
        </w:rPr>
      </w:pPr>
      <w:r>
        <w:rPr>
          <w:rFonts w:hint="eastAsia" w:ascii="仿宋_GB2312" w:hAnsi="仿宋_GB2312" w:eastAsia="仿宋_GB2312"/>
          <w:color w:val="auto"/>
          <w:sz w:val="32"/>
          <w:szCs w:val="24"/>
        </w:rPr>
        <w:t>（十三）国有资产占用情况</w:t>
      </w:r>
    </w:p>
    <w:p>
      <w:pPr>
        <w:spacing w:before="100" w:after="100" w:line="580" w:lineRule="atLeast"/>
        <w:ind w:firstLine="601"/>
        <w:jc w:val="left"/>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三、预算绩效评价工作开展情况</w:t>
      </w:r>
    </w:p>
    <w:p>
      <w:pPr>
        <w:spacing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（一）预算绩效管理工作开展情况</w:t>
      </w:r>
    </w:p>
    <w:p>
      <w:pPr>
        <w:spacing w:before="100" w:after="100" w:line="580" w:lineRule="atLeast"/>
        <w:ind w:firstLine="601"/>
        <w:jc w:val="left"/>
        <w:rPr>
          <w:rFonts w:hint="default" w:eastAsia="Times New Roman"/>
          <w:color w:val="auto"/>
          <w:kern w:val="0"/>
          <w:sz w:val="24"/>
          <w:szCs w:val="24"/>
        </w:rPr>
      </w:pPr>
      <w:r>
        <w:rPr>
          <w:rFonts w:hint="default" w:eastAsia="Times New Roman"/>
          <w:color w:val="auto"/>
          <w:kern w:val="0"/>
          <w:sz w:val="32"/>
          <w:szCs w:val="24"/>
        </w:rPr>
        <w:t xml:space="preserve"> </w:t>
      </w:r>
    </w:p>
    <w:p>
      <w:pPr>
        <w:spacing w:before="100" w:after="100" w:line="580" w:lineRule="atLeast"/>
        <w:ind w:firstLine="601"/>
        <w:jc w:val="left"/>
        <w:rPr>
          <w:rFonts w:hint="default" w:eastAsia="Times New Roman"/>
          <w:color w:val="auto"/>
          <w:kern w:val="0"/>
          <w:sz w:val="24"/>
          <w:szCs w:val="24"/>
        </w:rPr>
      </w:pPr>
      <w:r>
        <w:rPr>
          <w:rFonts w:hint="eastAsia" w:ascii="黑体" w:hAnsi="黑体" w:eastAsia="黑体"/>
          <w:b/>
          <w:color w:val="auto"/>
          <w:kern w:val="0"/>
          <w:sz w:val="32"/>
          <w:szCs w:val="24"/>
        </w:rPr>
        <w:t>第三部分 名词解释</w:t>
      </w:r>
    </w:p>
    <w:p>
      <w:pPr>
        <w:spacing w:before="100" w:after="100" w:line="580" w:lineRule="atLeast"/>
        <w:ind w:firstLine="601"/>
        <w:jc w:val="left"/>
        <w:rPr>
          <w:rFonts w:hint="default" w:eastAsia="Times New Roman"/>
          <w:color w:val="auto"/>
          <w:kern w:val="0"/>
          <w:sz w:val="24"/>
          <w:szCs w:val="24"/>
        </w:rPr>
      </w:pPr>
      <w:r>
        <w:rPr>
          <w:rFonts w:hint="eastAsia" w:ascii="黑体" w:hAnsi="黑体" w:eastAsia="黑体"/>
          <w:b/>
          <w:color w:val="auto"/>
          <w:kern w:val="0"/>
          <w:sz w:val="32"/>
          <w:szCs w:val="24"/>
        </w:rPr>
        <w:t>第四部分 决算公开联系方式及信息反馈渠道</w:t>
      </w:r>
    </w:p>
    <w:p>
      <w:pPr>
        <w:spacing w:before="100" w:after="100" w:line="580" w:lineRule="atLeast"/>
        <w:ind w:firstLine="601"/>
        <w:jc w:val="left"/>
        <w:rPr>
          <w:rFonts w:hint="default" w:eastAsia="Times New Roman"/>
          <w:color w:val="auto"/>
          <w:kern w:val="0"/>
          <w:sz w:val="24"/>
          <w:szCs w:val="24"/>
        </w:rPr>
      </w:pPr>
      <w:r>
        <w:rPr>
          <w:rFonts w:hint="eastAsia" w:ascii="黑体" w:hAnsi="黑体" w:eastAsia="黑体"/>
          <w:b/>
          <w:color w:val="auto"/>
          <w:kern w:val="0"/>
          <w:sz w:val="32"/>
          <w:szCs w:val="24"/>
        </w:rPr>
        <w:t>第五部分 部门决算公开表</w:t>
      </w:r>
    </w:p>
    <w:p>
      <w:pPr>
        <w:spacing w:before="100" w:after="100" w:line="580" w:lineRule="atLeast"/>
        <w:ind w:firstLine="601"/>
        <w:jc w:val="left"/>
        <w:rPr>
          <w:rFonts w:hint="default" w:eastAsia="Times New Roman"/>
          <w:color w:val="auto"/>
          <w:kern w:val="0"/>
          <w:sz w:val="24"/>
          <w:szCs w:val="24"/>
        </w:rPr>
      </w:pPr>
      <w:r>
        <w:rPr>
          <w:rFonts w:hint="eastAsia" w:ascii="仿宋_GB2312" w:hAnsi="仿宋_GB2312" w:eastAsia="仿宋_GB2312"/>
          <w:color w:val="auto"/>
          <w:kern w:val="0"/>
          <w:sz w:val="32"/>
          <w:szCs w:val="24"/>
        </w:rPr>
        <w:t>一、收入支出决算总表</w:t>
      </w:r>
    </w:p>
    <w:p>
      <w:pPr>
        <w:spacing w:before="100" w:after="100" w:line="580" w:lineRule="atLeast"/>
        <w:ind w:firstLine="601"/>
        <w:jc w:val="left"/>
        <w:rPr>
          <w:rFonts w:hint="default" w:eastAsia="Times New Roman"/>
          <w:color w:val="auto"/>
          <w:kern w:val="0"/>
          <w:sz w:val="24"/>
          <w:szCs w:val="24"/>
        </w:rPr>
      </w:pPr>
      <w:r>
        <w:rPr>
          <w:rFonts w:hint="eastAsia" w:ascii="仿宋_GB2312" w:hAnsi="仿宋_GB2312" w:eastAsia="仿宋_GB2312"/>
          <w:color w:val="auto"/>
          <w:kern w:val="0"/>
          <w:sz w:val="32"/>
          <w:szCs w:val="24"/>
        </w:rPr>
        <w:t>二、收入决算表</w:t>
      </w:r>
    </w:p>
    <w:p>
      <w:pPr>
        <w:spacing w:before="100" w:after="100" w:line="580" w:lineRule="atLeast"/>
        <w:ind w:firstLine="601"/>
        <w:jc w:val="left"/>
        <w:rPr>
          <w:rFonts w:hint="default" w:eastAsia="Times New Roman"/>
          <w:color w:val="auto"/>
          <w:kern w:val="0"/>
          <w:sz w:val="24"/>
          <w:szCs w:val="24"/>
        </w:rPr>
      </w:pPr>
      <w:r>
        <w:rPr>
          <w:rFonts w:hint="eastAsia" w:ascii="仿宋_GB2312" w:hAnsi="仿宋_GB2312" w:eastAsia="仿宋_GB2312"/>
          <w:color w:val="auto"/>
          <w:kern w:val="0"/>
          <w:sz w:val="32"/>
          <w:szCs w:val="24"/>
        </w:rPr>
        <w:t>三、支出决算表</w:t>
      </w:r>
    </w:p>
    <w:p>
      <w:pPr>
        <w:spacing w:before="100" w:after="100" w:line="580" w:lineRule="atLeast"/>
        <w:ind w:firstLine="601"/>
        <w:jc w:val="left"/>
        <w:rPr>
          <w:rFonts w:hint="default" w:eastAsia="Times New Roman"/>
          <w:color w:val="auto"/>
          <w:kern w:val="0"/>
          <w:sz w:val="32"/>
          <w:szCs w:val="24"/>
        </w:rPr>
      </w:pPr>
      <w:r>
        <w:rPr>
          <w:rFonts w:hint="eastAsia" w:ascii="仿宋_GB2312" w:hAnsi="仿宋_GB2312" w:eastAsia="仿宋_GB2312"/>
          <w:color w:val="auto"/>
          <w:kern w:val="0"/>
          <w:sz w:val="32"/>
          <w:szCs w:val="24"/>
        </w:rPr>
        <w:t>四、财政拨款收入支出决算总表</w:t>
      </w:r>
    </w:p>
    <w:p>
      <w:pPr>
        <w:spacing w:before="100" w:after="100" w:line="580" w:lineRule="atLeast"/>
        <w:ind w:firstLine="601"/>
        <w:jc w:val="left"/>
        <w:rPr>
          <w:rFonts w:hint="default" w:eastAsia="Times New Roman"/>
          <w:color w:val="auto"/>
          <w:kern w:val="0"/>
          <w:sz w:val="32"/>
          <w:szCs w:val="24"/>
        </w:rPr>
      </w:pPr>
      <w:r>
        <w:rPr>
          <w:rFonts w:hint="eastAsia" w:ascii="仿宋_GB2312" w:hAnsi="仿宋_GB2312" w:eastAsia="仿宋_GB2312"/>
          <w:color w:val="auto"/>
          <w:kern w:val="0"/>
          <w:sz w:val="32"/>
          <w:szCs w:val="24"/>
        </w:rPr>
        <w:t>五、项目收入支出决算表</w:t>
      </w:r>
    </w:p>
    <w:p>
      <w:pPr>
        <w:spacing w:before="100" w:after="100" w:line="580" w:lineRule="atLeast"/>
        <w:ind w:firstLine="601"/>
        <w:jc w:val="left"/>
        <w:rPr>
          <w:rFonts w:hint="default" w:eastAsia="Times New Roman"/>
          <w:color w:val="auto"/>
          <w:kern w:val="0"/>
          <w:sz w:val="24"/>
          <w:szCs w:val="24"/>
        </w:rPr>
      </w:pPr>
      <w:r>
        <w:rPr>
          <w:rFonts w:hint="eastAsia" w:ascii="仿宋_GB2312" w:hAnsi="仿宋_GB2312" w:eastAsia="仿宋_GB2312"/>
          <w:color w:val="auto"/>
          <w:kern w:val="0"/>
          <w:sz w:val="32"/>
          <w:szCs w:val="24"/>
        </w:rPr>
        <w:t>六、一般公共预算财政拨款支出决算表</w:t>
      </w:r>
    </w:p>
    <w:p>
      <w:pPr>
        <w:spacing w:before="100" w:after="100" w:line="580" w:lineRule="atLeast"/>
        <w:ind w:firstLine="601"/>
        <w:jc w:val="left"/>
        <w:rPr>
          <w:rFonts w:hint="default" w:eastAsia="Times New Roman"/>
          <w:color w:val="auto"/>
          <w:kern w:val="0"/>
          <w:sz w:val="24"/>
          <w:szCs w:val="24"/>
        </w:rPr>
      </w:pPr>
      <w:r>
        <w:rPr>
          <w:rFonts w:hint="eastAsia" w:ascii="仿宋_GB2312" w:hAnsi="仿宋_GB2312" w:eastAsia="仿宋_GB2312"/>
          <w:color w:val="auto"/>
          <w:kern w:val="0"/>
          <w:sz w:val="32"/>
          <w:szCs w:val="24"/>
        </w:rPr>
        <w:t>七、一般公共预算财政拨款基本支出决算明细表</w:t>
      </w:r>
    </w:p>
    <w:p>
      <w:pPr>
        <w:spacing w:before="100" w:after="100" w:line="580" w:lineRule="atLeast"/>
        <w:ind w:firstLine="601"/>
        <w:jc w:val="left"/>
        <w:rPr>
          <w:rFonts w:hint="default" w:eastAsia="Times New Roman"/>
          <w:color w:val="auto"/>
          <w:kern w:val="0"/>
          <w:sz w:val="24"/>
          <w:szCs w:val="24"/>
        </w:rPr>
      </w:pPr>
      <w:r>
        <w:rPr>
          <w:rFonts w:hint="eastAsia" w:ascii="仿宋_GB2312" w:hAnsi="仿宋_GB2312" w:eastAsia="仿宋_GB2312"/>
          <w:color w:val="auto"/>
          <w:kern w:val="0"/>
          <w:sz w:val="32"/>
          <w:szCs w:val="24"/>
        </w:rPr>
        <w:t>八、政府性基金预算财政拨款收入支出决算表</w:t>
      </w:r>
    </w:p>
    <w:p>
      <w:pPr>
        <w:spacing w:before="100" w:after="100" w:line="580" w:lineRule="atLeast"/>
        <w:ind w:firstLine="601"/>
        <w:jc w:val="left"/>
        <w:rPr>
          <w:rFonts w:hint="default" w:eastAsia="Times New Roman"/>
          <w:color w:val="auto"/>
          <w:kern w:val="0"/>
          <w:sz w:val="24"/>
          <w:szCs w:val="24"/>
        </w:rPr>
      </w:pPr>
      <w:r>
        <w:rPr>
          <w:rFonts w:hint="eastAsia" w:ascii="仿宋_GB2312" w:hAnsi="仿宋_GB2312" w:eastAsia="仿宋_GB2312"/>
          <w:color w:val="auto"/>
          <w:kern w:val="0"/>
          <w:sz w:val="32"/>
          <w:szCs w:val="24"/>
        </w:rPr>
        <w:t>九、国有资本经营预算财政拨款收入支出决算表</w:t>
      </w:r>
    </w:p>
    <w:p>
      <w:pPr>
        <w:spacing w:before="100" w:after="100" w:line="580" w:lineRule="atLeast"/>
        <w:ind w:firstLine="601"/>
        <w:jc w:val="left"/>
        <w:rPr>
          <w:rFonts w:hint="default" w:eastAsia="Times New Roman"/>
          <w:color w:val="auto"/>
          <w:kern w:val="0"/>
          <w:sz w:val="32"/>
          <w:szCs w:val="24"/>
        </w:rPr>
      </w:pPr>
      <w:r>
        <w:rPr>
          <w:rFonts w:hint="eastAsia" w:ascii="仿宋_GB2312" w:hAnsi="仿宋_GB2312" w:eastAsia="仿宋_GB2312"/>
          <w:color w:val="auto"/>
          <w:kern w:val="0"/>
          <w:sz w:val="32"/>
          <w:szCs w:val="24"/>
        </w:rPr>
        <w:t>十、财政拨款</w:t>
      </w:r>
      <w:r>
        <w:rPr>
          <w:rFonts w:hint="default" w:eastAsia="Times New Roman"/>
          <w:color w:val="auto"/>
          <w:kern w:val="0"/>
          <w:sz w:val="32"/>
          <w:szCs w:val="24"/>
        </w:rPr>
        <w:t>“</w:t>
      </w:r>
      <w:r>
        <w:rPr>
          <w:rFonts w:hint="eastAsia" w:ascii="仿宋_GB2312" w:hAnsi="仿宋_GB2312" w:eastAsia="仿宋_GB2312"/>
          <w:color w:val="auto"/>
          <w:kern w:val="0"/>
          <w:sz w:val="32"/>
          <w:szCs w:val="24"/>
        </w:rPr>
        <w:t>三公</w:t>
      </w:r>
      <w:r>
        <w:rPr>
          <w:rFonts w:hint="default" w:eastAsia="Times New Roman"/>
          <w:color w:val="auto"/>
          <w:kern w:val="0"/>
          <w:sz w:val="32"/>
          <w:szCs w:val="24"/>
        </w:rPr>
        <w:t>”</w:t>
      </w:r>
      <w:r>
        <w:rPr>
          <w:rFonts w:hint="eastAsia" w:ascii="仿宋_GB2312" w:hAnsi="仿宋_GB2312" w:eastAsia="仿宋_GB2312"/>
          <w:color w:val="auto"/>
          <w:kern w:val="0"/>
          <w:sz w:val="32"/>
          <w:szCs w:val="24"/>
        </w:rPr>
        <w:t>经费支出决算表</w:t>
      </w:r>
    </w:p>
    <w:p>
      <w:pPr>
        <w:spacing w:before="100" w:after="100" w:line="580" w:lineRule="atLeast"/>
        <w:ind w:firstLine="601"/>
        <w:jc w:val="left"/>
        <w:rPr>
          <w:rFonts w:hint="default" w:eastAsia="Times New Roman"/>
          <w:color w:val="auto"/>
          <w:kern w:val="0"/>
          <w:sz w:val="24"/>
          <w:szCs w:val="24"/>
        </w:rPr>
      </w:pPr>
      <w:r>
        <w:rPr>
          <w:rFonts w:hint="eastAsia" w:ascii="仿宋_GB2312" w:hAnsi="仿宋_GB2312" w:eastAsia="仿宋_GB2312"/>
          <w:color w:val="auto"/>
          <w:kern w:val="0"/>
          <w:sz w:val="32"/>
          <w:szCs w:val="24"/>
        </w:rPr>
        <w:t>十一、机关运行经费支出、国有资产占用情况及政府采购支出信息表</w:t>
      </w:r>
    </w:p>
    <w:p>
      <w:pPr>
        <w:spacing w:before="100" w:after="100"/>
        <w:ind w:firstLine="601"/>
        <w:jc w:val="left"/>
        <w:rPr>
          <w:rFonts w:hint="default" w:eastAsia="Times New Roman"/>
          <w:color w:val="auto"/>
          <w:kern w:val="0"/>
          <w:sz w:val="24"/>
          <w:szCs w:val="24"/>
        </w:rPr>
      </w:pPr>
      <w:r>
        <w:rPr>
          <w:rFonts w:hint="default" w:eastAsia="Times New Roman"/>
          <w:b/>
          <w:color w:val="auto"/>
          <w:kern w:val="0"/>
          <w:sz w:val="44"/>
          <w:szCs w:val="24"/>
        </w:rPr>
        <w:t xml:space="preserve"> </w:t>
      </w:r>
    </w:p>
    <w:p>
      <w:pPr>
        <w:jc w:val="left"/>
        <w:rPr>
          <w:rFonts w:hint="eastAsia" w:ascii="宋体" w:hAnsi="宋体"/>
          <w:color w:val="auto"/>
          <w:kern w:val="0"/>
          <w:sz w:val="24"/>
          <w:szCs w:val="24"/>
        </w:rPr>
      </w:pPr>
      <w:r>
        <w:rPr>
          <w:rFonts w:hint="default" w:eastAsia="Times New Roman"/>
          <w:color w:val="auto"/>
          <w:kern w:val="0"/>
          <w:sz w:val="24"/>
          <w:szCs w:val="24"/>
        </w:rPr>
        <w:t xml:space="preserve"> </w:t>
      </w:r>
      <w:r>
        <w:rPr>
          <w:rFonts w:hint="eastAsia" w:ascii="宋体" w:hAnsi="宋体"/>
          <w:color w:val="auto"/>
          <w:kern w:val="0"/>
          <w:sz w:val="24"/>
          <w:szCs w:val="24"/>
        </w:rPr>
        <w:t xml:space="preserve"> </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b/>
          <w:color w:val="auto"/>
          <w:kern w:val="0"/>
          <w:sz w:val="32"/>
          <w:szCs w:val="24"/>
        </w:rPr>
        <w:t>第一部分 部门基本情况</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color w:val="auto"/>
          <w:kern w:val="0"/>
          <w:sz w:val="32"/>
          <w:szCs w:val="24"/>
        </w:rPr>
        <w:t>一、主要职能职责</w:t>
      </w:r>
    </w:p>
    <w:p>
      <w:pPr>
        <w:spacing w:before="100" w:after="100" w:line="580" w:lineRule="atLeast"/>
        <w:ind w:firstLine="600"/>
        <w:jc w:val="left"/>
        <w:rPr>
          <w:rFonts w:hint="eastAsia" w:ascii="仿宋_GB2312" w:eastAsia="仿宋_GB2312" w:cs="Times New Roman"/>
          <w:sz w:val="32"/>
          <w:szCs w:val="24"/>
        </w:rPr>
      </w:pPr>
      <w:r>
        <w:rPr>
          <w:rFonts w:hint="eastAsia" w:ascii="仿宋_GB2312" w:eastAsia="仿宋_GB2312" w:cs="Times New Roman"/>
          <w:sz w:val="32"/>
          <w:szCs w:val="24"/>
        </w:rPr>
        <w:t>（一）宣传和贯彻执行党的路线方针政策和党中央、上级党组织及本镇党员代表大会（党员大会）的决议。</w:t>
      </w:r>
    </w:p>
    <w:p>
      <w:pPr>
        <w:spacing w:before="100" w:after="100" w:line="580" w:lineRule="atLeast"/>
        <w:ind w:firstLine="600"/>
        <w:jc w:val="left"/>
        <w:rPr>
          <w:rFonts w:hint="eastAsia" w:ascii="仿宋_GB2312" w:eastAsia="仿宋_GB2312" w:cs="Times New Roman"/>
          <w:sz w:val="32"/>
          <w:szCs w:val="24"/>
        </w:rPr>
      </w:pPr>
      <w:r>
        <w:rPr>
          <w:rFonts w:hint="eastAsia" w:ascii="仿宋_GB2312" w:eastAsia="仿宋_GB2312" w:cs="Times New Roman"/>
          <w:sz w:val="32"/>
          <w:szCs w:val="24"/>
        </w:rPr>
        <w:t xml:space="preserve">（二）制定并组织实施村镇建设规划，部署重点工程建设，地方道路建设及公共设施，水利设施的管理，负责土地、林木、水等自然资源和生态环境的保护，做好护林防火工作。讨论和决定本镇经济建设、政治建设、文化建设、社会建设、生态文明建设和党的建设以及镇村振兴中的重大问题。需由镇镇政权机关或者集体经济组织决定的重要事项，经镇党委研究讨论后，由镇政权机关或者集体经济组织依照法律和有关规定作出决定。 </w:t>
      </w:r>
    </w:p>
    <w:p>
      <w:pPr>
        <w:spacing w:before="100" w:after="100" w:line="580" w:lineRule="atLeast"/>
        <w:ind w:firstLine="600"/>
        <w:jc w:val="left"/>
        <w:rPr>
          <w:rFonts w:hint="eastAsia" w:ascii="仿宋_GB2312" w:eastAsia="仿宋_GB2312" w:cs="Times New Roman"/>
          <w:sz w:val="32"/>
          <w:szCs w:val="24"/>
        </w:rPr>
      </w:pPr>
      <w:r>
        <w:rPr>
          <w:rFonts w:hint="eastAsia" w:ascii="仿宋_GB2312" w:eastAsia="仿宋_GB2312" w:cs="Times New Roman"/>
          <w:sz w:val="32"/>
          <w:szCs w:val="24"/>
        </w:rPr>
        <w:t xml:space="preserve">（三）领导镇政权机关、群团组织和其他各类组织，加强指导和规范，支持和保证这些机关和组织依照国家法律法规以及各自章程履行职责。 </w:t>
      </w:r>
    </w:p>
    <w:p>
      <w:pPr>
        <w:spacing w:before="100" w:after="100" w:line="580" w:lineRule="atLeast"/>
        <w:ind w:firstLine="600"/>
        <w:jc w:val="left"/>
        <w:rPr>
          <w:rFonts w:hint="eastAsia" w:ascii="仿宋_GB2312" w:eastAsia="仿宋_GB2312" w:cs="Times New Roman"/>
          <w:sz w:val="32"/>
          <w:szCs w:val="24"/>
        </w:rPr>
      </w:pPr>
      <w:r>
        <w:rPr>
          <w:rFonts w:hint="eastAsia" w:ascii="仿宋_GB2312" w:eastAsia="仿宋_GB2312" w:cs="Times New Roman"/>
          <w:sz w:val="32"/>
          <w:szCs w:val="24"/>
        </w:rPr>
        <w:t>（四）加强镇党委自身建设和村党组织建设，以及其他隶属镇党委的党组织建设，抓好发展党员工作，加强党员队伍建设。维护和执行党的纪律，监督党员干部和其他任何工作人员严格遵守国家法律法规。</w:t>
      </w:r>
    </w:p>
    <w:p>
      <w:pPr>
        <w:spacing w:before="100" w:after="100" w:line="580" w:lineRule="atLeast"/>
        <w:ind w:firstLine="600"/>
        <w:jc w:val="left"/>
        <w:rPr>
          <w:rFonts w:hint="eastAsia" w:ascii="仿宋_GB2312" w:eastAsia="仿宋_GB2312" w:cs="Times New Roman"/>
          <w:sz w:val="32"/>
          <w:szCs w:val="24"/>
        </w:rPr>
      </w:pPr>
      <w:r>
        <w:rPr>
          <w:rFonts w:hint="eastAsia" w:ascii="仿宋_GB2312" w:eastAsia="仿宋_GB2312" w:cs="Times New Roman"/>
          <w:sz w:val="32"/>
          <w:szCs w:val="24"/>
        </w:rPr>
        <w:t>（五）按照干部管理权限，负责对干部的教育、培训、选拔、考核和监督工作。协助管理上级有关部门驻镇单位的干部。做好人才服务和引进工作。</w:t>
      </w:r>
    </w:p>
    <w:p>
      <w:pPr>
        <w:spacing w:before="100" w:after="100" w:line="580" w:lineRule="atLeast"/>
        <w:ind w:firstLine="600"/>
        <w:jc w:val="left"/>
        <w:rPr>
          <w:rFonts w:hint="eastAsia" w:ascii="仿宋_GB2312" w:eastAsia="仿宋_GB2312" w:cs="Times New Roman"/>
          <w:sz w:val="32"/>
          <w:szCs w:val="24"/>
        </w:rPr>
      </w:pPr>
      <w:r>
        <w:rPr>
          <w:rFonts w:hint="eastAsia" w:ascii="仿宋_GB2312" w:eastAsia="仿宋_GB2312" w:cs="Times New Roman"/>
          <w:sz w:val="32"/>
          <w:szCs w:val="24"/>
        </w:rPr>
        <w:t>（六）领导本镇的基层治理，加强社会主义民主法治建设和精神文明建设，加强社会治安综合治理，做好生态环保、美丽镇村建设、民生保障、脱贫致富、民族宗教等工作。</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color w:val="auto"/>
          <w:kern w:val="0"/>
          <w:sz w:val="32"/>
          <w:szCs w:val="24"/>
        </w:rPr>
        <w:t>二、部门（单位）机构设置及决算单位构成情况</w:t>
      </w:r>
    </w:p>
    <w:p>
      <w:pPr>
        <w:autoSpaceDE w:val="0"/>
        <w:autoSpaceDN w:val="0"/>
        <w:adjustRightInd w:val="0"/>
        <w:spacing w:line="580" w:lineRule="exact"/>
        <w:ind w:firstLine="600"/>
        <w:rPr>
          <w:rFonts w:hint="eastAsia" w:ascii="仿宋_GB2312" w:hAnsi="仿宋_GB2312" w:eastAsia="仿宋_GB2312"/>
          <w:color w:val="auto"/>
          <w:kern w:val="0"/>
          <w:sz w:val="32"/>
          <w:szCs w:val="24"/>
        </w:rPr>
      </w:pPr>
      <w:r>
        <w:rPr>
          <w:rFonts w:hint="eastAsia" w:ascii="仿宋_GB2312" w:eastAsia="仿宋_GB2312"/>
          <w:sz w:val="32"/>
          <w:szCs w:val="24"/>
        </w:rPr>
        <w:t>主要职能：红彦镇人民政府是行政事业单位，主要职能是负责本行政区域内的民政、计划生育、</w:t>
      </w:r>
      <w:r>
        <w:rPr>
          <w:rFonts w:hint="eastAsia" w:ascii="仿宋_GB2312" w:eastAsia="仿宋_GB2312"/>
          <w:sz w:val="32"/>
          <w:szCs w:val="24"/>
        </w:rPr>
        <w:fldChar w:fldCharType="begin"/>
      </w:r>
      <w:r>
        <w:rPr>
          <w:rFonts w:hint="eastAsia" w:ascii="仿宋_GB2312" w:eastAsia="仿宋_GB2312"/>
          <w:sz w:val="32"/>
          <w:szCs w:val="24"/>
        </w:rPr>
        <w:instrText xml:space="preserve"> HYPERLINK "https://www.baidu.com/s?wd=%E6%96%87%E5%8C%96%E6%95%99%E8%82%B2&amp;tn=44039180_cpr&amp;fenlei=mv6quAkxTZn0IZRqIHckPjm4nH00T1Y3PjP-n10vrj99PWbYmhFh0ZwV5Hcvrjm3rH6sPfKWUMw85HfYnjn4nH6sgvPsT6KdThsqpZwYTjCEQLGCpyw9Uz4Bmy-bIi4WUvYETgN-TLwGUv3EPjcLrHc3Pj04" \t "_blank" </w:instrText>
      </w:r>
      <w:r>
        <w:rPr>
          <w:rFonts w:hint="eastAsia" w:ascii="仿宋_GB2312" w:eastAsia="仿宋_GB2312"/>
          <w:sz w:val="32"/>
          <w:szCs w:val="24"/>
        </w:rPr>
        <w:fldChar w:fldCharType="separate"/>
      </w:r>
      <w:r>
        <w:rPr>
          <w:rFonts w:hint="eastAsia" w:ascii="仿宋_GB2312" w:eastAsia="仿宋_GB2312"/>
          <w:sz w:val="32"/>
          <w:szCs w:val="24"/>
        </w:rPr>
        <w:t>文化教育</w:t>
      </w:r>
      <w:r>
        <w:rPr>
          <w:rFonts w:hint="eastAsia" w:ascii="仿宋_GB2312" w:eastAsia="仿宋_GB2312"/>
          <w:sz w:val="32"/>
          <w:szCs w:val="24"/>
        </w:rPr>
        <w:fldChar w:fldCharType="end"/>
      </w:r>
      <w:r>
        <w:rPr>
          <w:rFonts w:hint="eastAsia" w:ascii="仿宋_GB2312" w:eastAsia="仿宋_GB2312"/>
          <w:sz w:val="32"/>
          <w:szCs w:val="24"/>
        </w:rPr>
        <w:t>、卫生、体育等社会公益事业的综合性工作，维护一切经济单位和个人的正当经济权益，取缔非法经济活动，调解和处理</w:t>
      </w:r>
      <w:r>
        <w:rPr>
          <w:rFonts w:hint="eastAsia" w:ascii="仿宋_GB2312" w:eastAsia="仿宋_GB2312"/>
          <w:sz w:val="32"/>
          <w:szCs w:val="24"/>
        </w:rPr>
        <w:fldChar w:fldCharType="begin"/>
      </w:r>
      <w:r>
        <w:rPr>
          <w:rFonts w:hint="eastAsia" w:ascii="仿宋_GB2312" w:eastAsia="仿宋_GB2312"/>
          <w:sz w:val="32"/>
          <w:szCs w:val="24"/>
        </w:rPr>
        <w:instrText xml:space="preserve"> HYPERLINK "https://www.baidu.com/s?wd=%E6%B0%91%E4%BA%8B%E7%BA%A0%E7%BA%B7&amp;tn=44039180_cpr&amp;fenlei=mv6quAkxTZn0IZRqIHckPjm4nH00T1Y3PjP-n10vrj99PWbYmhFh0ZwV5Hcvrjm3rH6sPfKWUMw85HfYnjn4nH6sgvPsT6KdThsqpZwYTjCEQLGCpyw9Uz4Bmy-bIi4WUvYETgN-TLwGUv3EPjcLrHc3Pj04" \t "_blank" </w:instrText>
      </w:r>
      <w:r>
        <w:rPr>
          <w:rFonts w:hint="eastAsia" w:ascii="仿宋_GB2312" w:eastAsia="仿宋_GB2312"/>
          <w:sz w:val="32"/>
          <w:szCs w:val="24"/>
        </w:rPr>
        <w:fldChar w:fldCharType="separate"/>
      </w:r>
      <w:r>
        <w:rPr>
          <w:rFonts w:hint="eastAsia" w:ascii="仿宋_GB2312" w:eastAsia="仿宋_GB2312"/>
          <w:sz w:val="32"/>
          <w:szCs w:val="24"/>
        </w:rPr>
        <w:t>民事纠纷</w:t>
      </w:r>
      <w:r>
        <w:rPr>
          <w:rFonts w:hint="eastAsia" w:ascii="仿宋_GB2312" w:eastAsia="仿宋_GB2312"/>
          <w:sz w:val="32"/>
          <w:szCs w:val="24"/>
        </w:rPr>
        <w:fldChar w:fldCharType="end"/>
      </w:r>
      <w:r>
        <w:rPr>
          <w:rFonts w:hint="eastAsia" w:ascii="仿宋_GB2312" w:eastAsia="仿宋_GB2312"/>
          <w:sz w:val="32"/>
          <w:szCs w:val="24"/>
        </w:rPr>
        <w:t>，打击刑事犯罪维护社会稳定。</w:t>
      </w:r>
    </w:p>
    <w:p>
      <w:pPr>
        <w:autoSpaceDE w:val="0"/>
        <w:autoSpaceDN w:val="0"/>
        <w:adjustRightInd w:val="0"/>
        <w:spacing w:line="580" w:lineRule="exact"/>
        <w:ind w:firstLine="600"/>
        <w:rPr>
          <w:rFonts w:hint="eastAsia" w:ascii="仿宋_GB2312" w:eastAsia="仿宋_GB2312" w:cs="Times New Roman"/>
          <w:sz w:val="32"/>
          <w:szCs w:val="24"/>
        </w:rPr>
      </w:pPr>
      <w:r>
        <w:rPr>
          <w:rFonts w:hint="eastAsia" w:ascii="仿宋_GB2312" w:hAnsi="仿宋_GB2312" w:eastAsia="仿宋_GB2312"/>
          <w:color w:val="auto"/>
          <w:kern w:val="0"/>
          <w:sz w:val="32"/>
          <w:szCs w:val="24"/>
        </w:rPr>
        <w:t>内设机构包括</w:t>
      </w:r>
      <w:r>
        <w:rPr>
          <w:rFonts w:hint="eastAsia" w:ascii="仿宋_GB2312" w:eastAsia="仿宋_GB2312"/>
          <w:sz w:val="32"/>
          <w:szCs w:val="24"/>
        </w:rPr>
        <w:t>：</w:t>
      </w:r>
      <w:r>
        <w:rPr>
          <w:rFonts w:hint="eastAsia" w:ascii="仿宋_GB2312" w:eastAsia="仿宋_GB2312" w:cs="Times New Roman"/>
          <w:sz w:val="32"/>
          <w:szCs w:val="24"/>
        </w:rPr>
        <w:t>党政综合办公室</w:t>
      </w:r>
      <w:r>
        <w:rPr>
          <w:rFonts w:hint="eastAsia" w:ascii="仿宋_GB2312" w:eastAsia="仿宋_GB2312" w:cs="Times New Roman"/>
          <w:sz w:val="32"/>
          <w:szCs w:val="24"/>
          <w:lang w:eastAsia="zh-CN"/>
        </w:rPr>
        <w:t>、</w:t>
      </w:r>
      <w:r>
        <w:rPr>
          <w:rFonts w:hint="eastAsia" w:ascii="仿宋_GB2312" w:eastAsia="仿宋_GB2312" w:cs="Times New Roman"/>
          <w:sz w:val="32"/>
          <w:szCs w:val="24"/>
        </w:rPr>
        <w:t>基层党的建设办公室</w:t>
      </w:r>
      <w:r>
        <w:rPr>
          <w:rFonts w:hint="eastAsia" w:ascii="仿宋_GB2312" w:eastAsia="仿宋_GB2312" w:cs="Times New Roman"/>
          <w:sz w:val="32"/>
          <w:szCs w:val="24"/>
          <w:lang w:eastAsia="zh-CN"/>
        </w:rPr>
        <w:t>、</w:t>
      </w:r>
      <w:r>
        <w:rPr>
          <w:rFonts w:hint="eastAsia" w:ascii="仿宋_GB2312" w:eastAsia="仿宋_GB2312" w:cs="Times New Roman"/>
          <w:sz w:val="32"/>
          <w:szCs w:val="24"/>
        </w:rPr>
        <w:t>镇村振兴办公室</w:t>
      </w:r>
      <w:r>
        <w:rPr>
          <w:rFonts w:hint="eastAsia" w:ascii="仿宋_GB2312" w:eastAsia="仿宋_GB2312" w:cs="Times New Roman"/>
          <w:sz w:val="32"/>
          <w:szCs w:val="24"/>
          <w:lang w:eastAsia="zh-CN"/>
        </w:rPr>
        <w:t>、</w:t>
      </w:r>
      <w:r>
        <w:rPr>
          <w:rFonts w:hint="eastAsia" w:ascii="仿宋_GB2312" w:eastAsia="仿宋_GB2312" w:cs="Times New Roman"/>
          <w:sz w:val="32"/>
          <w:szCs w:val="24"/>
        </w:rPr>
        <w:t>社会事务办公室</w:t>
      </w:r>
      <w:r>
        <w:rPr>
          <w:rFonts w:hint="eastAsia" w:ascii="仿宋_GB2312" w:eastAsia="仿宋_GB2312" w:cs="Times New Roman"/>
          <w:sz w:val="32"/>
          <w:szCs w:val="24"/>
          <w:lang w:eastAsia="zh-CN"/>
        </w:rPr>
        <w:t>、</w:t>
      </w:r>
      <w:r>
        <w:rPr>
          <w:rFonts w:hint="eastAsia" w:ascii="仿宋_GB2312" w:eastAsia="仿宋_GB2312" w:cs="Times New Roman"/>
          <w:sz w:val="32"/>
          <w:szCs w:val="24"/>
        </w:rPr>
        <w:t>平安建设办公室。设人民武装部</w:t>
      </w:r>
      <w:r>
        <w:rPr>
          <w:rFonts w:hint="eastAsia" w:ascii="仿宋_GB2312" w:eastAsia="仿宋_GB2312" w:cs="Times New Roman"/>
          <w:sz w:val="32"/>
          <w:szCs w:val="24"/>
          <w:lang w:eastAsia="zh-CN"/>
        </w:rPr>
        <w:t>、</w:t>
      </w:r>
      <w:r>
        <w:rPr>
          <w:rFonts w:hint="eastAsia" w:ascii="仿宋_GB2312" w:eastAsia="仿宋_GB2312" w:cs="Times New Roman"/>
          <w:sz w:val="32"/>
          <w:szCs w:val="24"/>
        </w:rPr>
        <w:t>设监察办公室。</w:t>
      </w:r>
    </w:p>
    <w:p>
      <w:pPr>
        <w:autoSpaceDE w:val="0"/>
        <w:autoSpaceDN w:val="0"/>
        <w:adjustRightInd w:val="0"/>
        <w:spacing w:line="580" w:lineRule="exact"/>
        <w:ind w:firstLine="600"/>
        <w:rPr>
          <w:rFonts w:hint="eastAsia" w:ascii="仿宋_GB2312" w:eastAsia="仿宋_GB2312"/>
          <w:sz w:val="32"/>
          <w:szCs w:val="24"/>
          <w:lang w:val="en-US" w:eastAsia="zh-CN"/>
        </w:rPr>
      </w:pPr>
      <w:r>
        <w:rPr>
          <w:rFonts w:hint="eastAsia" w:ascii="仿宋_GB2312" w:eastAsia="仿宋_GB2312" w:cs="Times New Roman"/>
          <w:sz w:val="32"/>
          <w:szCs w:val="24"/>
          <w:lang w:val="en-US" w:eastAsia="zh-CN"/>
        </w:rPr>
        <w:t>下设三个事业单位：</w:t>
      </w:r>
      <w:r>
        <w:rPr>
          <w:rFonts w:hint="eastAsia" w:ascii="仿宋_GB2312" w:eastAsia="仿宋_GB2312"/>
          <w:sz w:val="32"/>
          <w:szCs w:val="24"/>
          <w:lang w:val="en-US" w:eastAsia="zh-CN"/>
        </w:rPr>
        <w:t>党群服务</w:t>
      </w:r>
      <w:r>
        <w:rPr>
          <w:rFonts w:hint="eastAsia" w:ascii="仿宋_GB2312" w:eastAsia="仿宋_GB2312"/>
          <w:sz w:val="32"/>
          <w:szCs w:val="24"/>
        </w:rPr>
        <w:t>中心、</w:t>
      </w:r>
      <w:r>
        <w:rPr>
          <w:rFonts w:hint="eastAsia" w:ascii="仿宋_GB2312" w:eastAsia="仿宋_GB2312" w:cs="Times New Roman"/>
          <w:sz w:val="32"/>
          <w:szCs w:val="24"/>
          <w:lang w:val="en-US" w:eastAsia="zh-CN"/>
        </w:rPr>
        <w:t>综合行政执法局</w:t>
      </w:r>
      <w:r>
        <w:rPr>
          <w:rFonts w:hint="eastAsia" w:ascii="仿宋_GB2312" w:eastAsia="仿宋_GB2312"/>
          <w:sz w:val="32"/>
          <w:szCs w:val="24"/>
        </w:rPr>
        <w:t>、</w:t>
      </w:r>
      <w:r>
        <w:rPr>
          <w:rFonts w:hint="eastAsia" w:ascii="仿宋_GB2312" w:eastAsia="仿宋_GB2312"/>
          <w:sz w:val="32"/>
          <w:szCs w:val="24"/>
          <w:lang w:val="en-US" w:eastAsia="zh-CN"/>
        </w:rPr>
        <w:t>综合保障和技术推广中心</w:t>
      </w:r>
      <w:r>
        <w:rPr>
          <w:rFonts w:hint="eastAsia" w:ascii="仿宋_GB2312" w:eastAsia="仿宋_GB2312"/>
          <w:sz w:val="32"/>
          <w:szCs w:val="24"/>
        </w:rPr>
        <w:t>。</w:t>
      </w:r>
    </w:p>
    <w:p>
      <w:pPr>
        <w:autoSpaceDE w:val="0"/>
        <w:autoSpaceDN w:val="0"/>
        <w:adjustRightInd w:val="0"/>
        <w:spacing w:line="580" w:lineRule="exact"/>
        <w:ind w:firstLine="600"/>
        <w:rPr>
          <w:rFonts w:hint="default" w:eastAsia="Times New Roman"/>
          <w:color w:val="auto"/>
          <w:kern w:val="0"/>
          <w:sz w:val="32"/>
          <w:szCs w:val="24"/>
        </w:rPr>
      </w:pPr>
      <w:r>
        <w:rPr>
          <w:rFonts w:hint="eastAsia" w:ascii="仿宋_GB2312" w:eastAsia="仿宋_GB2312"/>
          <w:sz w:val="32"/>
          <w:szCs w:val="24"/>
        </w:rPr>
        <w:t>人员情况：年末实有职工</w:t>
      </w:r>
      <w:r>
        <w:rPr>
          <w:rFonts w:hint="eastAsia" w:ascii="仿宋_GB2312" w:eastAsia="仿宋_GB2312"/>
          <w:sz w:val="32"/>
          <w:szCs w:val="24"/>
          <w:lang w:val="en-US" w:eastAsia="zh-CN"/>
        </w:rPr>
        <w:t>121</w:t>
      </w:r>
      <w:r>
        <w:rPr>
          <w:rFonts w:hint="eastAsia" w:ascii="仿宋_GB2312" w:eastAsia="仿宋_GB2312"/>
          <w:sz w:val="32"/>
          <w:szCs w:val="24"/>
        </w:rPr>
        <w:t>名，其中在职在编人员</w:t>
      </w:r>
      <w:r>
        <w:rPr>
          <w:rFonts w:hint="eastAsia" w:ascii="仿宋_GB2312" w:eastAsia="仿宋_GB2312"/>
          <w:sz w:val="32"/>
          <w:szCs w:val="24"/>
          <w:lang w:val="en-US" w:eastAsia="zh-CN"/>
        </w:rPr>
        <w:t>72</w:t>
      </w:r>
      <w:r>
        <w:rPr>
          <w:rFonts w:hint="eastAsia" w:ascii="仿宋_GB2312" w:eastAsia="仿宋_GB2312"/>
          <w:sz w:val="32"/>
          <w:szCs w:val="24"/>
        </w:rPr>
        <w:t>人（行政编制</w:t>
      </w:r>
      <w:r>
        <w:rPr>
          <w:rFonts w:hint="eastAsia" w:ascii="仿宋_GB2312" w:eastAsia="仿宋_GB2312"/>
          <w:sz w:val="32"/>
          <w:szCs w:val="24"/>
          <w:lang w:val="en-US" w:eastAsia="zh-CN"/>
        </w:rPr>
        <w:t>28</w:t>
      </w:r>
      <w:r>
        <w:rPr>
          <w:rFonts w:hint="eastAsia" w:ascii="仿宋_GB2312" w:eastAsia="仿宋_GB2312"/>
          <w:sz w:val="32"/>
          <w:szCs w:val="24"/>
        </w:rPr>
        <w:t>人、事业编制</w:t>
      </w:r>
      <w:r>
        <w:rPr>
          <w:rFonts w:hint="eastAsia" w:ascii="仿宋_GB2312" w:eastAsia="仿宋_GB2312"/>
          <w:sz w:val="32"/>
          <w:szCs w:val="24"/>
          <w:lang w:val="en-US" w:eastAsia="zh-CN"/>
        </w:rPr>
        <w:t>44</w:t>
      </w:r>
      <w:r>
        <w:rPr>
          <w:rFonts w:hint="eastAsia" w:ascii="仿宋_GB2312" w:eastAsia="仿宋_GB2312"/>
          <w:sz w:val="32"/>
          <w:szCs w:val="24"/>
        </w:rPr>
        <w:t>人），退休退职人员</w:t>
      </w:r>
      <w:r>
        <w:rPr>
          <w:rFonts w:hint="eastAsia" w:ascii="仿宋_GB2312" w:eastAsia="仿宋_GB2312"/>
          <w:sz w:val="32"/>
          <w:szCs w:val="24"/>
          <w:lang w:val="en-US" w:eastAsia="zh-CN"/>
        </w:rPr>
        <w:t>49</w:t>
      </w:r>
      <w:r>
        <w:rPr>
          <w:rFonts w:hint="eastAsia" w:ascii="仿宋_GB2312" w:eastAsia="仿宋_GB2312"/>
          <w:sz w:val="32"/>
          <w:szCs w:val="24"/>
        </w:rPr>
        <w:t>人。</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b/>
          <w:color w:val="auto"/>
          <w:kern w:val="0"/>
          <w:sz w:val="32"/>
          <w:szCs w:val="24"/>
        </w:rPr>
        <w:t>第二部分 2021年度部门决算情况说明</w:t>
      </w:r>
    </w:p>
    <w:p>
      <w:pPr>
        <w:spacing w:before="100" w:after="100" w:line="580" w:lineRule="atLeast"/>
        <w:ind w:firstLine="600"/>
        <w:rPr>
          <w:rFonts w:hint="default" w:eastAsia="Times New Roman"/>
          <w:b/>
          <w:color w:val="auto"/>
          <w:kern w:val="0"/>
          <w:sz w:val="24"/>
          <w:szCs w:val="24"/>
        </w:rPr>
      </w:pPr>
      <w:r>
        <w:rPr>
          <w:rFonts w:hint="eastAsia" w:ascii="仿宋_GB2312" w:hAnsi="仿宋_GB2312" w:eastAsia="仿宋_GB2312"/>
          <w:b/>
          <w:color w:val="auto"/>
          <w:kern w:val="0"/>
          <w:sz w:val="32"/>
          <w:szCs w:val="24"/>
        </w:rPr>
        <w:t>一、关于2021年度预算执行情况分析</w:t>
      </w:r>
    </w:p>
    <w:p>
      <w:pPr>
        <w:spacing w:before="100" w:after="100" w:line="580" w:lineRule="atLeast"/>
        <w:ind w:firstLine="600"/>
        <w:rPr>
          <w:rFonts w:hint="eastAsia" w:ascii="仿宋" w:hAnsi="仿宋" w:eastAsia="仿宋"/>
          <w:color w:val="auto"/>
          <w:kern w:val="0"/>
          <w:sz w:val="32"/>
          <w:szCs w:val="24"/>
          <w:lang w:eastAsia="zh-CN"/>
        </w:rPr>
      </w:pPr>
      <w:r>
        <w:rPr>
          <w:rFonts w:hint="eastAsia" w:ascii="仿宋" w:hAnsi="仿宋" w:eastAsia="仿宋"/>
          <w:color w:val="auto"/>
          <w:kern w:val="0"/>
          <w:sz w:val="32"/>
          <w:szCs w:val="24"/>
        </w:rPr>
        <w:t>2021年度收入、支出决算总计2,952.44万元。与年初预算相比，收、支总计增加421.19万元，增长16.64%</w:t>
      </w:r>
      <w:r>
        <w:rPr>
          <w:rFonts w:hint="eastAsia" w:ascii="仿宋" w:hAnsi="仿宋" w:eastAsia="仿宋"/>
          <w:color w:val="auto"/>
          <w:kern w:val="0"/>
          <w:sz w:val="32"/>
          <w:szCs w:val="24"/>
          <w:lang w:eastAsia="zh-CN"/>
        </w:rPr>
        <w:t>。</w:t>
      </w:r>
    </w:p>
    <w:p>
      <w:pPr>
        <w:spacing w:before="100" w:after="100" w:line="580" w:lineRule="atLeast"/>
        <w:ind w:firstLine="600"/>
        <w:rPr>
          <w:rFonts w:hint="default" w:eastAsia="Times New Roman"/>
          <w:color w:val="auto"/>
          <w:kern w:val="0"/>
          <w:sz w:val="32"/>
          <w:szCs w:val="24"/>
        </w:rPr>
      </w:pPr>
      <w:r>
        <w:rPr>
          <w:rFonts w:hint="eastAsia" w:ascii="仿宋" w:hAnsi="仿宋" w:eastAsia="仿宋"/>
          <w:color w:val="auto"/>
          <w:kern w:val="0"/>
          <w:sz w:val="32"/>
          <w:szCs w:val="24"/>
        </w:rPr>
        <w:t>2021年度财政拨款收入、支出决算总计2,952.44万元。与年初预算相比，收、支总计增加421.19万元，增长16.64%。</w:t>
      </w:r>
    </w:p>
    <w:p>
      <w:pPr>
        <w:spacing w:before="100" w:after="100" w:line="580" w:lineRule="atLeast"/>
        <w:ind w:firstLine="600"/>
        <w:rPr>
          <w:rFonts w:hint="default" w:eastAsia="Times New Roman"/>
          <w:b/>
          <w:color w:val="auto"/>
          <w:kern w:val="0"/>
          <w:sz w:val="24"/>
          <w:szCs w:val="24"/>
        </w:rPr>
      </w:pPr>
      <w:r>
        <w:rPr>
          <w:rFonts w:hint="eastAsia" w:ascii="仿宋_GB2312" w:hAnsi="仿宋_GB2312" w:eastAsia="仿宋_GB2312"/>
          <w:b/>
          <w:color w:val="auto"/>
          <w:kern w:val="0"/>
          <w:sz w:val="32"/>
          <w:szCs w:val="24"/>
        </w:rPr>
        <w:t>二、关于2021年度决算情况说明</w:t>
      </w:r>
    </w:p>
    <w:p>
      <w:pPr>
        <w:spacing w:before="100" w:after="100" w:line="580" w:lineRule="atLeast"/>
        <w:ind w:firstLine="600"/>
        <w:rPr>
          <w:rFonts w:hint="default" w:eastAsia="Times New Roman"/>
          <w:b/>
          <w:color w:val="auto"/>
          <w:kern w:val="0"/>
          <w:sz w:val="24"/>
          <w:szCs w:val="24"/>
        </w:rPr>
      </w:pPr>
      <w:r>
        <w:rPr>
          <w:rFonts w:hint="eastAsia" w:ascii="楷体" w:hAnsi="楷体" w:eastAsia="楷体"/>
          <w:b/>
          <w:color w:val="auto"/>
          <w:kern w:val="0"/>
          <w:sz w:val="32"/>
          <w:szCs w:val="24"/>
        </w:rPr>
        <w:t>（一）关于收支情况总体说明</w:t>
      </w:r>
    </w:p>
    <w:p>
      <w:pPr>
        <w:spacing w:line="580" w:lineRule="exac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本部门2021年度收入总计2,952.44万元，其中：本年收入合计2,488.74万元，使用非财政拨款结余0万元，年初结转和结余463.71万元；支出总计2,952.44万元，其中：结余分配0万元，年末结转和结余0万元。与2020年度相比，收入支出总计减少199.48万元，下降6.33%，主要原因：一是</w:t>
      </w:r>
      <w:r>
        <w:rPr>
          <w:rFonts w:hint="eastAsia" w:ascii="仿宋_GB2312" w:hAnsi="仿宋_GB2312" w:eastAsia="仿宋_GB2312"/>
          <w:color w:val="auto"/>
          <w:sz w:val="32"/>
          <w:szCs w:val="24"/>
          <w:lang w:eastAsia="zh-CN"/>
        </w:rPr>
        <w:t>退耕还林工作任务相对减少。</w:t>
      </w:r>
    </w:p>
    <w:p>
      <w:pPr>
        <w:spacing w:before="100" w:after="100" w:line="580" w:lineRule="atLeast"/>
        <w:ind w:firstLine="600"/>
        <w:rPr>
          <w:rFonts w:hint="default" w:eastAsia="Times New Roman"/>
          <w:b/>
          <w:color w:val="auto"/>
          <w:kern w:val="0"/>
          <w:sz w:val="24"/>
          <w:szCs w:val="24"/>
        </w:rPr>
      </w:pPr>
      <w:r>
        <w:rPr>
          <w:rFonts w:hint="eastAsia" w:ascii="楷体" w:hAnsi="楷体" w:eastAsia="楷体"/>
          <w:b/>
          <w:color w:val="auto"/>
          <w:kern w:val="0"/>
          <w:sz w:val="32"/>
          <w:szCs w:val="24"/>
        </w:rPr>
        <w:t>（二）关于2021年度收入决算情况说明</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本部门2021年度收入合计2,488.74万元，其中：财政拨款收入2,488.74万元，占100%</w:t>
      </w:r>
      <w:r>
        <w:rPr>
          <w:rFonts w:hint="eastAsia" w:ascii="仿宋_GB2312" w:hAnsi="仿宋_GB2312" w:eastAsia="仿宋_GB2312"/>
          <w:color w:val="auto"/>
          <w:kern w:val="0"/>
          <w:sz w:val="32"/>
          <w:szCs w:val="24"/>
          <w:lang w:eastAsia="zh-CN"/>
        </w:rPr>
        <w:t>。</w:t>
      </w:r>
    </w:p>
    <w:p>
      <w:pPr>
        <w:spacing w:before="100" w:after="100" w:line="580" w:lineRule="atLeast"/>
        <w:ind w:firstLine="600"/>
        <w:rPr>
          <w:rFonts w:hint="default" w:eastAsia="Times New Roman"/>
          <w:b/>
          <w:color w:val="auto"/>
          <w:kern w:val="0"/>
          <w:sz w:val="24"/>
          <w:szCs w:val="24"/>
        </w:rPr>
      </w:pPr>
      <w:r>
        <w:rPr>
          <w:rFonts w:hint="eastAsia" w:ascii="楷体" w:hAnsi="楷体" w:eastAsia="楷体"/>
          <w:b/>
          <w:color w:val="auto"/>
          <w:kern w:val="0"/>
          <w:sz w:val="32"/>
          <w:szCs w:val="24"/>
        </w:rPr>
        <w:t>（三）关于2021年度支出决算情况说明</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本部门2021年度支出合计2,952.44万元，其中：基本支出1,759.1万元，占59.58%；项目支出1,193.34万元，占40.42%</w:t>
      </w:r>
      <w:r>
        <w:rPr>
          <w:rFonts w:hint="eastAsia" w:ascii="仿宋_GB2312" w:hAnsi="仿宋_GB2312" w:eastAsia="仿宋_GB2312"/>
          <w:color w:val="auto"/>
          <w:kern w:val="0"/>
          <w:sz w:val="32"/>
          <w:szCs w:val="24"/>
          <w:lang w:eastAsia="zh-CN"/>
        </w:rPr>
        <w:t>。</w:t>
      </w:r>
    </w:p>
    <w:p>
      <w:pPr>
        <w:spacing w:before="100" w:after="100" w:line="580" w:lineRule="atLeast"/>
        <w:ind w:firstLine="600"/>
        <w:rPr>
          <w:rFonts w:hint="default" w:eastAsia="Times New Roman"/>
          <w:b/>
          <w:color w:val="auto"/>
          <w:kern w:val="0"/>
          <w:sz w:val="24"/>
          <w:szCs w:val="24"/>
        </w:rPr>
      </w:pPr>
      <w:r>
        <w:rPr>
          <w:rFonts w:hint="eastAsia" w:ascii="楷体" w:hAnsi="楷体" w:eastAsia="楷体"/>
          <w:b/>
          <w:color w:val="auto"/>
          <w:kern w:val="0"/>
          <w:sz w:val="32"/>
          <w:szCs w:val="24"/>
        </w:rPr>
        <w:t>（四）关于2021年度财政拨款收入支出决算总体情况说明</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本部门2021年度财政拨款收入总计2,952.44万元，其中：年初结转和结余463.71万元；支出总计2,952.44万元，其中：年末结转和结余0万元。与2020年度相比，收入支出总计减少199.48万元，下降6.33%。</w:t>
      </w:r>
      <w:r>
        <w:rPr>
          <w:rFonts w:hint="eastAsia" w:ascii="仿宋_GB2312" w:hAnsi="仿宋_GB2312" w:eastAsia="仿宋_GB2312"/>
          <w:color w:val="auto"/>
          <w:sz w:val="32"/>
          <w:szCs w:val="24"/>
        </w:rPr>
        <w:t>主要原因：一是</w:t>
      </w:r>
      <w:r>
        <w:rPr>
          <w:rFonts w:hint="eastAsia" w:ascii="仿宋_GB2312" w:hAnsi="仿宋_GB2312" w:eastAsia="仿宋_GB2312"/>
          <w:color w:val="auto"/>
          <w:sz w:val="32"/>
          <w:szCs w:val="24"/>
          <w:lang w:eastAsia="zh-CN"/>
        </w:rPr>
        <w:t>退耕还林工作任务相对减少</w:t>
      </w:r>
      <w:r>
        <w:rPr>
          <w:rFonts w:hint="eastAsia" w:ascii="仿宋_GB2312" w:hAnsi="仿宋_GB2312" w:eastAsia="仿宋_GB2312"/>
          <w:color w:val="auto"/>
          <w:kern w:val="0"/>
          <w:sz w:val="32"/>
          <w:szCs w:val="24"/>
        </w:rPr>
        <w:t>。</w:t>
      </w:r>
    </w:p>
    <w:p>
      <w:pPr>
        <w:spacing w:before="100" w:after="100" w:line="580" w:lineRule="atLeast"/>
        <w:ind w:firstLine="600"/>
        <w:rPr>
          <w:rFonts w:hint="default" w:eastAsia="Times New Roman"/>
          <w:b/>
          <w:color w:val="auto"/>
          <w:kern w:val="0"/>
          <w:sz w:val="24"/>
          <w:szCs w:val="24"/>
        </w:rPr>
      </w:pPr>
      <w:r>
        <w:rPr>
          <w:rFonts w:hint="eastAsia" w:ascii="楷体" w:hAnsi="楷体" w:eastAsia="楷体"/>
          <w:b/>
          <w:color w:val="auto"/>
          <w:kern w:val="0"/>
          <w:sz w:val="32"/>
          <w:szCs w:val="24"/>
        </w:rPr>
        <w:t>（五）关于2021年度一般公共预算财政拨款支出决算情况说明</w:t>
      </w:r>
    </w:p>
    <w:p>
      <w:pPr>
        <w:spacing w:before="100" w:after="100" w:line="580" w:lineRule="atLeast"/>
        <w:ind w:firstLine="600"/>
        <w:rPr>
          <w:rFonts w:hint="default" w:eastAsia="Times New Roman"/>
          <w:color w:val="auto"/>
          <w:kern w:val="0"/>
          <w:sz w:val="32"/>
          <w:szCs w:val="24"/>
        </w:rPr>
      </w:pPr>
      <w:r>
        <w:rPr>
          <w:rFonts w:hint="eastAsia" w:ascii="仿宋_GB2312" w:hAnsi="仿宋_GB2312" w:eastAsia="仿宋_GB2312"/>
          <w:color w:val="auto"/>
          <w:kern w:val="0"/>
          <w:sz w:val="32"/>
          <w:szCs w:val="24"/>
        </w:rPr>
        <w:t>本部门2021年度一般公共预算财政拨款支出合计1,898.44万元，其中：基本支出1,759.1万元，占92.66%；项目支出139.34万元，占7.34%。</w:t>
      </w:r>
    </w:p>
    <w:p>
      <w:pPr>
        <w:spacing w:line="560" w:lineRule="exact"/>
        <w:ind w:firstLine="640"/>
        <w:rPr>
          <w:rFonts w:hint="default" w:eastAsia="Times New Roman"/>
          <w:color w:val="auto"/>
          <w:sz w:val="32"/>
          <w:szCs w:val="24"/>
        </w:rPr>
      </w:pPr>
      <w:r>
        <w:rPr>
          <w:rFonts w:hint="eastAsia" w:ascii="仿宋" w:hAnsi="仿宋" w:eastAsia="仿宋"/>
          <w:color w:val="auto"/>
          <w:sz w:val="32"/>
          <w:szCs w:val="24"/>
        </w:rPr>
        <w:t>一般公共预算财政拨款支出</w:t>
      </w:r>
      <w:r>
        <w:rPr>
          <w:rFonts w:hint="eastAsia" w:ascii="仿宋_GB2312" w:hAnsi="仿宋_GB2312" w:eastAsia="仿宋_GB2312"/>
          <w:color w:val="auto"/>
          <w:sz w:val="32"/>
          <w:szCs w:val="24"/>
        </w:rPr>
        <w:t>1,898.44</w:t>
      </w:r>
      <w:r>
        <w:rPr>
          <w:rFonts w:hint="eastAsia" w:ascii="仿宋" w:hAnsi="仿宋" w:eastAsia="仿宋"/>
          <w:color w:val="auto"/>
          <w:sz w:val="32"/>
          <w:szCs w:val="24"/>
        </w:rPr>
        <w:t>万元。与年初预算相比，增加</w:t>
      </w:r>
      <w:r>
        <w:rPr>
          <w:rFonts w:hint="eastAsia" w:ascii="仿宋_GB2312" w:hAnsi="仿宋_GB2312" w:eastAsia="仿宋_GB2312"/>
          <w:color w:val="auto"/>
          <w:sz w:val="32"/>
          <w:szCs w:val="24"/>
        </w:rPr>
        <w:t>411.19</w:t>
      </w:r>
      <w:r>
        <w:rPr>
          <w:rFonts w:hint="eastAsia" w:ascii="仿宋" w:hAnsi="仿宋" w:eastAsia="仿宋"/>
          <w:color w:val="auto"/>
          <w:sz w:val="32"/>
          <w:szCs w:val="24"/>
        </w:rPr>
        <w:t>万元，增长</w:t>
      </w:r>
      <w:r>
        <w:rPr>
          <w:rFonts w:hint="eastAsia" w:ascii="仿宋_GB2312" w:hAnsi="仿宋_GB2312" w:eastAsia="仿宋_GB2312"/>
          <w:color w:val="auto"/>
          <w:sz w:val="32"/>
          <w:szCs w:val="24"/>
        </w:rPr>
        <w:t>27.65</w:t>
      </w:r>
      <w:r>
        <w:rPr>
          <w:rFonts w:hint="eastAsia" w:ascii="仿宋_GB2312" w:hAnsi="仿宋_GB2312" w:eastAsia="仿宋_GB2312"/>
          <w:color w:val="auto"/>
          <w:sz w:val="32"/>
          <w:szCs w:val="24"/>
          <w:lang w:val="en-US" w:eastAsia="zh-CN"/>
        </w:rPr>
        <w:t xml:space="preserve"> %</w:t>
      </w:r>
      <w:r>
        <w:rPr>
          <w:rFonts w:hint="eastAsia" w:ascii="仿宋" w:hAnsi="仿宋" w:eastAsia="仿宋"/>
          <w:color w:val="auto"/>
          <w:sz w:val="32"/>
          <w:szCs w:val="24"/>
        </w:rPr>
        <w:t>。</w:t>
      </w:r>
    </w:p>
    <w:p>
      <w:pPr>
        <w:spacing w:before="100" w:after="100" w:line="580" w:lineRule="atLeast"/>
        <w:ind w:firstLine="600"/>
        <w:rPr>
          <w:rFonts w:hint="default" w:eastAsia="Times New Roman"/>
          <w:b/>
          <w:color w:val="auto"/>
          <w:kern w:val="0"/>
          <w:sz w:val="24"/>
          <w:szCs w:val="24"/>
        </w:rPr>
      </w:pPr>
      <w:r>
        <w:rPr>
          <w:rFonts w:hint="eastAsia" w:ascii="楷体" w:hAnsi="楷体" w:eastAsia="楷体"/>
          <w:b/>
          <w:color w:val="auto"/>
          <w:kern w:val="0"/>
          <w:sz w:val="32"/>
          <w:szCs w:val="24"/>
        </w:rPr>
        <w:t>（六）关于2021年度一般公共预算财政拨款基本支出决算情况说明</w:t>
      </w:r>
    </w:p>
    <w:p>
      <w:pPr>
        <w:spacing w:before="100" w:after="100" w:line="580" w:lineRule="atLeast"/>
        <w:ind w:firstLine="600"/>
        <w:rPr>
          <w:rFonts w:hint="eastAsia" w:ascii="仿宋_GB2312" w:hAnsi="仿宋_GB2312" w:eastAsia="仿宋_GB2312"/>
          <w:color w:val="auto"/>
          <w:sz w:val="32"/>
          <w:szCs w:val="24"/>
        </w:rPr>
      </w:pPr>
      <w:r>
        <w:rPr>
          <w:rFonts w:hint="eastAsia" w:ascii="仿宋_GB2312" w:hAnsi="仿宋_GB2312" w:eastAsia="仿宋_GB2312"/>
          <w:color w:val="auto"/>
          <w:kern w:val="0"/>
          <w:sz w:val="32"/>
          <w:szCs w:val="24"/>
        </w:rPr>
        <w:t>本部门2021年度一般公共预算财政拨款基本支出1,759.1万元，其中：人员经费1,385.57万元，主要包括：</w:t>
      </w:r>
      <w:r>
        <w:rPr>
          <w:rFonts w:hint="eastAsia" w:ascii="仿宋_GB2312" w:hAnsi="仿宋_GB2312" w:eastAsia="仿宋_GB2312"/>
          <w:color w:val="auto"/>
          <w:sz w:val="32"/>
          <w:szCs w:val="24"/>
        </w:rPr>
        <w:t>主要包括：</w:t>
      </w:r>
      <w:r>
        <w:rPr>
          <w:rFonts w:hint="eastAsia" w:ascii="仿宋_GB2312" w:eastAsia="仿宋_GB2312"/>
          <w:color w:val="auto"/>
          <w:sz w:val="32"/>
          <w:szCs w:val="24"/>
        </w:rPr>
        <w:t>基本工资、津贴补贴、奖金、其他社会保障缴费、退休费、生活补助、住房公积金</w:t>
      </w:r>
      <w:r>
        <w:rPr>
          <w:rFonts w:hint="eastAsia" w:ascii="仿宋_GB2312" w:hAnsi="仿宋_GB2312" w:eastAsia="仿宋_GB2312"/>
          <w:color w:val="auto"/>
          <w:kern w:val="0"/>
          <w:sz w:val="32"/>
          <w:szCs w:val="24"/>
        </w:rPr>
        <w:t>，较上年增加331.43万元，主要原因是：</w:t>
      </w:r>
      <w:r>
        <w:rPr>
          <w:rFonts w:hint="eastAsia" w:ascii="仿宋_GB2312" w:hAnsi="仿宋_GB2312" w:eastAsia="仿宋_GB2312"/>
          <w:color w:val="auto"/>
          <w:kern w:val="0"/>
          <w:sz w:val="32"/>
          <w:szCs w:val="24"/>
          <w:lang w:val="en-US" w:eastAsia="zh-CN"/>
        </w:rPr>
        <w:t>人员增加</w:t>
      </w:r>
      <w:r>
        <w:rPr>
          <w:rFonts w:hint="eastAsia" w:ascii="仿宋_GB2312" w:hAnsi="仿宋_GB2312" w:eastAsia="仿宋_GB2312"/>
          <w:color w:val="auto"/>
          <w:kern w:val="0"/>
          <w:sz w:val="32"/>
          <w:szCs w:val="24"/>
        </w:rPr>
        <w:t>；公用经费373.53万元，主要包括：</w:t>
      </w:r>
      <w:r>
        <w:rPr>
          <w:rFonts w:hint="eastAsia" w:ascii="仿宋_GB2312" w:eastAsia="仿宋_GB2312"/>
          <w:color w:val="auto"/>
          <w:sz w:val="32"/>
          <w:szCs w:val="24"/>
        </w:rPr>
        <w:t>办公费、印刷费、电费、取暖费、差旅费、维修费、专用燃料费、公务用车运行维护费</w:t>
      </w:r>
      <w:r>
        <w:rPr>
          <w:rFonts w:hint="eastAsia" w:ascii="仿宋_GB2312" w:hAnsi="仿宋_GB2312" w:eastAsia="仿宋_GB2312"/>
          <w:color w:val="auto"/>
          <w:kern w:val="0"/>
          <w:sz w:val="32"/>
          <w:szCs w:val="24"/>
        </w:rPr>
        <w:t>，较上年减少46.78万元，主要原因是：</w:t>
      </w:r>
      <w:r>
        <w:rPr>
          <w:rFonts w:hint="eastAsia" w:ascii="仿宋_GB2312" w:hAnsi="仿宋_GB2312" w:eastAsia="仿宋_GB2312"/>
          <w:color w:val="auto"/>
          <w:sz w:val="32"/>
          <w:szCs w:val="24"/>
          <w:lang w:eastAsia="zh-CN"/>
        </w:rPr>
        <w:t>扶贫、退耕等工作任务相对减少，下乡支出减少</w:t>
      </w:r>
      <w:r>
        <w:rPr>
          <w:rFonts w:hint="eastAsia" w:ascii="仿宋_GB2312" w:hAnsi="仿宋_GB2312" w:eastAsia="仿宋_GB2312"/>
          <w:color w:val="auto"/>
          <w:sz w:val="32"/>
          <w:szCs w:val="24"/>
        </w:rPr>
        <w:t>。</w:t>
      </w:r>
    </w:p>
    <w:p>
      <w:pPr>
        <w:spacing w:before="100" w:after="100" w:line="580" w:lineRule="atLeast"/>
        <w:ind w:firstLine="600"/>
        <w:rPr>
          <w:rFonts w:hint="default" w:eastAsia="Times New Roman"/>
          <w:b/>
          <w:color w:val="auto"/>
          <w:kern w:val="0"/>
          <w:sz w:val="24"/>
          <w:szCs w:val="24"/>
        </w:rPr>
      </w:pPr>
      <w:r>
        <w:rPr>
          <w:rFonts w:hint="eastAsia" w:ascii="楷体" w:hAnsi="楷体" w:eastAsia="楷体"/>
          <w:b/>
          <w:color w:val="auto"/>
          <w:kern w:val="0"/>
          <w:sz w:val="32"/>
          <w:szCs w:val="24"/>
        </w:rPr>
        <w:t>（七）关于2021年度财政拨款</w:t>
      </w:r>
      <w:r>
        <w:rPr>
          <w:rFonts w:hint="default" w:eastAsia="Times New Roman"/>
          <w:b/>
          <w:color w:val="auto"/>
          <w:kern w:val="0"/>
          <w:sz w:val="32"/>
          <w:szCs w:val="24"/>
        </w:rPr>
        <w:t>“</w:t>
      </w:r>
      <w:r>
        <w:rPr>
          <w:rFonts w:hint="eastAsia" w:ascii="楷体" w:hAnsi="楷体" w:eastAsia="楷体"/>
          <w:b/>
          <w:color w:val="auto"/>
          <w:kern w:val="0"/>
          <w:sz w:val="32"/>
          <w:szCs w:val="24"/>
        </w:rPr>
        <w:t>三公</w:t>
      </w:r>
      <w:r>
        <w:rPr>
          <w:rFonts w:hint="default" w:eastAsia="Times New Roman"/>
          <w:b/>
          <w:color w:val="auto"/>
          <w:kern w:val="0"/>
          <w:sz w:val="32"/>
          <w:szCs w:val="24"/>
        </w:rPr>
        <w:t>”</w:t>
      </w:r>
      <w:r>
        <w:rPr>
          <w:rFonts w:hint="eastAsia" w:ascii="楷体" w:hAnsi="楷体" w:eastAsia="楷体"/>
          <w:b/>
          <w:color w:val="auto"/>
          <w:kern w:val="0"/>
          <w:sz w:val="32"/>
          <w:szCs w:val="24"/>
        </w:rPr>
        <w:t>经费支出决算情况说明</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color w:val="auto"/>
          <w:kern w:val="0"/>
          <w:sz w:val="32"/>
          <w:szCs w:val="24"/>
        </w:rPr>
        <w:t>1、财政拨款</w:t>
      </w:r>
      <w:r>
        <w:rPr>
          <w:rFonts w:hint="default" w:eastAsia="Times New Roman"/>
          <w:color w:val="auto"/>
          <w:kern w:val="0"/>
          <w:sz w:val="32"/>
          <w:szCs w:val="24"/>
        </w:rPr>
        <w:t>“</w:t>
      </w:r>
      <w:r>
        <w:rPr>
          <w:rFonts w:hint="eastAsia" w:ascii="仿宋_GB2312" w:hAnsi="仿宋_GB2312" w:eastAsia="仿宋_GB2312"/>
          <w:color w:val="auto"/>
          <w:kern w:val="0"/>
          <w:sz w:val="32"/>
          <w:szCs w:val="24"/>
        </w:rPr>
        <w:t>三公</w:t>
      </w:r>
      <w:r>
        <w:rPr>
          <w:rFonts w:hint="default" w:eastAsia="Times New Roman"/>
          <w:color w:val="auto"/>
          <w:kern w:val="0"/>
          <w:sz w:val="32"/>
          <w:szCs w:val="24"/>
        </w:rPr>
        <w:t>”</w:t>
      </w:r>
      <w:r>
        <w:rPr>
          <w:rFonts w:hint="eastAsia" w:ascii="仿宋_GB2312" w:hAnsi="仿宋_GB2312" w:eastAsia="仿宋_GB2312"/>
          <w:color w:val="auto"/>
          <w:kern w:val="0"/>
          <w:sz w:val="32"/>
          <w:szCs w:val="24"/>
        </w:rPr>
        <w:t>经费支出决算总体情况说明</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本部门2021年度财政拨款</w:t>
      </w:r>
      <w:r>
        <w:rPr>
          <w:rFonts w:hint="default" w:eastAsia="Times New Roman"/>
          <w:color w:val="auto"/>
          <w:kern w:val="0"/>
          <w:sz w:val="32"/>
          <w:szCs w:val="24"/>
        </w:rPr>
        <w:t>“</w:t>
      </w:r>
      <w:r>
        <w:rPr>
          <w:rFonts w:hint="eastAsia" w:ascii="仿宋_GB2312" w:hAnsi="仿宋_GB2312" w:eastAsia="仿宋_GB2312"/>
          <w:color w:val="auto"/>
          <w:kern w:val="0"/>
          <w:sz w:val="32"/>
          <w:szCs w:val="24"/>
        </w:rPr>
        <w:t>三公</w:t>
      </w:r>
      <w:r>
        <w:rPr>
          <w:rFonts w:hint="default" w:eastAsia="Times New Roman"/>
          <w:color w:val="auto"/>
          <w:kern w:val="0"/>
          <w:sz w:val="32"/>
          <w:szCs w:val="24"/>
        </w:rPr>
        <w:t>”</w:t>
      </w:r>
      <w:r>
        <w:rPr>
          <w:rFonts w:hint="eastAsia" w:ascii="仿宋_GB2312" w:hAnsi="仿宋_GB2312" w:eastAsia="仿宋_GB2312"/>
          <w:color w:val="auto"/>
          <w:kern w:val="0"/>
          <w:sz w:val="32"/>
          <w:szCs w:val="24"/>
        </w:rPr>
        <w:t>经费预算为50万元，支出决算为45.86万元，完成预算的91.72%，其中：因公出国（境）费预算为0万元，支出决算为0万元，完成预算的0%；公务用车购置及运行维护费预算为50万元，支出决算为45.86万元，完成预算的91.72%；公务接待费预算为0万元，支出决算为0万元，完成预算的0%。2021年度财政拨款</w:t>
      </w:r>
      <w:r>
        <w:rPr>
          <w:rFonts w:hint="default" w:eastAsia="Times New Roman"/>
          <w:color w:val="auto"/>
          <w:kern w:val="0"/>
          <w:sz w:val="32"/>
          <w:szCs w:val="24"/>
        </w:rPr>
        <w:t>“</w:t>
      </w:r>
      <w:r>
        <w:rPr>
          <w:rFonts w:hint="eastAsia" w:ascii="仿宋_GB2312" w:hAnsi="仿宋_GB2312" w:eastAsia="仿宋_GB2312"/>
          <w:color w:val="auto"/>
          <w:kern w:val="0"/>
          <w:sz w:val="32"/>
          <w:szCs w:val="24"/>
        </w:rPr>
        <w:t>三公</w:t>
      </w:r>
      <w:r>
        <w:rPr>
          <w:rFonts w:hint="default" w:eastAsia="Times New Roman"/>
          <w:color w:val="auto"/>
          <w:kern w:val="0"/>
          <w:sz w:val="32"/>
          <w:szCs w:val="24"/>
        </w:rPr>
        <w:t>”</w:t>
      </w:r>
      <w:r>
        <w:rPr>
          <w:rFonts w:hint="eastAsia" w:ascii="仿宋_GB2312" w:hAnsi="仿宋_GB2312" w:eastAsia="仿宋_GB2312"/>
          <w:color w:val="auto"/>
          <w:kern w:val="0"/>
          <w:sz w:val="32"/>
          <w:szCs w:val="24"/>
        </w:rPr>
        <w:t>经费支出决算与预算差异情况的原因：</w:t>
      </w:r>
      <w:r>
        <w:rPr>
          <w:rFonts w:hint="eastAsia" w:ascii="仿宋_GB2312" w:hAnsi="仿宋_GB2312" w:eastAsia="仿宋_GB2312"/>
          <w:color w:val="auto"/>
          <w:sz w:val="32"/>
          <w:szCs w:val="24"/>
        </w:rPr>
        <w:t>一是</w:t>
      </w:r>
      <w:r>
        <w:rPr>
          <w:rFonts w:hint="eastAsia" w:ascii="仿宋_GB2312" w:hAnsi="仿宋_GB2312" w:eastAsia="仿宋_GB2312"/>
          <w:color w:val="auto"/>
          <w:sz w:val="32"/>
          <w:szCs w:val="24"/>
          <w:lang w:eastAsia="zh-CN"/>
        </w:rPr>
        <w:t>扶贫、退耕等工作任务相对减少，下乡支出减少；</w:t>
      </w:r>
      <w:r>
        <w:rPr>
          <w:rFonts w:hint="eastAsia" w:ascii="仿宋_GB2312" w:eastAsia="仿宋_GB2312" w:cs="仿宋_GB2312"/>
          <w:sz w:val="32"/>
          <w:szCs w:val="32"/>
        </w:rPr>
        <w:t>二是我部门本着“勤俭节约”原则，严格执行相关规定，控制相关经费支出。</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color w:val="auto"/>
          <w:kern w:val="0"/>
          <w:sz w:val="32"/>
          <w:szCs w:val="24"/>
        </w:rPr>
        <w:t>2、财政拨款</w:t>
      </w:r>
      <w:r>
        <w:rPr>
          <w:rFonts w:hint="default" w:eastAsia="Times New Roman"/>
          <w:color w:val="auto"/>
          <w:kern w:val="0"/>
          <w:sz w:val="32"/>
          <w:szCs w:val="24"/>
        </w:rPr>
        <w:t>“</w:t>
      </w:r>
      <w:r>
        <w:rPr>
          <w:rFonts w:hint="eastAsia" w:ascii="仿宋_GB2312" w:hAnsi="仿宋_GB2312" w:eastAsia="仿宋_GB2312"/>
          <w:color w:val="auto"/>
          <w:kern w:val="0"/>
          <w:sz w:val="32"/>
          <w:szCs w:val="24"/>
        </w:rPr>
        <w:t>三公</w:t>
      </w:r>
      <w:r>
        <w:rPr>
          <w:rFonts w:hint="default" w:eastAsia="Times New Roman"/>
          <w:color w:val="auto"/>
          <w:kern w:val="0"/>
          <w:sz w:val="32"/>
          <w:szCs w:val="24"/>
        </w:rPr>
        <w:t>”</w:t>
      </w:r>
      <w:r>
        <w:rPr>
          <w:rFonts w:hint="eastAsia" w:ascii="仿宋_GB2312" w:hAnsi="仿宋_GB2312" w:eastAsia="仿宋_GB2312"/>
          <w:color w:val="auto"/>
          <w:kern w:val="0"/>
          <w:sz w:val="32"/>
          <w:szCs w:val="24"/>
        </w:rPr>
        <w:t>经费支出决算具体情况说明</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本部门2021年度财政拨款</w:t>
      </w:r>
      <w:r>
        <w:rPr>
          <w:rFonts w:hint="default" w:eastAsia="Times New Roman"/>
          <w:color w:val="auto"/>
          <w:kern w:val="0"/>
          <w:sz w:val="32"/>
          <w:szCs w:val="24"/>
        </w:rPr>
        <w:t>“</w:t>
      </w:r>
      <w:r>
        <w:rPr>
          <w:rFonts w:hint="eastAsia" w:ascii="仿宋_GB2312" w:hAnsi="仿宋_GB2312" w:eastAsia="仿宋_GB2312"/>
          <w:color w:val="auto"/>
          <w:kern w:val="0"/>
          <w:sz w:val="32"/>
          <w:szCs w:val="24"/>
        </w:rPr>
        <w:t>三公</w:t>
      </w:r>
      <w:r>
        <w:rPr>
          <w:rFonts w:hint="default" w:eastAsia="Times New Roman"/>
          <w:color w:val="auto"/>
          <w:kern w:val="0"/>
          <w:sz w:val="32"/>
          <w:szCs w:val="24"/>
        </w:rPr>
        <w:t>”</w:t>
      </w:r>
      <w:r>
        <w:rPr>
          <w:rFonts w:hint="eastAsia" w:ascii="仿宋_GB2312" w:hAnsi="仿宋_GB2312" w:eastAsia="仿宋_GB2312"/>
          <w:color w:val="auto"/>
          <w:kern w:val="0"/>
          <w:sz w:val="32"/>
          <w:szCs w:val="24"/>
        </w:rPr>
        <w:t>经费支出45.86万元，因公出国（境）费支出0万元，占</w:t>
      </w:r>
      <w:r>
        <w:rPr>
          <w:rFonts w:hint="default" w:eastAsia="Times New Roman"/>
          <w:color w:val="auto"/>
          <w:kern w:val="0"/>
          <w:sz w:val="32"/>
          <w:szCs w:val="24"/>
        </w:rPr>
        <w:t>“</w:t>
      </w:r>
      <w:r>
        <w:rPr>
          <w:rFonts w:hint="eastAsia" w:ascii="仿宋_GB2312" w:hAnsi="仿宋_GB2312" w:eastAsia="仿宋_GB2312"/>
          <w:color w:val="auto"/>
          <w:kern w:val="0"/>
          <w:sz w:val="32"/>
          <w:szCs w:val="24"/>
        </w:rPr>
        <w:t>三公</w:t>
      </w:r>
      <w:r>
        <w:rPr>
          <w:rFonts w:hint="default" w:eastAsia="Times New Roman"/>
          <w:color w:val="auto"/>
          <w:kern w:val="0"/>
          <w:sz w:val="32"/>
          <w:szCs w:val="24"/>
        </w:rPr>
        <w:t>”</w:t>
      </w:r>
      <w:r>
        <w:rPr>
          <w:rFonts w:hint="eastAsia" w:ascii="仿宋_GB2312" w:hAnsi="仿宋_GB2312" w:eastAsia="仿宋_GB2312"/>
          <w:color w:val="auto"/>
          <w:kern w:val="0"/>
          <w:sz w:val="32"/>
          <w:szCs w:val="24"/>
        </w:rPr>
        <w:t>经费支出的0%；公务用车购置及运行维护费支出45.86万元，占100%；公务接待费支出0万元，占0%。具体情况如下：</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b/>
          <w:color w:val="auto"/>
          <w:kern w:val="0"/>
          <w:sz w:val="32"/>
          <w:szCs w:val="24"/>
        </w:rPr>
        <w:t>公务用车购置及运行维护费支出</w:t>
      </w:r>
      <w:r>
        <w:rPr>
          <w:rFonts w:hint="eastAsia" w:ascii="仿宋_GB2312" w:hAnsi="仿宋_GB2312" w:eastAsia="仿宋_GB2312"/>
          <w:color w:val="auto"/>
          <w:kern w:val="0"/>
          <w:sz w:val="32"/>
          <w:szCs w:val="24"/>
        </w:rPr>
        <w:t>45.86万元。其中：公务用车运行维护费支出45.86万元，用于</w:t>
      </w:r>
      <w:r>
        <w:rPr>
          <w:rFonts w:hint="eastAsia" w:ascii="仿宋_GB2312" w:hAnsi="仿宋_GB2312" w:eastAsia="仿宋_GB2312"/>
          <w:color w:val="auto"/>
          <w:sz w:val="32"/>
          <w:szCs w:val="24"/>
          <w:lang w:eastAsia="zh-CN"/>
        </w:rPr>
        <w:t>退耕还林、扶贫下乡入户</w:t>
      </w:r>
      <w:r>
        <w:rPr>
          <w:rFonts w:hint="eastAsia" w:ascii="仿宋_GB2312" w:hAnsi="仿宋_GB2312" w:eastAsia="仿宋_GB2312"/>
          <w:color w:val="auto"/>
          <w:kern w:val="0"/>
          <w:sz w:val="32"/>
          <w:szCs w:val="24"/>
        </w:rPr>
        <w:t>，车均运维费11.47万元，公务用车运行维护费支出较上年增加17.52万元，主要原因是</w:t>
      </w:r>
      <w:r>
        <w:rPr>
          <w:rFonts w:hint="eastAsia" w:ascii="仿宋_GB2312" w:hAnsi="仿宋_GB2312" w:eastAsia="仿宋_GB2312"/>
          <w:color w:val="auto"/>
          <w:sz w:val="32"/>
          <w:szCs w:val="24"/>
          <w:lang w:eastAsia="zh-CN"/>
        </w:rPr>
        <w:t>扶贫、退耕等工作任务相对增加，下乡支出增加</w:t>
      </w:r>
      <w:r>
        <w:rPr>
          <w:rFonts w:hint="eastAsia" w:ascii="仿宋_GB2312" w:hAnsi="仿宋_GB2312" w:eastAsia="仿宋_GB2312"/>
          <w:color w:val="auto"/>
          <w:kern w:val="0"/>
          <w:sz w:val="32"/>
          <w:szCs w:val="24"/>
        </w:rPr>
        <w:t>，财政拨款开支的公务用车保有量为4辆。</w:t>
      </w:r>
    </w:p>
    <w:p>
      <w:pPr>
        <w:spacing w:before="100" w:after="100" w:line="580" w:lineRule="atLeast"/>
        <w:ind w:firstLine="600"/>
        <w:rPr>
          <w:rFonts w:hint="default" w:eastAsia="Times New Roman"/>
          <w:b/>
          <w:color w:val="auto"/>
          <w:kern w:val="0"/>
          <w:sz w:val="24"/>
          <w:szCs w:val="24"/>
        </w:rPr>
      </w:pPr>
      <w:r>
        <w:rPr>
          <w:rFonts w:hint="eastAsia" w:ascii="楷体" w:hAnsi="楷体" w:eastAsia="楷体"/>
          <w:b/>
          <w:color w:val="auto"/>
          <w:kern w:val="0"/>
          <w:sz w:val="32"/>
          <w:szCs w:val="24"/>
        </w:rPr>
        <w:t>（八）关于2021年度政府性基金预算财政拨款支出决算情况说明</w:t>
      </w:r>
    </w:p>
    <w:p>
      <w:pPr>
        <w:spacing w:line="560" w:lineRule="exact"/>
        <w:ind w:firstLine="640"/>
        <w:rPr>
          <w:rFonts w:hint="default" w:eastAsia="Times New Roman"/>
          <w:color w:val="auto"/>
          <w:sz w:val="32"/>
          <w:szCs w:val="24"/>
        </w:rPr>
      </w:pPr>
      <w:r>
        <w:rPr>
          <w:rFonts w:hint="eastAsia" w:ascii="仿宋_GB2312" w:hAnsi="仿宋_GB2312" w:eastAsia="仿宋_GB2312"/>
          <w:color w:val="auto"/>
          <w:sz w:val="32"/>
          <w:szCs w:val="24"/>
        </w:rPr>
        <w:t>2021年度政府性基金预算收入决算1,044万元。与上年相比，增加1,022万元，增长4,645.45%；支出决算1,054万元。与上年相比，增加1,027万元，增长3,803.7%。</w:t>
      </w:r>
    </w:p>
    <w:p>
      <w:pPr>
        <w:spacing w:before="100" w:after="100" w:line="580" w:lineRule="atLeast"/>
        <w:ind w:firstLine="600"/>
        <w:rPr>
          <w:rFonts w:hint="default" w:eastAsia="Times New Roman"/>
          <w:b/>
          <w:color w:val="auto"/>
          <w:kern w:val="0"/>
          <w:sz w:val="32"/>
          <w:szCs w:val="24"/>
        </w:rPr>
      </w:pPr>
      <w:r>
        <w:rPr>
          <w:rFonts w:hint="eastAsia" w:ascii="楷体" w:hAnsi="楷体" w:eastAsia="楷体"/>
          <w:b/>
          <w:color w:val="auto"/>
          <w:kern w:val="0"/>
          <w:sz w:val="32"/>
          <w:szCs w:val="24"/>
        </w:rPr>
        <w:t>（九）关于2021年度国有资本经营预算支出决算情况说明</w:t>
      </w:r>
    </w:p>
    <w:p>
      <w:pPr>
        <w:spacing w:line="560" w:lineRule="exact"/>
        <w:ind w:firstLine="640"/>
        <w:rPr>
          <w:rFonts w:hint="eastAsia" w:ascii="仿宋_GB2312" w:hAnsi="仿宋_GB2312" w:eastAsia="仿宋_GB2312"/>
          <w:color w:val="auto"/>
          <w:sz w:val="32"/>
          <w:szCs w:val="24"/>
        </w:rPr>
      </w:pPr>
      <w:r>
        <w:rPr>
          <w:rFonts w:hint="eastAsia" w:ascii="仿宋_GB2312" w:hAnsi="仿宋_GB2312" w:eastAsia="仿宋_GB2312"/>
          <w:color w:val="auto"/>
          <w:sz w:val="32"/>
          <w:szCs w:val="24"/>
        </w:rPr>
        <w:t>2021年度国有资本经营预算收入决算0万元，与上年相比，与上年相比，增加0万元，增长0%；支出决算0万元。与上年相比，增加0万元，增长0%。</w:t>
      </w:r>
    </w:p>
    <w:p>
      <w:pPr>
        <w:spacing w:before="100" w:after="100" w:line="580" w:lineRule="atLeast"/>
        <w:ind w:firstLine="600"/>
        <w:rPr>
          <w:rFonts w:hint="default" w:eastAsia="Times New Roman"/>
          <w:b/>
          <w:color w:val="auto"/>
          <w:kern w:val="0"/>
          <w:sz w:val="32"/>
          <w:szCs w:val="24"/>
        </w:rPr>
      </w:pPr>
      <w:r>
        <w:rPr>
          <w:rFonts w:hint="eastAsia" w:ascii="楷体" w:hAnsi="楷体" w:eastAsia="楷体"/>
          <w:b/>
          <w:color w:val="auto"/>
          <w:kern w:val="0"/>
          <w:sz w:val="32"/>
          <w:szCs w:val="24"/>
        </w:rPr>
        <w:t>（十）关于2021年度项目支出决算情况说明</w:t>
      </w:r>
    </w:p>
    <w:p>
      <w:pPr>
        <w:spacing w:line="560" w:lineRule="exact"/>
        <w:ind w:firstLine="640"/>
        <w:rPr>
          <w:rFonts w:hint="default" w:eastAsia="Times New Roman"/>
          <w:color w:val="auto"/>
          <w:kern w:val="0"/>
          <w:sz w:val="32"/>
          <w:szCs w:val="24"/>
        </w:rPr>
      </w:pPr>
      <w:r>
        <w:rPr>
          <w:rFonts w:hint="eastAsia" w:ascii="仿宋_GB2312" w:hAnsi="仿宋_GB2312" w:eastAsia="仿宋_GB2312"/>
          <w:color w:val="auto"/>
          <w:kern w:val="0"/>
          <w:sz w:val="32"/>
          <w:szCs w:val="24"/>
        </w:rPr>
        <w:t>2021年，部门（单位）项目支出总金额1,193.34</w:t>
      </w:r>
      <w:r>
        <w:rPr>
          <w:rFonts w:hint="eastAsia" w:ascii="仿宋_GB2312" w:hAnsi="仿宋_GB2312" w:eastAsia="仿宋_GB2312"/>
          <w:color w:val="auto"/>
          <w:kern w:val="0"/>
          <w:sz w:val="32"/>
          <w:szCs w:val="24"/>
        </w:rPr>
        <w:t>万元。财政本年拨款金额1,059.35</w:t>
      </w:r>
      <w:r>
        <w:rPr>
          <w:rFonts w:hint="eastAsia" w:ascii="仿宋_GB2312" w:hAnsi="仿宋_GB2312" w:eastAsia="仿宋_GB2312"/>
          <w:color w:val="auto"/>
          <w:kern w:val="0"/>
          <w:sz w:val="32"/>
          <w:szCs w:val="24"/>
        </w:rPr>
        <w:t>万元，财政拨款结转结余0</w:t>
      </w:r>
      <w:r>
        <w:rPr>
          <w:rFonts w:hint="eastAsia" w:ascii="仿宋_GB2312" w:hAnsi="仿宋_GB2312" w:eastAsia="仿宋_GB2312"/>
          <w:color w:val="auto"/>
          <w:kern w:val="0"/>
          <w:sz w:val="32"/>
          <w:szCs w:val="24"/>
        </w:rPr>
        <w:t>万元，其他资金结转结余0</w:t>
      </w:r>
      <w:r>
        <w:rPr>
          <w:rFonts w:hint="eastAsia" w:ascii="仿宋_GB2312" w:hAnsi="仿宋_GB2312" w:eastAsia="仿宋_GB2312"/>
          <w:color w:val="auto"/>
          <w:kern w:val="0"/>
          <w:sz w:val="32"/>
          <w:szCs w:val="24"/>
        </w:rPr>
        <w:t>万元。</w:t>
      </w:r>
    </w:p>
    <w:p>
      <w:pPr>
        <w:spacing w:before="100" w:after="100" w:line="580" w:lineRule="atLeast"/>
        <w:ind w:firstLine="600"/>
        <w:jc w:val="left"/>
        <w:rPr>
          <w:rFonts w:hint="default" w:eastAsia="Times New Roman"/>
          <w:b/>
          <w:color w:val="auto"/>
          <w:kern w:val="0"/>
          <w:sz w:val="32"/>
          <w:szCs w:val="24"/>
        </w:rPr>
      </w:pPr>
      <w:r>
        <w:rPr>
          <w:rFonts w:hint="default" w:eastAsia="Times New Roman"/>
          <w:color w:val="auto"/>
          <w:kern w:val="0"/>
          <w:sz w:val="32"/>
          <w:szCs w:val="24"/>
        </w:rPr>
        <w:t xml:space="preserve"> </w:t>
      </w:r>
      <w:r>
        <w:rPr>
          <w:rFonts w:hint="eastAsia" w:ascii="楷体" w:hAnsi="楷体" w:eastAsia="楷体"/>
          <w:b/>
          <w:color w:val="auto"/>
          <w:kern w:val="0"/>
          <w:sz w:val="32"/>
          <w:szCs w:val="24"/>
        </w:rPr>
        <w:t>（十一）政府采购支出情况</w:t>
      </w:r>
      <w:bookmarkStart w:id="0" w:name="_GoBack"/>
      <w:bookmarkEnd w:id="0"/>
    </w:p>
    <w:p>
      <w:pPr>
        <w:spacing w:before="100" w:after="100" w:line="580" w:lineRule="atLeast"/>
        <w:ind w:firstLine="600"/>
        <w:rPr>
          <w:rFonts w:hint="eastAsia" w:ascii="仿宋_GB2312" w:hAnsi="仿宋_GB2312" w:eastAsia="仿宋_GB2312"/>
          <w:color w:val="000000"/>
          <w:kern w:val="0"/>
          <w:sz w:val="32"/>
          <w:szCs w:val="24"/>
        </w:rPr>
      </w:pPr>
      <w:r>
        <w:rPr>
          <w:rFonts w:hint="eastAsia" w:ascii="仿宋_GB2312" w:hAnsi="仿宋_GB2312" w:eastAsia="仿宋_GB2312"/>
          <w:color w:val="auto"/>
          <w:kern w:val="0"/>
          <w:sz w:val="32"/>
          <w:szCs w:val="24"/>
        </w:rPr>
        <w:t>本部门2021年度政府采购支出合计0万元，其中：政府采购货物支出0万元，比2020年增加0万元，增长0%；政府采购工程支出0万元，比2020年增加0万元，增长0%；政府采购服务支出0万元，比2020年增加0万元，增长0%。</w:t>
      </w:r>
    </w:p>
    <w:p>
      <w:pPr>
        <w:spacing w:before="100" w:after="100" w:line="580" w:lineRule="atLeast"/>
        <w:ind w:firstLine="600"/>
        <w:rPr>
          <w:rFonts w:hint="default" w:eastAsia="Times New Roman"/>
          <w:b/>
          <w:color w:val="auto"/>
          <w:kern w:val="0"/>
          <w:sz w:val="32"/>
          <w:szCs w:val="24"/>
        </w:rPr>
      </w:pPr>
      <w:r>
        <w:rPr>
          <w:rFonts w:hint="eastAsia" w:ascii="楷体" w:hAnsi="楷体" w:eastAsia="楷体"/>
          <w:b/>
          <w:color w:val="auto"/>
          <w:kern w:val="0"/>
          <w:sz w:val="32"/>
          <w:szCs w:val="24"/>
        </w:rPr>
        <w:t>（十二）机关运行经费支出情况</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000000"/>
          <w:kern w:val="0"/>
          <w:sz w:val="32"/>
          <w:szCs w:val="24"/>
        </w:rPr>
        <w:t>本部门2021年度机关运行经费支出0万元，比2020年增加0万元，增长0%。</w:t>
      </w:r>
    </w:p>
    <w:p>
      <w:pPr>
        <w:spacing w:before="100" w:after="100" w:line="580" w:lineRule="atLeast"/>
        <w:ind w:firstLine="600"/>
        <w:rPr>
          <w:rFonts w:hint="default" w:eastAsia="Times New Roman"/>
          <w:b/>
          <w:color w:val="auto"/>
          <w:kern w:val="0"/>
          <w:sz w:val="32"/>
          <w:szCs w:val="24"/>
        </w:rPr>
      </w:pPr>
      <w:r>
        <w:rPr>
          <w:rFonts w:hint="eastAsia" w:ascii="楷体" w:hAnsi="楷体" w:eastAsia="楷体"/>
          <w:b/>
          <w:color w:val="auto"/>
          <w:kern w:val="0"/>
          <w:sz w:val="32"/>
          <w:szCs w:val="24"/>
        </w:rPr>
        <w:t>（十三）国有资产占用情况</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截至2021年12月31日，本部门共有车辆4辆，其中，其他用车4辆；单位价值50万元以上通用设备0台（套），主要是</w:t>
      </w:r>
      <w:r>
        <w:rPr>
          <w:rFonts w:hint="eastAsia" w:ascii="仿宋_GB2312" w:hAnsi="仿宋_GB2312" w:eastAsia="仿宋_GB2312"/>
          <w:color w:val="auto"/>
          <w:sz w:val="32"/>
          <w:szCs w:val="24"/>
        </w:rPr>
        <w:t>主要是用于</w:t>
      </w:r>
      <w:r>
        <w:rPr>
          <w:rFonts w:hint="eastAsia" w:ascii="仿宋_GB2312" w:hAnsi="仿宋_GB2312" w:eastAsia="仿宋_GB2312"/>
          <w:color w:val="auto"/>
          <w:sz w:val="32"/>
          <w:szCs w:val="24"/>
          <w:lang w:eastAsia="zh-CN"/>
        </w:rPr>
        <w:t>日常工作下乡使用</w:t>
      </w:r>
      <w:r>
        <w:rPr>
          <w:rFonts w:hint="eastAsia" w:ascii="仿宋_GB2312" w:hAnsi="仿宋_GB2312" w:eastAsia="仿宋_GB2312"/>
          <w:color w:val="auto"/>
          <w:kern w:val="0"/>
          <w:sz w:val="32"/>
          <w:szCs w:val="24"/>
        </w:rPr>
        <w:t>。</w:t>
      </w:r>
    </w:p>
    <w:p>
      <w:pPr>
        <w:spacing w:before="100" w:after="100" w:line="580" w:lineRule="atLeast"/>
        <w:ind w:firstLine="600"/>
        <w:rPr>
          <w:rFonts w:hint="default" w:eastAsia="Times New Roman"/>
          <w:b/>
          <w:color w:val="auto"/>
          <w:kern w:val="0"/>
          <w:sz w:val="32"/>
          <w:szCs w:val="24"/>
        </w:rPr>
      </w:pPr>
      <w:r>
        <w:rPr>
          <w:rFonts w:hint="eastAsia" w:ascii="仿宋_GB2312" w:hAnsi="仿宋_GB2312" w:eastAsia="仿宋_GB2312"/>
          <w:b/>
          <w:color w:val="auto"/>
          <w:kern w:val="0"/>
          <w:sz w:val="32"/>
          <w:szCs w:val="24"/>
        </w:rPr>
        <w:t>三、预算绩效评价工作开展情况</w:t>
      </w:r>
    </w:p>
    <w:p>
      <w:pPr>
        <w:spacing w:line="580" w:lineRule="exact"/>
        <w:ind w:firstLine="600"/>
        <w:rPr>
          <w:rFonts w:hint="default" w:eastAsia="Times New Roman"/>
          <w:color w:val="auto"/>
          <w:sz w:val="32"/>
          <w:szCs w:val="24"/>
        </w:rPr>
      </w:pPr>
      <w:r>
        <w:rPr>
          <w:rFonts w:hint="eastAsia" w:ascii="仿宋_GB2312" w:hAnsi="仿宋_GB2312" w:eastAsia="仿宋_GB2312"/>
          <w:color w:val="auto"/>
          <w:sz w:val="32"/>
          <w:szCs w:val="24"/>
        </w:rPr>
        <w:t>（一）预算绩效管理工作开展情况</w:t>
      </w:r>
    </w:p>
    <w:p>
      <w:pPr>
        <w:autoSpaceDE w:val="0"/>
        <w:autoSpaceDN w:val="0"/>
        <w:adjustRightInd w:val="0"/>
        <w:spacing w:line="580" w:lineRule="exact"/>
        <w:ind w:firstLine="600"/>
        <w:rPr>
          <w:rFonts w:hint="eastAsia" w:ascii="仿宋_GB2312" w:eastAsia="仿宋_GB2312"/>
          <w:sz w:val="32"/>
          <w:szCs w:val="24"/>
        </w:rPr>
      </w:pPr>
      <w:r>
        <w:rPr>
          <w:rFonts w:hint="eastAsia" w:ascii="仿宋_GB2312" w:eastAsia="仿宋_GB2312"/>
          <w:sz w:val="32"/>
          <w:szCs w:val="24"/>
        </w:rPr>
        <w:t>为进一步强化政府预算为民服务的理念，强化预算责任和效率话尽可能少的资金班尽可能多的实事，红彦镇预算绩效目标如下：强化预算支出责任和效率，因地制宜，改进预算管理，控制节约成本，提高公共产品质量和公共服务水平。</w:t>
      </w:r>
    </w:p>
    <w:p>
      <w:pPr>
        <w:autoSpaceDE w:val="0"/>
        <w:autoSpaceDN w:val="0"/>
        <w:adjustRightInd w:val="0"/>
        <w:spacing w:line="580" w:lineRule="exact"/>
        <w:ind w:firstLine="600"/>
        <w:rPr>
          <w:rFonts w:hint="eastAsia" w:ascii="仿宋_GB2312" w:eastAsia="仿宋_GB2312"/>
          <w:sz w:val="32"/>
          <w:szCs w:val="24"/>
        </w:rPr>
      </w:pPr>
      <w:r>
        <w:rPr>
          <w:rFonts w:hint="eastAsia" w:ascii="仿宋_GB2312" w:eastAsia="仿宋_GB2312"/>
          <w:sz w:val="32"/>
          <w:szCs w:val="24"/>
        </w:rPr>
        <w:t>根据红彦镇预决算对比情况来看，红彦镇预算执行情况良好，各款项收支管理清晰，为民服务成果显著。</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b/>
          <w:color w:val="auto"/>
          <w:kern w:val="0"/>
          <w:sz w:val="32"/>
          <w:szCs w:val="24"/>
        </w:rPr>
        <w:t>第三部分 名词解释</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（一）财政拨款收入：指本年度从本级财政部门取得的财政拨款，包括一般公共预算财政拨款、政府性基金预算财政拨款和国有资本经营预算财政拨款。</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（二）事业收入：指事业单位开展专业业务活动及其辅助活动取得的收入；事业单位收到的财政专户实际核拨的教育收费等资金。</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（三）经营收入：指事业单位在专业业务活动及其辅助活动之外开展非独立核算经营活动取得的收入。</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（五）使用非财政拨款结余：指事业单位使用以前年度积累的非财政拨款结余弥补当年收支差额的金额。</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（六）年初结转和结余：指以前年度支出预算因客观条件变化未执行完毕、结转到本年度按有关规定继续使用的资金。</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（七）结余分配：指事业单位按照会计制度规定缴纳的所得税以及从非财政拨款结余中提取的职工福利基金、事业基金等。</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（八）年末结转和结余：指单位本年度或以前年度预算安排、因客观条件发生变化未全部执行或未执行，结转到以后年度继续使用的资金，或项目已完成等产生的结余资金。</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（九）基本支出：指为保障机构正常运转、完成日常工作任务而发生的人员经费和公用经费。其中：人员经费指政府收支分类经济科目中的</w:t>
      </w:r>
      <w:r>
        <w:rPr>
          <w:rFonts w:hint="default" w:eastAsia="Times New Roman"/>
          <w:color w:val="auto"/>
          <w:kern w:val="0"/>
          <w:sz w:val="32"/>
          <w:szCs w:val="24"/>
        </w:rPr>
        <w:t>“</w:t>
      </w:r>
      <w:r>
        <w:rPr>
          <w:rFonts w:hint="eastAsia" w:ascii="仿宋_GB2312" w:hAnsi="仿宋_GB2312" w:eastAsia="仿宋_GB2312"/>
          <w:color w:val="auto"/>
          <w:kern w:val="0"/>
          <w:sz w:val="32"/>
          <w:szCs w:val="24"/>
        </w:rPr>
        <w:t>工资福利支出</w:t>
      </w:r>
      <w:r>
        <w:rPr>
          <w:rFonts w:hint="default" w:eastAsia="Times New Roman"/>
          <w:color w:val="auto"/>
          <w:kern w:val="0"/>
          <w:sz w:val="32"/>
          <w:szCs w:val="24"/>
        </w:rPr>
        <w:t>”</w:t>
      </w:r>
      <w:r>
        <w:rPr>
          <w:rFonts w:hint="eastAsia" w:ascii="仿宋_GB2312" w:hAnsi="仿宋_GB2312" w:eastAsia="仿宋_GB2312"/>
          <w:color w:val="auto"/>
          <w:kern w:val="0"/>
          <w:sz w:val="32"/>
          <w:szCs w:val="24"/>
        </w:rPr>
        <w:t>和</w:t>
      </w:r>
      <w:r>
        <w:rPr>
          <w:rFonts w:hint="default" w:eastAsia="Times New Roman"/>
          <w:color w:val="auto"/>
          <w:kern w:val="0"/>
          <w:sz w:val="32"/>
          <w:szCs w:val="24"/>
        </w:rPr>
        <w:t>“</w:t>
      </w:r>
      <w:r>
        <w:rPr>
          <w:rFonts w:hint="eastAsia" w:ascii="仿宋_GB2312" w:hAnsi="仿宋_GB2312" w:eastAsia="仿宋_GB2312"/>
          <w:color w:val="auto"/>
          <w:kern w:val="0"/>
          <w:sz w:val="32"/>
          <w:szCs w:val="24"/>
        </w:rPr>
        <w:t>对个人和家庭的补助</w:t>
      </w:r>
      <w:r>
        <w:rPr>
          <w:rFonts w:hint="default" w:eastAsia="Times New Roman"/>
          <w:color w:val="auto"/>
          <w:kern w:val="0"/>
          <w:sz w:val="32"/>
          <w:szCs w:val="24"/>
        </w:rPr>
        <w:t>”</w:t>
      </w:r>
      <w:r>
        <w:rPr>
          <w:rFonts w:hint="eastAsia" w:ascii="仿宋_GB2312" w:hAnsi="仿宋_GB2312" w:eastAsia="仿宋_GB2312"/>
          <w:color w:val="auto"/>
          <w:kern w:val="0"/>
          <w:sz w:val="32"/>
          <w:szCs w:val="24"/>
        </w:rPr>
        <w:t>；公用经费指政府收支分类经济科目中除</w:t>
      </w:r>
      <w:r>
        <w:rPr>
          <w:rFonts w:hint="default" w:eastAsia="Times New Roman"/>
          <w:color w:val="auto"/>
          <w:kern w:val="0"/>
          <w:sz w:val="32"/>
          <w:szCs w:val="24"/>
        </w:rPr>
        <w:t>“</w:t>
      </w:r>
      <w:r>
        <w:rPr>
          <w:rFonts w:hint="eastAsia" w:ascii="仿宋_GB2312" w:hAnsi="仿宋_GB2312" w:eastAsia="仿宋_GB2312"/>
          <w:color w:val="auto"/>
          <w:kern w:val="0"/>
          <w:sz w:val="32"/>
          <w:szCs w:val="24"/>
        </w:rPr>
        <w:t>工资福利支出</w:t>
      </w:r>
      <w:r>
        <w:rPr>
          <w:rFonts w:hint="default" w:eastAsia="Times New Roman"/>
          <w:color w:val="auto"/>
          <w:kern w:val="0"/>
          <w:sz w:val="32"/>
          <w:szCs w:val="24"/>
        </w:rPr>
        <w:t>”</w:t>
      </w:r>
      <w:r>
        <w:rPr>
          <w:rFonts w:hint="eastAsia" w:ascii="仿宋_GB2312" w:hAnsi="仿宋_GB2312" w:eastAsia="仿宋_GB2312"/>
          <w:color w:val="auto"/>
          <w:kern w:val="0"/>
          <w:sz w:val="32"/>
          <w:szCs w:val="24"/>
        </w:rPr>
        <w:t>和</w:t>
      </w:r>
      <w:r>
        <w:rPr>
          <w:rFonts w:hint="default" w:eastAsia="Times New Roman"/>
          <w:color w:val="auto"/>
          <w:kern w:val="0"/>
          <w:sz w:val="32"/>
          <w:szCs w:val="24"/>
        </w:rPr>
        <w:t>“</w:t>
      </w:r>
      <w:r>
        <w:rPr>
          <w:rFonts w:hint="eastAsia" w:ascii="仿宋_GB2312" w:hAnsi="仿宋_GB2312" w:eastAsia="仿宋_GB2312"/>
          <w:color w:val="auto"/>
          <w:kern w:val="0"/>
          <w:sz w:val="32"/>
          <w:szCs w:val="24"/>
        </w:rPr>
        <w:t>对个人和家庭的补助</w:t>
      </w:r>
      <w:r>
        <w:rPr>
          <w:rFonts w:hint="default" w:eastAsia="Times New Roman"/>
          <w:color w:val="auto"/>
          <w:kern w:val="0"/>
          <w:sz w:val="32"/>
          <w:szCs w:val="24"/>
        </w:rPr>
        <w:t>”</w:t>
      </w:r>
      <w:r>
        <w:rPr>
          <w:rFonts w:hint="eastAsia" w:ascii="仿宋_GB2312" w:hAnsi="仿宋_GB2312" w:eastAsia="仿宋_GB2312"/>
          <w:color w:val="auto"/>
          <w:kern w:val="0"/>
          <w:sz w:val="32"/>
          <w:szCs w:val="24"/>
        </w:rPr>
        <w:t>外的其他支出。</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（十）项目支出：指在基本支出之外为完成特定任务和事业发展目标所发生的支出。</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（十一）经营支出：指事业单位在专业业务活动及其辅助活动之外开展非独立核算经营活动发生的支出。</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（十二）</w:t>
      </w:r>
      <w:r>
        <w:rPr>
          <w:rFonts w:hint="default" w:eastAsia="Times New Roman"/>
          <w:color w:val="auto"/>
          <w:kern w:val="0"/>
          <w:sz w:val="32"/>
          <w:szCs w:val="24"/>
        </w:rPr>
        <w:t>“</w:t>
      </w:r>
      <w:r>
        <w:rPr>
          <w:rFonts w:hint="eastAsia" w:ascii="仿宋_GB2312" w:hAnsi="仿宋_GB2312" w:eastAsia="仿宋_GB2312"/>
          <w:color w:val="auto"/>
          <w:kern w:val="0"/>
          <w:sz w:val="32"/>
          <w:szCs w:val="24"/>
        </w:rPr>
        <w:t>三公</w:t>
      </w:r>
      <w:r>
        <w:rPr>
          <w:rFonts w:hint="default" w:eastAsia="Times New Roman"/>
          <w:color w:val="auto"/>
          <w:kern w:val="0"/>
          <w:sz w:val="32"/>
          <w:szCs w:val="24"/>
        </w:rPr>
        <w:t>”</w:t>
      </w:r>
      <w:r>
        <w:rPr>
          <w:rFonts w:hint="eastAsia" w:ascii="仿宋_GB2312" w:hAnsi="仿宋_GB2312" w:eastAsia="仿宋_GB2312"/>
          <w:color w:val="auto"/>
          <w:kern w:val="0"/>
          <w:sz w:val="32"/>
          <w:szCs w:val="24"/>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十三）机关运行经费：指行政单位和参照公务员法管理的事业单位使用一般公共预算财政拨款安排的基本支出中的日常公用经费支出。未包含行政单位或参照公务员法管理事业单位的部门，参照此口径公开本部门的日常公用经费，并与预算公开保持一致。</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（十四）工资福利支出（支出经济分类科目类级）：反映单位开支的在职职工和编制外长期聘用人员的各类劳动报酬，以及为上述人员缴纳的各项社会保险费等。</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（十五）商品和服务支出（支出经济分类科目类级）：反映单位购买商品和服务的支出（不包括用于购置固定资产的支出、战略性和应急储备支出）。</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（十六）对个人和家庭的补助（支出经济分类科目类级）：反映用于对个人和家庭的补助支出。</w:t>
      </w:r>
    </w:p>
    <w:p>
      <w:pPr>
        <w:spacing w:before="100" w:after="100" w:line="580" w:lineRule="atLeast"/>
        <w:ind w:firstLine="600"/>
        <w:rPr>
          <w:rFonts w:hint="default" w:eastAsia="Times New Roman"/>
          <w:color w:val="auto"/>
          <w:kern w:val="0"/>
          <w:sz w:val="24"/>
          <w:szCs w:val="24"/>
        </w:rPr>
      </w:pPr>
      <w:r>
        <w:rPr>
          <w:rFonts w:hint="eastAsia" w:ascii="仿宋_GB2312" w:hAnsi="仿宋_GB2312" w:eastAsia="仿宋_GB2312"/>
          <w:color w:val="auto"/>
          <w:kern w:val="0"/>
          <w:sz w:val="32"/>
          <w:szCs w:val="24"/>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spacing w:before="100" w:after="100" w:line="580" w:lineRule="atLeast"/>
        <w:ind w:firstLine="600"/>
        <w:jc w:val="left"/>
        <w:rPr>
          <w:rFonts w:hint="default" w:eastAsia="Times New Roman"/>
          <w:color w:val="auto"/>
          <w:kern w:val="0"/>
          <w:sz w:val="24"/>
          <w:szCs w:val="24"/>
        </w:rPr>
      </w:pPr>
      <w:r>
        <w:rPr>
          <w:rFonts w:hint="default" w:eastAsia="Times New Roman"/>
          <w:color w:val="auto"/>
          <w:kern w:val="0"/>
          <w:sz w:val="32"/>
          <w:szCs w:val="24"/>
        </w:rPr>
        <w:t xml:space="preserve"> </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b/>
          <w:color w:val="auto"/>
          <w:kern w:val="0"/>
          <w:sz w:val="32"/>
          <w:szCs w:val="24"/>
        </w:rPr>
        <w:t>第四部分 决算公开联系方式及信息反馈渠道</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color w:val="auto"/>
          <w:kern w:val="0"/>
          <w:sz w:val="32"/>
          <w:szCs w:val="24"/>
        </w:rPr>
        <w:t>本单位决算公开信息反馈和联系方式：</w:t>
      </w:r>
    </w:p>
    <w:p>
      <w:pPr>
        <w:spacing w:before="100" w:after="100" w:line="580" w:lineRule="atLeast"/>
        <w:ind w:firstLine="600"/>
        <w:jc w:val="left"/>
        <w:rPr>
          <w:rFonts w:hint="default" w:eastAsia="Times New Roman"/>
          <w:color w:val="auto"/>
          <w:kern w:val="0"/>
          <w:sz w:val="24"/>
          <w:szCs w:val="24"/>
        </w:rPr>
      </w:pPr>
      <w:r>
        <w:rPr>
          <w:rFonts w:hint="eastAsia" w:ascii="仿宋_GB2312" w:hAnsi="仿宋_GB2312" w:eastAsia="仿宋_GB2312"/>
          <w:color w:val="auto"/>
          <w:kern w:val="0"/>
          <w:sz w:val="32"/>
          <w:szCs w:val="24"/>
        </w:rPr>
        <w:t>联系人：任爽娜</w:t>
      </w:r>
      <w:r>
        <w:rPr>
          <w:rFonts w:hint="eastAsia" w:ascii="仿宋_GB2312" w:hAnsi="仿宋_GB2312" w:eastAsia="仿宋_GB2312"/>
          <w:color w:val="FF0000"/>
          <w:kern w:val="0"/>
          <w:sz w:val="32"/>
          <w:szCs w:val="24"/>
        </w:rPr>
        <w:t xml:space="preserve"> </w:t>
      </w:r>
      <w:r>
        <w:rPr>
          <w:rFonts w:hint="default" w:eastAsia="Times New Roman"/>
          <w:color w:val="auto"/>
          <w:kern w:val="0"/>
          <w:sz w:val="32"/>
          <w:szCs w:val="24"/>
        </w:rPr>
        <w:t xml:space="preserve">   </w:t>
      </w:r>
      <w:r>
        <w:rPr>
          <w:rFonts w:hint="eastAsia" w:ascii="仿宋_GB2312" w:hAnsi="仿宋_GB2312" w:eastAsia="仿宋_GB2312"/>
          <w:color w:val="auto"/>
          <w:kern w:val="0"/>
          <w:sz w:val="32"/>
          <w:szCs w:val="24"/>
        </w:rPr>
        <w:t>联系电话：0470</w:t>
      </w:r>
      <w:r>
        <w:rPr>
          <w:rFonts w:hint="default" w:eastAsia="Times New Roman"/>
          <w:color w:val="auto"/>
          <w:kern w:val="0"/>
          <w:sz w:val="32"/>
          <w:szCs w:val="24"/>
        </w:rPr>
        <w:t>-</w:t>
      </w:r>
      <w:r>
        <w:rPr>
          <w:rFonts w:hint="eastAsia" w:ascii="仿宋_GB2312" w:hAnsi="仿宋_GB2312" w:eastAsia="仿宋_GB2312"/>
          <w:color w:val="auto"/>
          <w:kern w:val="0"/>
          <w:sz w:val="32"/>
          <w:szCs w:val="24"/>
        </w:rPr>
        <w:t>4833007</w:t>
      </w:r>
    </w:p>
    <w:p>
      <w:pPr>
        <w:jc w:val="left"/>
        <w:rPr>
          <w:rFonts w:hint="default" w:eastAsia="Times New Roman"/>
          <w:color w:val="auto"/>
          <w:kern w:val="0"/>
          <w:sz w:val="18"/>
          <w:szCs w:val="24"/>
          <w:lang w:val="zh-CN"/>
        </w:rPr>
      </w:pPr>
    </w:p>
    <w:p>
      <w:pPr>
        <w:jc w:val="left"/>
        <w:rPr>
          <w:rFonts w:hint="eastAsia" w:ascii="仿宋_GB2312" w:hAnsi="仿宋_GB2312" w:eastAsia="仿宋_GB2312"/>
          <w:b/>
          <w:color w:val="FF0000"/>
          <w:kern w:val="0"/>
          <w:sz w:val="44"/>
          <w:szCs w:val="24"/>
          <w:lang w:val="en-US"/>
        </w:rPr>
      </w:pPr>
    </w:p>
    <w:p>
      <w:pPr>
        <w:jc w:val="left"/>
        <w:rPr>
          <w:rFonts w:hint="default" w:eastAsia="Times New Roman"/>
          <w:b/>
          <w:color w:val="auto"/>
          <w:sz w:val="36"/>
          <w:szCs w:val="24"/>
          <w:lang w:val="en-US"/>
        </w:rPr>
      </w:pPr>
    </w:p>
    <w:sectPr>
      <w:pgSz w:w="12240" w:h="15840"/>
      <w:pgMar w:top="1440" w:right="1800" w:bottom="1440" w:left="180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120"/>
  <w:drawingGridVerticalSpacing w:val="120"/>
  <w:displayHorizontalDrawingGridEvery w:val="1"/>
  <w:displayVerticalDrawingGridEvery w:val="1"/>
  <w:doNotUseMarginsForDrawingGridOrigin w:val="1"/>
  <w:drawingGridHorizontalOrigin w:val="1701"/>
  <w:drawingGridVerticalOrigin w:val="1984"/>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lZjk3NzY4YTUzMTBhYmE5OTFjMzljNTk4ZDFkMDIifQ=="/>
  </w:docVars>
  <w:rsids>
    <w:rsidRoot w:val="00172A27"/>
    <w:rsid w:val="064B7EEF"/>
    <w:rsid w:val="476C62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qFormat="1" w:unhideWhenUsed="0" w:uiPriority="99" w:semiHidden="0" w:name="Closing"/>
    <w:lsdException w:qFormat="1" w:unhideWhenUsed="0" w:uiPriority="99" w:semiHidden="0" w:name="Signature"/>
    <w:lsdException w:uiPriority="99" w:semiHidden="0"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nhideWhenUsed="0" w:uiPriority="99" w:semiHidden="0"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nhideWhenUsed="0" w:uiPriority="99" w:semiHidden="0" w:name="Balloon Text"/>
    <w:lsdException w:qFormat="1" w:unhideWhenUsed="0" w:uiPriority="0" w:semiHidden="0" w:name="Table Grid"/>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uiPriority w:val="0"/>
    <w:pPr>
      <w:jc w:val="both"/>
    </w:pPr>
    <w:rPr>
      <w:rFonts w:hint="default" w:ascii="Times New Roman" w:hAnsi="Times New Roman" w:eastAsia="宋体" w:cs="Times New Roman"/>
      <w:kern w:val="2"/>
      <w:sz w:val="21"/>
      <w:szCs w:val="24"/>
    </w:rPr>
  </w:style>
  <w:style w:type="character" w:default="1" w:styleId="3">
    <w:name w:val="Default Paragraph Font"/>
    <w:unhideWhenUsed/>
    <w:uiPriority w:val="99"/>
    <w:rPr>
      <w:rFonts w:hint="default"/>
      <w:sz w:val="24"/>
      <w:szCs w:val="24"/>
    </w:rPr>
  </w:style>
  <w:style w:type="table" w:default="1" w:styleId="2">
    <w:name w:val="Normal Table"/>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4882</Words>
  <Characters>5365</Characters>
  <TotalTime>1</TotalTime>
  <ScaleCrop>false</ScaleCrop>
  <LinksUpToDate>false</LinksUpToDate>
  <CharactersWithSpaces>5405</CharactersWithSpaces>
  <Application>WPS Office_11.1.0.12598_F1E327BC-269C-435d-A152-05C5408002CA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2022-10-27T08:51:00Z</dcterms:created>
  <dc:creator>dell</dc:creator>
  <cp:lastModifiedBy>dell</cp:lastModifiedBy>
  <dcterms:modified xsi:type="dcterms:W3CDTF">2022-10-31T07:37:07Z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B7882897E0D14B91B0E9A4BCD6529ADC</vt:lpwstr>
  </property>
</Properties>
</file>