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before="100" w:after="100" w:line="580" w:lineRule="atLeast"/>
        <w:ind w:firstLine="600"/>
        <w:jc w:val="center"/>
        <w:rPr>
          <w:rFonts w:hint="default" w:eastAsia="Times New Roman"/>
          <w:sz w:val="24"/>
        </w:rPr>
      </w:pPr>
      <w:r>
        <w:rPr>
          <w:rFonts w:hint="default" w:eastAsia="Times New Roman"/>
          <w:b/>
          <w:sz w:val="36"/>
        </w:rPr>
        <w:t xml:space="preserve"> </w:t>
      </w:r>
    </w:p>
    <w:p>
      <w:pPr>
        <w:spacing w:before="100" w:after="100" w:line="580" w:lineRule="atLeast"/>
        <w:ind w:firstLine="600"/>
        <w:jc w:val="center"/>
        <w:rPr>
          <w:rFonts w:hint="default" w:eastAsia="Times New Roman"/>
          <w:b/>
          <w:sz w:val="36"/>
        </w:rPr>
      </w:pPr>
      <w:r>
        <w:rPr>
          <w:rFonts w:hint="default" w:eastAsia="Times New Roman"/>
          <w:b/>
          <w:sz w:val="36"/>
        </w:rPr>
        <w:t xml:space="preserve"> </w:t>
      </w:r>
    </w:p>
    <w:p>
      <w:pPr>
        <w:spacing w:before="100" w:after="100" w:line="580" w:lineRule="atLeast"/>
        <w:ind w:firstLine="600"/>
        <w:jc w:val="center"/>
        <w:rPr>
          <w:rFonts w:hint="default" w:eastAsia="Times New Roman"/>
          <w:b/>
          <w:sz w:val="36"/>
        </w:rPr>
      </w:pPr>
    </w:p>
    <w:p>
      <w:pPr>
        <w:spacing w:before="100" w:after="100" w:line="580" w:lineRule="atLeast"/>
        <w:ind w:firstLine="600"/>
        <w:jc w:val="center"/>
        <w:rPr>
          <w:rFonts w:hint="default" w:eastAsia="Times New Roman"/>
          <w:b/>
          <w:sz w:val="36"/>
        </w:rPr>
      </w:pPr>
    </w:p>
    <w:p>
      <w:pPr>
        <w:spacing w:before="100" w:after="100" w:line="580" w:lineRule="atLeast"/>
        <w:ind w:firstLine="600"/>
        <w:jc w:val="center"/>
        <w:rPr>
          <w:rFonts w:hint="default" w:eastAsia="Times New Roman"/>
          <w:sz w:val="24"/>
        </w:rPr>
      </w:pPr>
    </w:p>
    <w:p>
      <w:pPr>
        <w:spacing w:before="100" w:after="100" w:line="580" w:lineRule="atLeast"/>
        <w:ind w:firstLine="600"/>
        <w:jc w:val="center"/>
        <w:rPr>
          <w:rFonts w:hint="default" w:eastAsia="Times New Roman"/>
          <w:color w:val="auto"/>
          <w:sz w:val="24"/>
        </w:rPr>
      </w:pPr>
      <w:r>
        <w:rPr>
          <w:rFonts w:hint="default" w:eastAsia="Times New Roman"/>
          <w:b/>
          <w:color w:val="auto"/>
          <w:sz w:val="36"/>
        </w:rPr>
        <w:t xml:space="preserve"> </w:t>
      </w:r>
    </w:p>
    <w:p>
      <w:pPr>
        <w:spacing w:before="100" w:after="100"/>
        <w:ind w:firstLine="601"/>
        <w:jc w:val="center"/>
        <w:rPr>
          <w:rFonts w:hint="default" w:eastAsia="Times New Roman"/>
          <w:color w:val="auto"/>
          <w:sz w:val="24"/>
        </w:rPr>
      </w:pPr>
      <w:r>
        <w:rPr>
          <w:rFonts w:hint="eastAsia" w:ascii="仿宋_GB2312" w:hAnsi="仿宋_GB2312" w:eastAsia="仿宋_GB2312"/>
          <w:b/>
          <w:color w:val="auto"/>
          <w:sz w:val="44"/>
        </w:rPr>
        <w:t>内蒙古自治区呼伦贝尔市莫力达瓦达斡尔族自治旗统计局</w:t>
      </w:r>
    </w:p>
    <w:p>
      <w:pPr>
        <w:spacing w:before="100" w:after="100"/>
        <w:ind w:firstLine="601"/>
        <w:jc w:val="center"/>
        <w:rPr>
          <w:rFonts w:hint="default" w:eastAsia="Times New Roman"/>
          <w:color w:val="auto"/>
          <w:sz w:val="24"/>
        </w:rPr>
      </w:pPr>
      <w:r>
        <w:rPr>
          <w:rFonts w:hint="eastAsia" w:ascii="仿宋_GB2312" w:hAnsi="仿宋_GB2312" w:eastAsia="仿宋_GB2312"/>
          <w:b/>
          <w:color w:val="auto"/>
          <w:sz w:val="44"/>
        </w:rPr>
        <w:t>2021年度决算公开报告</w:t>
      </w:r>
    </w:p>
    <w:p>
      <w:pPr>
        <w:spacing w:before="100" w:after="100" w:line="580" w:lineRule="atLeast"/>
        <w:ind w:firstLine="600"/>
        <w:jc w:val="center"/>
        <w:rPr>
          <w:rFonts w:hint="default" w:eastAsia="Times New Roman"/>
          <w:color w:val="auto"/>
          <w:sz w:val="24"/>
        </w:rPr>
      </w:pPr>
      <w:r>
        <w:rPr>
          <w:rFonts w:hint="default" w:eastAsia="Times New Roman"/>
          <w:b/>
          <w:color w:val="auto"/>
          <w:sz w:val="36"/>
        </w:rPr>
        <w:t xml:space="preserve"> </w:t>
      </w:r>
    </w:p>
    <w:p>
      <w:pPr>
        <w:spacing w:before="100" w:after="100" w:line="580" w:lineRule="atLeast"/>
        <w:ind w:firstLine="600"/>
        <w:jc w:val="center"/>
        <w:rPr>
          <w:rFonts w:hint="default" w:eastAsia="Times New Roman"/>
          <w:color w:val="auto"/>
          <w:sz w:val="24"/>
        </w:rPr>
      </w:pPr>
      <w:r>
        <w:rPr>
          <w:rFonts w:hint="default" w:eastAsia="Times New Roman"/>
          <w:b/>
          <w:color w:val="auto"/>
          <w:sz w:val="36"/>
        </w:rPr>
        <w:t xml:space="preserve"> </w:t>
      </w:r>
    </w:p>
    <w:p>
      <w:pPr>
        <w:spacing w:before="100" w:after="100" w:line="580" w:lineRule="atLeast"/>
        <w:ind w:firstLine="600"/>
        <w:jc w:val="center"/>
        <w:rPr>
          <w:rFonts w:hint="default" w:eastAsia="Times New Roman"/>
          <w:color w:val="auto"/>
          <w:sz w:val="24"/>
        </w:rPr>
      </w:pPr>
      <w:r>
        <w:rPr>
          <w:rFonts w:hint="default" w:eastAsia="Times New Roman"/>
          <w:b/>
          <w:color w:val="auto"/>
          <w:sz w:val="36"/>
        </w:rPr>
        <w:t xml:space="preserve"> </w:t>
      </w:r>
    </w:p>
    <w:p>
      <w:pPr>
        <w:spacing w:before="100" w:after="100" w:line="580" w:lineRule="atLeast"/>
        <w:ind w:firstLine="600"/>
        <w:jc w:val="center"/>
        <w:rPr>
          <w:rFonts w:hint="default" w:eastAsia="Times New Roman"/>
          <w:color w:val="auto"/>
          <w:sz w:val="24"/>
        </w:rPr>
      </w:pPr>
      <w:r>
        <w:rPr>
          <w:rFonts w:hint="default" w:eastAsia="Times New Roman"/>
          <w:b/>
          <w:color w:val="auto"/>
          <w:sz w:val="36"/>
        </w:rPr>
        <w:t xml:space="preserve"> </w:t>
      </w:r>
    </w:p>
    <w:p>
      <w:pPr>
        <w:spacing w:before="100" w:after="100" w:line="580" w:lineRule="atLeast"/>
        <w:ind w:firstLine="600"/>
        <w:jc w:val="center"/>
        <w:rPr>
          <w:rFonts w:hint="default" w:eastAsia="Times New Roman"/>
          <w:color w:val="auto"/>
          <w:sz w:val="24"/>
        </w:rPr>
      </w:pPr>
      <w:r>
        <w:rPr>
          <w:rFonts w:hint="default" w:eastAsia="Times New Roman"/>
          <w:b/>
          <w:color w:val="auto"/>
          <w:sz w:val="36"/>
        </w:rPr>
        <w:t xml:space="preserve"> </w:t>
      </w:r>
    </w:p>
    <w:p>
      <w:pPr>
        <w:spacing w:before="100" w:after="100" w:line="580" w:lineRule="atLeast"/>
        <w:ind w:firstLine="600"/>
        <w:jc w:val="center"/>
        <w:rPr>
          <w:rFonts w:hint="default" w:eastAsia="Times New Roman"/>
          <w:color w:val="auto"/>
          <w:sz w:val="24"/>
        </w:rPr>
      </w:pPr>
      <w:r>
        <w:rPr>
          <w:rFonts w:hint="default" w:eastAsia="Times New Roman"/>
          <w:b/>
          <w:color w:val="auto"/>
          <w:sz w:val="36"/>
        </w:rPr>
        <w:t xml:space="preserve"> </w:t>
      </w:r>
    </w:p>
    <w:p>
      <w:pPr>
        <w:spacing w:before="100" w:after="100" w:line="580" w:lineRule="atLeast"/>
        <w:ind w:firstLine="600"/>
        <w:jc w:val="center"/>
        <w:rPr>
          <w:rFonts w:hint="default" w:eastAsia="Times New Roman"/>
          <w:color w:val="auto"/>
          <w:sz w:val="24"/>
        </w:rPr>
      </w:pPr>
      <w:r>
        <w:rPr>
          <w:rFonts w:hint="default" w:eastAsia="Times New Roman"/>
          <w:b/>
          <w:color w:val="auto"/>
          <w:sz w:val="36"/>
        </w:rPr>
        <w:t xml:space="preserve"> </w:t>
      </w:r>
    </w:p>
    <w:p>
      <w:pPr>
        <w:spacing w:before="100" w:after="100" w:line="580" w:lineRule="atLeast"/>
        <w:ind w:firstLine="600"/>
        <w:jc w:val="center"/>
        <w:rPr>
          <w:rFonts w:hint="default" w:eastAsia="Times New Roman"/>
          <w:color w:val="auto"/>
          <w:sz w:val="24"/>
        </w:rPr>
      </w:pPr>
      <w:r>
        <w:rPr>
          <w:rFonts w:hint="default" w:eastAsia="Times New Roman"/>
          <w:b/>
          <w:color w:val="auto"/>
          <w:sz w:val="36"/>
        </w:rPr>
        <w:t xml:space="preserve"> </w:t>
      </w:r>
    </w:p>
    <w:p>
      <w:pPr>
        <w:spacing w:before="100" w:after="100" w:line="580" w:lineRule="atLeast"/>
        <w:ind w:firstLine="600"/>
        <w:jc w:val="center"/>
        <w:rPr>
          <w:rFonts w:hint="default" w:eastAsia="Times New Roman"/>
          <w:color w:val="auto"/>
          <w:sz w:val="24"/>
        </w:rPr>
      </w:pPr>
      <w:r>
        <w:rPr>
          <w:rFonts w:hint="default" w:eastAsia="Times New Roman"/>
          <w:b/>
          <w:color w:val="auto"/>
          <w:sz w:val="36"/>
        </w:rPr>
        <w:t xml:space="preserve"> </w:t>
      </w:r>
    </w:p>
    <w:p>
      <w:pPr>
        <w:spacing w:before="100" w:after="100"/>
        <w:ind w:firstLine="601"/>
        <w:jc w:val="left"/>
        <w:rPr>
          <w:rFonts w:hint="default" w:eastAsia="Times New Roman"/>
          <w:color w:val="auto"/>
          <w:sz w:val="24"/>
        </w:rPr>
      </w:pPr>
      <w:r>
        <w:rPr>
          <w:rFonts w:hint="default" w:eastAsia="Times New Roman"/>
          <w:b/>
          <w:color w:val="auto"/>
          <w:sz w:val="44"/>
        </w:rPr>
        <w:t xml:space="preserve"> </w:t>
      </w:r>
    </w:p>
    <w:p>
      <w:pPr>
        <w:spacing w:before="100" w:after="100"/>
        <w:ind w:firstLine="601"/>
        <w:jc w:val="center"/>
        <w:rPr>
          <w:rFonts w:hint="default" w:eastAsia="Times New Roman"/>
          <w:color w:val="auto"/>
          <w:sz w:val="24"/>
        </w:rPr>
      </w:pPr>
      <w:r>
        <w:rPr>
          <w:rFonts w:hint="eastAsia" w:ascii="仿宋_GB2312" w:hAnsi="仿宋_GB2312" w:eastAsia="仿宋_GB2312"/>
          <w:b/>
          <w:color w:val="auto"/>
          <w:sz w:val="44"/>
        </w:rPr>
        <w:t>目录</w:t>
      </w:r>
    </w:p>
    <w:p>
      <w:pPr>
        <w:spacing w:before="100" w:after="100"/>
        <w:ind w:firstLine="601"/>
        <w:jc w:val="left"/>
        <w:rPr>
          <w:rFonts w:hint="default" w:eastAsia="Times New Roman"/>
          <w:color w:val="auto"/>
          <w:sz w:val="24"/>
        </w:rPr>
      </w:pPr>
      <w:r>
        <w:rPr>
          <w:rFonts w:hint="default" w:eastAsia="Times New Roman"/>
          <w:b/>
          <w:color w:val="auto"/>
          <w:sz w:val="44"/>
        </w:rPr>
        <w:t xml:space="preserve"> </w:t>
      </w:r>
    </w:p>
    <w:p>
      <w:pPr>
        <w:spacing w:before="100" w:after="100" w:line="580" w:lineRule="atLeast"/>
        <w:ind w:firstLine="601"/>
        <w:jc w:val="left"/>
        <w:rPr>
          <w:rFonts w:hint="default" w:eastAsia="Times New Roman"/>
          <w:color w:val="auto"/>
          <w:sz w:val="24"/>
        </w:rPr>
      </w:pPr>
      <w:r>
        <w:rPr>
          <w:rFonts w:hint="eastAsia" w:ascii="黑体" w:hAnsi="黑体" w:eastAsia="黑体"/>
          <w:b/>
          <w:color w:val="auto"/>
          <w:sz w:val="32"/>
        </w:rPr>
        <w:t>第一部分 部门基本情况</w:t>
      </w:r>
    </w:p>
    <w:p>
      <w:pPr>
        <w:spacing w:before="100" w:after="100" w:line="580" w:lineRule="atLeast"/>
        <w:ind w:firstLine="600"/>
        <w:jc w:val="left"/>
        <w:rPr>
          <w:rFonts w:hint="default" w:eastAsia="Times New Roman"/>
          <w:color w:val="auto"/>
          <w:sz w:val="24"/>
        </w:rPr>
      </w:pPr>
      <w:r>
        <w:rPr>
          <w:rFonts w:hint="eastAsia" w:ascii="仿宋_GB2312" w:hAnsi="仿宋_GB2312" w:eastAsia="仿宋_GB2312"/>
          <w:color w:val="auto"/>
          <w:sz w:val="32"/>
        </w:rPr>
        <w:t>一、主要职能职责</w:t>
      </w:r>
    </w:p>
    <w:p>
      <w:pPr>
        <w:spacing w:before="100" w:after="100" w:line="580" w:lineRule="atLeast"/>
        <w:ind w:firstLine="600"/>
        <w:jc w:val="left"/>
        <w:rPr>
          <w:rFonts w:hint="default" w:eastAsia="Times New Roman"/>
          <w:color w:val="auto"/>
          <w:sz w:val="24"/>
        </w:rPr>
      </w:pPr>
      <w:r>
        <w:rPr>
          <w:rFonts w:hint="eastAsia" w:ascii="仿宋_GB2312" w:hAnsi="仿宋_GB2312" w:eastAsia="仿宋_GB2312"/>
          <w:color w:val="auto"/>
          <w:sz w:val="32"/>
        </w:rPr>
        <w:t>二、部门（单位）机构设置及决算单位构成情况</w:t>
      </w:r>
    </w:p>
    <w:p>
      <w:pPr>
        <w:spacing w:before="100" w:after="100" w:line="580" w:lineRule="atLeast"/>
        <w:ind w:firstLine="601"/>
        <w:jc w:val="left"/>
        <w:rPr>
          <w:rFonts w:hint="default" w:eastAsia="Times New Roman"/>
          <w:color w:val="auto"/>
          <w:sz w:val="24"/>
        </w:rPr>
      </w:pPr>
      <w:r>
        <w:rPr>
          <w:rFonts w:hint="eastAsia" w:ascii="黑体" w:hAnsi="黑体" w:eastAsia="黑体"/>
          <w:b/>
          <w:color w:val="auto"/>
          <w:sz w:val="32"/>
        </w:rPr>
        <w:t>第二部分 2021年度部门决算情况说明</w:t>
      </w:r>
    </w:p>
    <w:p>
      <w:pPr>
        <w:spacing w:before="100" w:after="100" w:line="580" w:lineRule="atLeast"/>
        <w:ind w:firstLine="601"/>
        <w:jc w:val="left"/>
        <w:rPr>
          <w:rFonts w:hint="default" w:eastAsia="Times New Roman"/>
          <w:color w:val="auto"/>
          <w:sz w:val="24"/>
        </w:rPr>
      </w:pPr>
      <w:r>
        <w:rPr>
          <w:rFonts w:hint="eastAsia" w:ascii="仿宋_GB2312" w:hAnsi="仿宋_GB2312" w:eastAsia="仿宋_GB2312"/>
          <w:color w:val="auto"/>
          <w:sz w:val="32"/>
        </w:rPr>
        <w:t>一、关于2021年度预算执行情况分析</w:t>
      </w:r>
    </w:p>
    <w:p>
      <w:pPr>
        <w:spacing w:before="100" w:after="100" w:line="580" w:lineRule="atLeast"/>
        <w:ind w:firstLine="601"/>
        <w:jc w:val="left"/>
        <w:rPr>
          <w:rFonts w:hint="default" w:eastAsia="Times New Roman"/>
          <w:color w:val="auto"/>
          <w:sz w:val="24"/>
        </w:rPr>
      </w:pPr>
      <w:r>
        <w:rPr>
          <w:rFonts w:hint="eastAsia" w:ascii="仿宋_GB2312" w:hAnsi="仿宋_GB2312" w:eastAsia="仿宋_GB2312"/>
          <w:color w:val="auto"/>
          <w:sz w:val="32"/>
        </w:rPr>
        <w:t>二、关于2021年度决算情况说明</w:t>
      </w:r>
    </w:p>
    <w:p>
      <w:pPr>
        <w:spacing w:before="100" w:after="100" w:line="580" w:lineRule="atLeast"/>
        <w:ind w:firstLine="601"/>
        <w:jc w:val="left"/>
        <w:rPr>
          <w:rFonts w:hint="default" w:eastAsia="Times New Roman"/>
          <w:color w:val="auto"/>
          <w:sz w:val="24"/>
        </w:rPr>
      </w:pPr>
      <w:r>
        <w:rPr>
          <w:rFonts w:hint="eastAsia" w:ascii="仿宋_GB2312" w:hAnsi="仿宋_GB2312" w:eastAsia="仿宋_GB2312"/>
          <w:color w:val="auto"/>
          <w:sz w:val="32"/>
        </w:rPr>
        <w:t>（一）关于收支情况总体说明</w:t>
      </w:r>
    </w:p>
    <w:p>
      <w:pPr>
        <w:spacing w:before="100" w:after="100" w:line="580" w:lineRule="atLeast"/>
        <w:ind w:firstLine="601"/>
        <w:jc w:val="left"/>
        <w:rPr>
          <w:rFonts w:hint="default" w:eastAsia="Times New Roman"/>
          <w:color w:val="auto"/>
          <w:sz w:val="24"/>
        </w:rPr>
      </w:pPr>
      <w:r>
        <w:rPr>
          <w:rFonts w:hint="eastAsia" w:ascii="仿宋_GB2312" w:hAnsi="仿宋_GB2312" w:eastAsia="仿宋_GB2312"/>
          <w:color w:val="auto"/>
          <w:sz w:val="32"/>
        </w:rPr>
        <w:t>（二）关于2021年度收入决算情况说明</w:t>
      </w:r>
    </w:p>
    <w:p>
      <w:pPr>
        <w:spacing w:before="100" w:after="100" w:line="580" w:lineRule="atLeast"/>
        <w:ind w:firstLine="601"/>
        <w:jc w:val="left"/>
        <w:rPr>
          <w:rFonts w:hint="default" w:eastAsia="Times New Roman"/>
          <w:color w:val="auto"/>
          <w:sz w:val="24"/>
        </w:rPr>
      </w:pPr>
      <w:r>
        <w:rPr>
          <w:rFonts w:hint="eastAsia" w:ascii="仿宋_GB2312" w:hAnsi="仿宋_GB2312" w:eastAsia="仿宋_GB2312"/>
          <w:color w:val="auto"/>
          <w:sz w:val="32"/>
        </w:rPr>
        <w:t>（三）关于2021年度支出决算情况说明</w:t>
      </w:r>
    </w:p>
    <w:p>
      <w:pPr>
        <w:spacing w:before="100" w:after="100" w:line="580" w:lineRule="atLeast"/>
        <w:ind w:firstLine="601"/>
        <w:jc w:val="left"/>
        <w:rPr>
          <w:rFonts w:hint="default" w:eastAsia="Times New Roman"/>
          <w:color w:val="auto"/>
          <w:sz w:val="24"/>
        </w:rPr>
      </w:pPr>
      <w:r>
        <w:rPr>
          <w:rFonts w:hint="eastAsia" w:ascii="仿宋_GB2312" w:hAnsi="仿宋_GB2312" w:eastAsia="仿宋_GB2312"/>
          <w:color w:val="auto"/>
          <w:sz w:val="32"/>
        </w:rPr>
        <w:t>（四）关于2021年度财政拨款收入支出决算总体情况说明</w:t>
      </w:r>
    </w:p>
    <w:p>
      <w:pPr>
        <w:spacing w:before="100" w:after="100" w:line="580" w:lineRule="atLeast"/>
        <w:ind w:firstLine="601"/>
        <w:jc w:val="left"/>
        <w:rPr>
          <w:rFonts w:hint="default" w:eastAsia="Times New Roman"/>
          <w:color w:val="auto"/>
          <w:sz w:val="24"/>
        </w:rPr>
      </w:pPr>
      <w:r>
        <w:rPr>
          <w:rFonts w:hint="eastAsia" w:ascii="仿宋_GB2312" w:hAnsi="仿宋_GB2312" w:eastAsia="仿宋_GB2312"/>
          <w:color w:val="auto"/>
          <w:sz w:val="32"/>
        </w:rPr>
        <w:t>（五）关于2021年度一般公共预算财政拨款支出决算情况说明</w:t>
      </w:r>
    </w:p>
    <w:p>
      <w:pPr>
        <w:spacing w:before="100" w:after="100" w:line="580" w:lineRule="atLeast"/>
        <w:ind w:firstLine="601"/>
        <w:jc w:val="left"/>
        <w:rPr>
          <w:rFonts w:hint="default" w:eastAsia="Times New Roman"/>
          <w:color w:val="auto"/>
          <w:sz w:val="24"/>
        </w:rPr>
      </w:pPr>
      <w:r>
        <w:rPr>
          <w:rFonts w:hint="eastAsia" w:ascii="仿宋_GB2312" w:hAnsi="仿宋_GB2312" w:eastAsia="仿宋_GB2312"/>
          <w:color w:val="auto"/>
          <w:sz w:val="32"/>
        </w:rPr>
        <w:t>（六）关于2021年度一般公共预算财政拨款基本支出决算情况说明</w:t>
      </w:r>
    </w:p>
    <w:p>
      <w:pPr>
        <w:spacing w:before="100" w:after="100" w:line="580" w:lineRule="atLeast"/>
        <w:ind w:firstLine="601"/>
        <w:jc w:val="left"/>
        <w:rPr>
          <w:rFonts w:hint="default" w:eastAsia="Times New Roman"/>
          <w:color w:val="auto"/>
          <w:sz w:val="24"/>
        </w:rPr>
      </w:pPr>
      <w:r>
        <w:rPr>
          <w:rFonts w:hint="eastAsia" w:ascii="仿宋_GB2312" w:hAnsi="仿宋_GB2312" w:eastAsia="仿宋_GB2312"/>
          <w:color w:val="auto"/>
          <w:sz w:val="32"/>
        </w:rPr>
        <w:t>（七）关于2021年度财政拨款</w:t>
      </w:r>
      <w:r>
        <w:rPr>
          <w:rFonts w:hint="default" w:eastAsia="Times New Roman"/>
          <w:color w:val="auto"/>
          <w:sz w:val="32"/>
        </w:rPr>
        <w:t>“</w:t>
      </w:r>
      <w:r>
        <w:rPr>
          <w:rFonts w:hint="eastAsia" w:ascii="仿宋_GB2312" w:hAnsi="仿宋_GB2312" w:eastAsia="仿宋_GB2312"/>
          <w:color w:val="auto"/>
          <w:sz w:val="32"/>
        </w:rPr>
        <w:t>三公</w:t>
      </w:r>
      <w:r>
        <w:rPr>
          <w:rFonts w:hint="default" w:eastAsia="Times New Roman"/>
          <w:color w:val="auto"/>
          <w:sz w:val="32"/>
        </w:rPr>
        <w:t>”</w:t>
      </w:r>
      <w:r>
        <w:rPr>
          <w:rFonts w:hint="eastAsia" w:ascii="仿宋_GB2312" w:hAnsi="仿宋_GB2312" w:eastAsia="仿宋_GB2312"/>
          <w:color w:val="auto"/>
          <w:sz w:val="32"/>
        </w:rPr>
        <w:t>经费支出决算情况说明</w:t>
      </w:r>
    </w:p>
    <w:p>
      <w:pPr>
        <w:spacing w:before="100" w:after="100" w:line="580" w:lineRule="atLeast"/>
        <w:ind w:firstLine="601"/>
        <w:jc w:val="left"/>
        <w:rPr>
          <w:rFonts w:hint="default" w:eastAsia="Times New Roman"/>
          <w:color w:val="auto"/>
          <w:sz w:val="24"/>
        </w:rPr>
      </w:pPr>
      <w:r>
        <w:rPr>
          <w:rFonts w:hint="default" w:eastAsia="Times New Roman"/>
          <w:color w:val="auto"/>
          <w:sz w:val="32"/>
        </w:rPr>
        <w:t xml:space="preserve"> </w:t>
      </w:r>
      <w:r>
        <w:rPr>
          <w:rFonts w:hint="eastAsia" w:ascii="宋体" w:hAnsi="宋体"/>
          <w:color w:val="auto"/>
          <w:sz w:val="32"/>
        </w:rPr>
        <w:t xml:space="preserve"> </w:t>
      </w:r>
      <w:r>
        <w:rPr>
          <w:rFonts w:hint="eastAsia" w:ascii="仿宋_GB2312" w:hAnsi="仿宋_GB2312" w:eastAsia="仿宋_GB2312"/>
          <w:color w:val="auto"/>
          <w:sz w:val="32"/>
        </w:rPr>
        <w:t>1、财政拨款</w:t>
      </w:r>
      <w:r>
        <w:rPr>
          <w:rFonts w:hint="default" w:eastAsia="Times New Roman"/>
          <w:color w:val="auto"/>
          <w:sz w:val="32"/>
        </w:rPr>
        <w:t>“</w:t>
      </w:r>
      <w:r>
        <w:rPr>
          <w:rFonts w:hint="eastAsia" w:ascii="仿宋_GB2312" w:hAnsi="仿宋_GB2312" w:eastAsia="仿宋_GB2312"/>
          <w:color w:val="auto"/>
          <w:sz w:val="32"/>
        </w:rPr>
        <w:t>三公</w:t>
      </w:r>
      <w:r>
        <w:rPr>
          <w:rFonts w:hint="default" w:eastAsia="Times New Roman"/>
          <w:color w:val="auto"/>
          <w:sz w:val="32"/>
        </w:rPr>
        <w:t>”</w:t>
      </w:r>
      <w:r>
        <w:rPr>
          <w:rFonts w:hint="eastAsia" w:ascii="仿宋_GB2312" w:hAnsi="仿宋_GB2312" w:eastAsia="仿宋_GB2312"/>
          <w:color w:val="auto"/>
          <w:sz w:val="32"/>
        </w:rPr>
        <w:t>经费支出决算总体情况说明</w:t>
      </w:r>
    </w:p>
    <w:p>
      <w:pPr>
        <w:spacing w:before="100" w:after="100" w:line="580" w:lineRule="atLeast"/>
        <w:ind w:firstLine="601"/>
        <w:jc w:val="left"/>
        <w:rPr>
          <w:rFonts w:hint="default" w:eastAsia="Times New Roman"/>
          <w:color w:val="auto"/>
          <w:sz w:val="32"/>
        </w:rPr>
      </w:pPr>
      <w:r>
        <w:rPr>
          <w:rFonts w:hint="default" w:eastAsia="Times New Roman"/>
          <w:color w:val="auto"/>
          <w:sz w:val="32"/>
        </w:rPr>
        <w:t xml:space="preserve"> </w:t>
      </w:r>
      <w:r>
        <w:rPr>
          <w:rFonts w:hint="eastAsia" w:ascii="宋体" w:hAnsi="宋体"/>
          <w:color w:val="auto"/>
          <w:sz w:val="32"/>
        </w:rPr>
        <w:t xml:space="preserve"> </w:t>
      </w:r>
      <w:r>
        <w:rPr>
          <w:rFonts w:hint="eastAsia" w:ascii="仿宋_GB2312" w:hAnsi="仿宋_GB2312" w:eastAsia="仿宋_GB2312"/>
          <w:color w:val="auto"/>
          <w:sz w:val="32"/>
        </w:rPr>
        <w:t>2、财政拨款</w:t>
      </w:r>
      <w:r>
        <w:rPr>
          <w:rFonts w:hint="default" w:eastAsia="Times New Roman"/>
          <w:color w:val="auto"/>
          <w:sz w:val="32"/>
        </w:rPr>
        <w:t>“</w:t>
      </w:r>
      <w:r>
        <w:rPr>
          <w:rFonts w:hint="eastAsia" w:ascii="仿宋_GB2312" w:hAnsi="仿宋_GB2312" w:eastAsia="仿宋_GB2312"/>
          <w:color w:val="auto"/>
          <w:sz w:val="32"/>
        </w:rPr>
        <w:t>三公</w:t>
      </w:r>
      <w:r>
        <w:rPr>
          <w:rFonts w:hint="default" w:eastAsia="Times New Roman"/>
          <w:color w:val="auto"/>
          <w:sz w:val="32"/>
        </w:rPr>
        <w:t>”</w:t>
      </w:r>
      <w:r>
        <w:rPr>
          <w:rFonts w:hint="eastAsia" w:ascii="仿宋_GB2312" w:hAnsi="仿宋_GB2312" w:eastAsia="仿宋_GB2312"/>
          <w:color w:val="auto"/>
          <w:sz w:val="32"/>
        </w:rPr>
        <w:t>经费支出决算具体情况说明</w:t>
      </w:r>
    </w:p>
    <w:p>
      <w:pPr>
        <w:spacing w:before="100" w:after="100" w:line="580" w:lineRule="atLeast"/>
        <w:ind w:firstLine="601"/>
        <w:jc w:val="left"/>
        <w:rPr>
          <w:rFonts w:hint="default" w:eastAsia="Times New Roman"/>
          <w:color w:val="auto"/>
          <w:sz w:val="32"/>
        </w:rPr>
      </w:pPr>
      <w:r>
        <w:rPr>
          <w:rFonts w:hint="eastAsia" w:ascii="仿宋_GB2312" w:hAnsi="仿宋_GB2312" w:eastAsia="仿宋_GB2312"/>
          <w:color w:val="auto"/>
          <w:sz w:val="32"/>
        </w:rPr>
        <w:t>（八）关于2021年度政府性基金预算财政拨款支出决算情况说明</w:t>
      </w:r>
    </w:p>
    <w:p>
      <w:pPr>
        <w:spacing w:before="100" w:after="100" w:line="580" w:lineRule="atLeast"/>
        <w:ind w:firstLine="601"/>
        <w:jc w:val="left"/>
        <w:rPr>
          <w:rFonts w:hint="default" w:eastAsia="Times New Roman"/>
          <w:color w:val="auto"/>
          <w:sz w:val="32"/>
        </w:rPr>
      </w:pPr>
      <w:r>
        <w:rPr>
          <w:rFonts w:hint="eastAsia" w:ascii="仿宋_GB2312" w:hAnsi="仿宋_GB2312" w:eastAsia="仿宋_GB2312"/>
          <w:color w:val="auto"/>
          <w:sz w:val="32"/>
        </w:rPr>
        <w:t>（九）关于2021年度国有资本经营预算支出决算情况说明</w:t>
      </w:r>
    </w:p>
    <w:p>
      <w:pPr>
        <w:spacing w:before="100" w:after="100" w:line="580" w:lineRule="atLeast"/>
        <w:ind w:firstLine="601"/>
        <w:jc w:val="left"/>
        <w:rPr>
          <w:rFonts w:hint="default" w:eastAsia="Times New Roman"/>
          <w:color w:val="auto"/>
          <w:sz w:val="32"/>
        </w:rPr>
      </w:pPr>
      <w:r>
        <w:rPr>
          <w:rFonts w:hint="eastAsia" w:ascii="仿宋_GB2312" w:hAnsi="仿宋_GB2312" w:eastAsia="仿宋_GB2312"/>
          <w:color w:val="auto"/>
          <w:sz w:val="32"/>
        </w:rPr>
        <w:t>（十）关于2021年度项目支出决算情况说明</w:t>
      </w:r>
    </w:p>
    <w:p>
      <w:pPr>
        <w:spacing w:before="100" w:after="100" w:line="580" w:lineRule="atLeast"/>
        <w:ind w:firstLine="601"/>
        <w:jc w:val="left"/>
        <w:rPr>
          <w:rFonts w:hint="default" w:eastAsia="Times New Roman"/>
          <w:color w:val="auto"/>
          <w:sz w:val="32"/>
        </w:rPr>
      </w:pPr>
      <w:r>
        <w:rPr>
          <w:rFonts w:hint="eastAsia" w:ascii="仿宋_GB2312" w:hAnsi="仿宋_GB2312" w:eastAsia="仿宋_GB2312"/>
          <w:color w:val="auto"/>
          <w:sz w:val="32"/>
        </w:rPr>
        <w:t>（十一）政府采购支出情况</w:t>
      </w:r>
    </w:p>
    <w:p>
      <w:pPr>
        <w:spacing w:before="100" w:after="100" w:line="580" w:lineRule="atLeast"/>
        <w:ind w:firstLine="601"/>
        <w:jc w:val="left"/>
        <w:rPr>
          <w:rFonts w:hint="default" w:eastAsia="Times New Roman"/>
          <w:color w:val="auto"/>
          <w:sz w:val="32"/>
        </w:rPr>
      </w:pPr>
      <w:r>
        <w:rPr>
          <w:rFonts w:hint="eastAsia" w:ascii="仿宋_GB2312" w:hAnsi="仿宋_GB2312" w:eastAsia="仿宋_GB2312"/>
          <w:color w:val="auto"/>
          <w:sz w:val="32"/>
        </w:rPr>
        <w:t>（十二）机关运行经费支出情况</w:t>
      </w:r>
    </w:p>
    <w:p>
      <w:pPr>
        <w:spacing w:before="100" w:after="100" w:line="580" w:lineRule="atLeast"/>
        <w:ind w:firstLine="601"/>
        <w:jc w:val="left"/>
        <w:rPr>
          <w:rFonts w:hint="default" w:eastAsia="Times New Roman"/>
          <w:color w:val="auto"/>
          <w:sz w:val="32"/>
        </w:rPr>
      </w:pPr>
      <w:r>
        <w:rPr>
          <w:rFonts w:hint="eastAsia" w:ascii="仿宋_GB2312" w:hAnsi="仿宋_GB2312" w:eastAsia="仿宋_GB2312"/>
          <w:color w:val="auto"/>
          <w:sz w:val="32"/>
        </w:rPr>
        <w:t>（十三）国有资产占用情况</w:t>
      </w:r>
    </w:p>
    <w:p>
      <w:pPr>
        <w:spacing w:before="100" w:after="100" w:line="580" w:lineRule="atLeast"/>
        <w:ind w:firstLine="601"/>
        <w:jc w:val="left"/>
        <w:rPr>
          <w:rFonts w:hint="eastAsia" w:ascii="仿宋_GB2312" w:hAnsi="仿宋_GB2312" w:eastAsia="仿宋_GB2312"/>
          <w:color w:val="auto"/>
          <w:sz w:val="32"/>
        </w:rPr>
      </w:pPr>
      <w:r>
        <w:rPr>
          <w:rFonts w:hint="eastAsia" w:ascii="仿宋_GB2312" w:hAnsi="仿宋_GB2312" w:eastAsia="仿宋_GB2312"/>
          <w:color w:val="auto"/>
          <w:sz w:val="32"/>
        </w:rPr>
        <w:t>三、预算绩效评价工作开展情况</w:t>
      </w:r>
    </w:p>
    <w:p>
      <w:pPr>
        <w:spacing w:line="580" w:lineRule="exact"/>
        <w:ind w:firstLine="600"/>
        <w:rPr>
          <w:rFonts w:hint="default" w:eastAsia="Times New Roman"/>
          <w:color w:val="auto"/>
          <w:sz w:val="32"/>
        </w:rPr>
      </w:pPr>
      <w:r>
        <w:rPr>
          <w:rFonts w:hint="eastAsia" w:ascii="仿宋_GB2312" w:hAnsi="仿宋_GB2312" w:eastAsia="仿宋_GB2312"/>
          <w:color w:val="auto"/>
          <w:sz w:val="32"/>
        </w:rPr>
        <w:t>（一）预算绩效管理工作开展情况</w:t>
      </w:r>
    </w:p>
    <w:p>
      <w:pPr>
        <w:spacing w:line="580" w:lineRule="exact"/>
        <w:ind w:firstLine="600"/>
        <w:rPr>
          <w:rFonts w:hint="eastAsia" w:ascii="仿宋_GB2312" w:hAnsi="仿宋_GB2312" w:eastAsia="仿宋_GB2312"/>
          <w:color w:val="auto"/>
          <w:sz w:val="32"/>
        </w:rPr>
      </w:pPr>
      <w:r>
        <w:rPr>
          <w:rFonts w:hint="eastAsia" w:ascii="仿宋_GB2312" w:hAnsi="仿宋_GB2312" w:eastAsia="仿宋_GB2312"/>
          <w:color w:val="auto"/>
          <w:sz w:val="32"/>
        </w:rPr>
        <w:t>（二）部门决算中项目绩效自评结果</w:t>
      </w:r>
    </w:p>
    <w:p>
      <w:pPr>
        <w:spacing w:before="100" w:after="100" w:line="580" w:lineRule="atLeast"/>
        <w:ind w:firstLine="601"/>
        <w:jc w:val="left"/>
        <w:rPr>
          <w:rFonts w:hint="default" w:eastAsia="Times New Roman"/>
          <w:color w:val="auto"/>
          <w:kern w:val="0"/>
          <w:sz w:val="32"/>
        </w:rPr>
      </w:pPr>
      <w:r>
        <w:rPr>
          <w:rFonts w:hint="eastAsia" w:ascii="仿宋_GB2312" w:hAnsi="仿宋_GB2312" w:eastAsia="仿宋_GB2312"/>
          <w:color w:val="auto"/>
          <w:sz w:val="32"/>
        </w:rPr>
        <w:t>（三）部门评价项目绩效评价结果</w:t>
      </w:r>
    </w:p>
    <w:p>
      <w:pPr>
        <w:spacing w:before="100" w:after="100" w:line="580" w:lineRule="atLeast"/>
        <w:ind w:firstLine="601"/>
        <w:jc w:val="left"/>
        <w:rPr>
          <w:rFonts w:hint="default" w:eastAsia="Times New Roman"/>
          <w:color w:val="auto"/>
          <w:kern w:val="0"/>
          <w:sz w:val="24"/>
        </w:rPr>
      </w:pPr>
      <w:r>
        <w:rPr>
          <w:rFonts w:hint="default" w:eastAsia="Times New Roman"/>
          <w:color w:val="auto"/>
          <w:kern w:val="0"/>
          <w:sz w:val="32"/>
        </w:rPr>
        <w:t xml:space="preserve"> </w:t>
      </w:r>
    </w:p>
    <w:p>
      <w:pPr>
        <w:spacing w:before="100" w:after="100" w:line="580" w:lineRule="atLeast"/>
        <w:ind w:firstLine="601"/>
        <w:jc w:val="left"/>
        <w:rPr>
          <w:rFonts w:hint="default" w:eastAsia="Times New Roman"/>
          <w:color w:val="auto"/>
          <w:kern w:val="0"/>
          <w:sz w:val="24"/>
        </w:rPr>
      </w:pPr>
      <w:r>
        <w:rPr>
          <w:rFonts w:hint="eastAsia" w:ascii="黑体" w:hAnsi="黑体" w:eastAsia="黑体"/>
          <w:b/>
          <w:color w:val="auto"/>
          <w:kern w:val="0"/>
          <w:sz w:val="32"/>
        </w:rPr>
        <w:t>第三部分 名词解释</w:t>
      </w:r>
    </w:p>
    <w:p>
      <w:pPr>
        <w:spacing w:before="100" w:after="100" w:line="580" w:lineRule="atLeast"/>
        <w:ind w:firstLine="601"/>
        <w:jc w:val="left"/>
        <w:rPr>
          <w:rFonts w:hint="default" w:eastAsia="Times New Roman"/>
          <w:color w:val="auto"/>
          <w:kern w:val="0"/>
          <w:sz w:val="24"/>
        </w:rPr>
      </w:pPr>
      <w:r>
        <w:rPr>
          <w:rFonts w:hint="eastAsia" w:ascii="黑体" w:hAnsi="黑体" w:eastAsia="黑体"/>
          <w:b/>
          <w:color w:val="auto"/>
          <w:kern w:val="0"/>
          <w:sz w:val="32"/>
        </w:rPr>
        <w:t>第四部分 决算公开联系方式及信息反馈渠道</w:t>
      </w:r>
    </w:p>
    <w:p>
      <w:pPr>
        <w:spacing w:before="100" w:after="100" w:line="580" w:lineRule="atLeast"/>
        <w:ind w:firstLine="601"/>
        <w:jc w:val="left"/>
        <w:rPr>
          <w:rFonts w:hint="default" w:eastAsia="Times New Roman"/>
          <w:color w:val="auto"/>
          <w:kern w:val="0"/>
          <w:sz w:val="24"/>
        </w:rPr>
      </w:pPr>
      <w:r>
        <w:rPr>
          <w:rFonts w:hint="eastAsia" w:ascii="黑体" w:hAnsi="黑体" w:eastAsia="黑体"/>
          <w:b/>
          <w:color w:val="auto"/>
          <w:kern w:val="0"/>
          <w:sz w:val="32"/>
        </w:rPr>
        <w:t>第五部分 部门决算公开表</w:t>
      </w:r>
    </w:p>
    <w:p>
      <w:pPr>
        <w:spacing w:before="100" w:after="100" w:line="580" w:lineRule="atLeast"/>
        <w:ind w:firstLine="601"/>
        <w:jc w:val="left"/>
        <w:rPr>
          <w:rFonts w:hint="default" w:eastAsia="Times New Roman"/>
          <w:color w:val="auto"/>
          <w:kern w:val="0"/>
          <w:sz w:val="24"/>
        </w:rPr>
      </w:pPr>
      <w:r>
        <w:rPr>
          <w:rFonts w:hint="eastAsia" w:ascii="仿宋_GB2312" w:hAnsi="仿宋_GB2312" w:eastAsia="仿宋_GB2312"/>
          <w:color w:val="auto"/>
          <w:kern w:val="0"/>
          <w:sz w:val="32"/>
        </w:rPr>
        <w:t>一、收入支出决算总表</w:t>
      </w:r>
    </w:p>
    <w:p>
      <w:pPr>
        <w:spacing w:before="100" w:after="100" w:line="580" w:lineRule="atLeast"/>
        <w:ind w:firstLine="601"/>
        <w:jc w:val="left"/>
        <w:rPr>
          <w:rFonts w:hint="default" w:eastAsia="Times New Roman"/>
          <w:color w:val="auto"/>
          <w:kern w:val="0"/>
          <w:sz w:val="24"/>
        </w:rPr>
      </w:pPr>
      <w:r>
        <w:rPr>
          <w:rFonts w:hint="eastAsia" w:ascii="仿宋_GB2312" w:hAnsi="仿宋_GB2312" w:eastAsia="仿宋_GB2312"/>
          <w:color w:val="auto"/>
          <w:kern w:val="0"/>
          <w:sz w:val="32"/>
        </w:rPr>
        <w:t>二、收入决算表</w:t>
      </w:r>
    </w:p>
    <w:p>
      <w:pPr>
        <w:spacing w:before="100" w:after="100" w:line="580" w:lineRule="atLeast"/>
        <w:ind w:firstLine="601"/>
        <w:jc w:val="left"/>
        <w:rPr>
          <w:rFonts w:hint="default" w:eastAsia="Times New Roman"/>
          <w:color w:val="auto"/>
          <w:kern w:val="0"/>
          <w:sz w:val="24"/>
        </w:rPr>
      </w:pPr>
      <w:r>
        <w:rPr>
          <w:rFonts w:hint="eastAsia" w:ascii="仿宋_GB2312" w:hAnsi="仿宋_GB2312" w:eastAsia="仿宋_GB2312"/>
          <w:color w:val="auto"/>
          <w:kern w:val="0"/>
          <w:sz w:val="32"/>
        </w:rPr>
        <w:t>三、支出决算表</w:t>
      </w:r>
    </w:p>
    <w:p>
      <w:pPr>
        <w:spacing w:before="100" w:after="100" w:line="580" w:lineRule="atLeast"/>
        <w:ind w:firstLine="601"/>
        <w:jc w:val="left"/>
        <w:rPr>
          <w:rFonts w:hint="default" w:eastAsia="Times New Roman"/>
          <w:color w:val="auto"/>
          <w:kern w:val="0"/>
          <w:sz w:val="32"/>
        </w:rPr>
      </w:pPr>
      <w:r>
        <w:rPr>
          <w:rFonts w:hint="eastAsia" w:ascii="仿宋_GB2312" w:hAnsi="仿宋_GB2312" w:eastAsia="仿宋_GB2312"/>
          <w:color w:val="auto"/>
          <w:kern w:val="0"/>
          <w:sz w:val="32"/>
        </w:rPr>
        <w:t>四、财政拨款收入支出决算总表</w:t>
      </w:r>
    </w:p>
    <w:p>
      <w:pPr>
        <w:spacing w:before="100" w:after="100" w:line="580" w:lineRule="atLeast"/>
        <w:ind w:firstLine="601"/>
        <w:jc w:val="left"/>
        <w:rPr>
          <w:rFonts w:hint="default" w:eastAsia="Times New Roman"/>
          <w:color w:val="auto"/>
          <w:kern w:val="0"/>
          <w:sz w:val="32"/>
        </w:rPr>
      </w:pPr>
      <w:r>
        <w:rPr>
          <w:rFonts w:hint="eastAsia" w:ascii="仿宋_GB2312" w:hAnsi="仿宋_GB2312" w:eastAsia="仿宋_GB2312"/>
          <w:color w:val="auto"/>
          <w:kern w:val="0"/>
          <w:sz w:val="32"/>
        </w:rPr>
        <w:t>五、项目收入支出决算表</w:t>
      </w:r>
    </w:p>
    <w:p>
      <w:pPr>
        <w:spacing w:before="100" w:after="100" w:line="580" w:lineRule="atLeast"/>
        <w:ind w:firstLine="601"/>
        <w:jc w:val="left"/>
        <w:rPr>
          <w:rFonts w:hint="default" w:eastAsia="Times New Roman"/>
          <w:color w:val="auto"/>
          <w:kern w:val="0"/>
          <w:sz w:val="24"/>
        </w:rPr>
      </w:pPr>
      <w:r>
        <w:rPr>
          <w:rFonts w:hint="eastAsia" w:ascii="仿宋_GB2312" w:hAnsi="仿宋_GB2312" w:eastAsia="仿宋_GB2312"/>
          <w:color w:val="auto"/>
          <w:kern w:val="0"/>
          <w:sz w:val="32"/>
        </w:rPr>
        <w:t>六、一般公共预算财政拨款支出决算表</w:t>
      </w:r>
    </w:p>
    <w:p>
      <w:pPr>
        <w:spacing w:before="100" w:after="100" w:line="580" w:lineRule="atLeast"/>
        <w:ind w:firstLine="601"/>
        <w:jc w:val="left"/>
        <w:rPr>
          <w:rFonts w:hint="default" w:eastAsia="Times New Roman"/>
          <w:color w:val="auto"/>
          <w:kern w:val="0"/>
          <w:sz w:val="24"/>
        </w:rPr>
      </w:pPr>
      <w:r>
        <w:rPr>
          <w:rFonts w:hint="eastAsia" w:ascii="仿宋_GB2312" w:hAnsi="仿宋_GB2312" w:eastAsia="仿宋_GB2312"/>
          <w:color w:val="auto"/>
          <w:kern w:val="0"/>
          <w:sz w:val="32"/>
        </w:rPr>
        <w:t>七、一般公共预算财政拨款基本支出决算明细表</w:t>
      </w:r>
    </w:p>
    <w:p>
      <w:pPr>
        <w:spacing w:before="100" w:after="100" w:line="580" w:lineRule="atLeast"/>
        <w:ind w:firstLine="601"/>
        <w:jc w:val="left"/>
        <w:rPr>
          <w:rFonts w:hint="default" w:eastAsia="Times New Roman"/>
          <w:color w:val="auto"/>
          <w:kern w:val="0"/>
          <w:sz w:val="24"/>
        </w:rPr>
      </w:pPr>
      <w:r>
        <w:rPr>
          <w:rFonts w:hint="eastAsia" w:ascii="仿宋_GB2312" w:hAnsi="仿宋_GB2312" w:eastAsia="仿宋_GB2312"/>
          <w:color w:val="auto"/>
          <w:kern w:val="0"/>
          <w:sz w:val="32"/>
        </w:rPr>
        <w:t>八、政府性基金预算财政拨款收入支出决算表</w:t>
      </w:r>
    </w:p>
    <w:p>
      <w:pPr>
        <w:spacing w:before="100" w:after="100" w:line="580" w:lineRule="atLeast"/>
        <w:ind w:firstLine="601"/>
        <w:jc w:val="left"/>
        <w:rPr>
          <w:rFonts w:hint="default" w:eastAsia="Times New Roman"/>
          <w:color w:val="auto"/>
          <w:kern w:val="0"/>
          <w:sz w:val="24"/>
        </w:rPr>
      </w:pPr>
      <w:r>
        <w:rPr>
          <w:rFonts w:hint="eastAsia" w:ascii="仿宋_GB2312" w:hAnsi="仿宋_GB2312" w:eastAsia="仿宋_GB2312"/>
          <w:color w:val="auto"/>
          <w:kern w:val="0"/>
          <w:sz w:val="32"/>
        </w:rPr>
        <w:t>九、国有资本经营预算财政拨款收入支出决算表</w:t>
      </w:r>
    </w:p>
    <w:p>
      <w:pPr>
        <w:spacing w:before="100" w:after="100" w:line="580" w:lineRule="atLeast"/>
        <w:ind w:firstLine="601"/>
        <w:jc w:val="left"/>
        <w:rPr>
          <w:rFonts w:hint="default" w:eastAsia="Times New Roman"/>
          <w:color w:val="auto"/>
          <w:kern w:val="0"/>
          <w:sz w:val="32"/>
        </w:rPr>
      </w:pPr>
      <w:r>
        <w:rPr>
          <w:rFonts w:hint="eastAsia" w:ascii="仿宋_GB2312" w:hAnsi="仿宋_GB2312" w:eastAsia="仿宋_GB2312"/>
          <w:color w:val="auto"/>
          <w:kern w:val="0"/>
          <w:sz w:val="32"/>
        </w:rPr>
        <w:t>十、财政拨款</w:t>
      </w:r>
      <w:r>
        <w:rPr>
          <w:rFonts w:hint="default" w:eastAsia="Times New Roman"/>
          <w:color w:val="auto"/>
          <w:kern w:val="0"/>
          <w:sz w:val="32"/>
        </w:rPr>
        <w:t>“</w:t>
      </w:r>
      <w:r>
        <w:rPr>
          <w:rFonts w:hint="eastAsia" w:ascii="仿宋_GB2312" w:hAnsi="仿宋_GB2312" w:eastAsia="仿宋_GB2312"/>
          <w:color w:val="auto"/>
          <w:kern w:val="0"/>
          <w:sz w:val="32"/>
        </w:rPr>
        <w:t>三公</w:t>
      </w:r>
      <w:r>
        <w:rPr>
          <w:rFonts w:hint="default" w:eastAsia="Times New Roman"/>
          <w:color w:val="auto"/>
          <w:kern w:val="0"/>
          <w:sz w:val="32"/>
        </w:rPr>
        <w:t>”</w:t>
      </w:r>
      <w:r>
        <w:rPr>
          <w:rFonts w:hint="eastAsia" w:ascii="仿宋_GB2312" w:hAnsi="仿宋_GB2312" w:eastAsia="仿宋_GB2312"/>
          <w:color w:val="auto"/>
          <w:kern w:val="0"/>
          <w:sz w:val="32"/>
        </w:rPr>
        <w:t>经费支出决算表</w:t>
      </w:r>
    </w:p>
    <w:p>
      <w:pPr>
        <w:spacing w:before="100" w:after="100" w:line="580" w:lineRule="atLeast"/>
        <w:ind w:firstLine="601"/>
        <w:jc w:val="left"/>
        <w:rPr>
          <w:rFonts w:hint="default" w:eastAsia="Times New Roman"/>
          <w:color w:val="auto"/>
          <w:kern w:val="0"/>
          <w:sz w:val="24"/>
        </w:rPr>
      </w:pPr>
      <w:r>
        <w:rPr>
          <w:rFonts w:hint="eastAsia" w:ascii="仿宋_GB2312" w:hAnsi="仿宋_GB2312" w:eastAsia="仿宋_GB2312"/>
          <w:color w:val="auto"/>
          <w:kern w:val="0"/>
          <w:sz w:val="32"/>
        </w:rPr>
        <w:t>十一、机关运行经费支出、国有资产占用情况及政府采购支出信息表</w:t>
      </w:r>
    </w:p>
    <w:p>
      <w:pPr>
        <w:spacing w:before="100" w:after="100"/>
        <w:ind w:firstLine="601"/>
        <w:jc w:val="left"/>
        <w:rPr>
          <w:rFonts w:hint="default" w:eastAsia="Times New Roman"/>
          <w:color w:val="auto"/>
          <w:kern w:val="0"/>
          <w:sz w:val="24"/>
        </w:rPr>
      </w:pPr>
      <w:r>
        <w:rPr>
          <w:rFonts w:hint="default" w:eastAsia="Times New Roman"/>
          <w:b/>
          <w:color w:val="auto"/>
          <w:kern w:val="0"/>
          <w:sz w:val="44"/>
        </w:rPr>
        <w:t xml:space="preserve"> </w:t>
      </w:r>
    </w:p>
    <w:p>
      <w:pPr>
        <w:jc w:val="left"/>
        <w:rPr>
          <w:rFonts w:hint="eastAsia" w:ascii="宋体" w:hAnsi="宋体"/>
          <w:color w:val="auto"/>
          <w:kern w:val="0"/>
          <w:sz w:val="24"/>
        </w:rPr>
      </w:pPr>
      <w:r>
        <w:rPr>
          <w:rFonts w:hint="default" w:eastAsia="Times New Roman"/>
          <w:color w:val="auto"/>
          <w:kern w:val="0"/>
          <w:sz w:val="24"/>
        </w:rPr>
        <w:t xml:space="preserve"> </w:t>
      </w:r>
      <w:r>
        <w:rPr>
          <w:rFonts w:hint="eastAsia" w:ascii="宋体" w:hAnsi="宋体"/>
          <w:color w:val="auto"/>
          <w:kern w:val="0"/>
          <w:sz w:val="24"/>
        </w:rPr>
        <w:t xml:space="preserve"> </w:t>
      </w:r>
    </w:p>
    <w:p>
      <w:pPr>
        <w:spacing w:before="100" w:after="100" w:line="580" w:lineRule="atLeast"/>
        <w:ind w:firstLine="600"/>
        <w:jc w:val="left"/>
        <w:rPr>
          <w:rFonts w:hint="default" w:eastAsia="Times New Roman"/>
          <w:color w:val="auto"/>
          <w:kern w:val="0"/>
          <w:sz w:val="24"/>
        </w:rPr>
      </w:pPr>
      <w:r>
        <w:rPr>
          <w:rFonts w:hint="eastAsia" w:ascii="仿宋_GB2312" w:hAnsi="仿宋_GB2312" w:eastAsia="仿宋_GB2312"/>
          <w:b/>
          <w:color w:val="auto"/>
          <w:kern w:val="0"/>
          <w:sz w:val="32"/>
        </w:rPr>
        <w:t>第一部分 部门基本情况</w:t>
      </w:r>
    </w:p>
    <w:p>
      <w:pPr>
        <w:spacing w:before="100" w:after="100" w:line="580" w:lineRule="atLeast"/>
        <w:ind w:firstLine="600"/>
        <w:jc w:val="left"/>
        <w:rPr>
          <w:rFonts w:hint="default" w:eastAsia="Times New Roman"/>
          <w:color w:val="auto"/>
          <w:kern w:val="0"/>
          <w:sz w:val="24"/>
        </w:rPr>
      </w:pPr>
      <w:r>
        <w:rPr>
          <w:rFonts w:hint="eastAsia" w:ascii="仿宋_GB2312" w:hAnsi="仿宋_GB2312" w:eastAsia="仿宋_GB2312"/>
          <w:color w:val="auto"/>
          <w:kern w:val="0"/>
          <w:sz w:val="32"/>
        </w:rPr>
        <w:t>一、主要职能职责</w:t>
      </w:r>
    </w:p>
    <w:p>
      <w:pPr>
        <w:rPr>
          <w:rFonts w:hint="eastAsia" w:ascii="仿宋" w:hAnsi="仿宋" w:eastAsia="仿宋"/>
          <w:sz w:val="32"/>
        </w:rPr>
      </w:pPr>
      <w:r>
        <w:rPr>
          <w:rFonts w:hint="eastAsia" w:ascii="仿宋" w:hAnsi="仿宋" w:eastAsia="仿宋"/>
          <w:sz w:val="32"/>
        </w:rPr>
        <w:t>(一)部门职能</w:t>
      </w:r>
    </w:p>
    <w:p>
      <w:pPr>
        <w:ind w:firstLine="640" w:firstLineChars="200"/>
        <w:rPr>
          <w:rFonts w:hint="eastAsia" w:ascii="仿宋" w:hAnsi="仿宋" w:eastAsia="仿宋"/>
          <w:sz w:val="32"/>
          <w:lang w:val="en-US" w:eastAsia="zh-CN"/>
        </w:rPr>
      </w:pPr>
      <w:r>
        <w:rPr>
          <w:rFonts w:hint="eastAsia" w:ascii="仿宋" w:hAnsi="仿宋" w:eastAsia="仿宋"/>
          <w:sz w:val="32"/>
          <w:lang w:val="en-US" w:eastAsia="zh-CN"/>
        </w:rPr>
        <w:t>1、贯彻执行国家、自治区、市关于统计法律、法规、规章和统计制度、统计标准。制定全旗统计调查实施方案，监督检查统计法律、法规、规章和统计制度、统计标准的实施，查处各类统计违法案件。组织协调全旗统计工作。</w:t>
      </w:r>
    </w:p>
    <w:p>
      <w:pPr>
        <w:ind w:firstLine="640" w:firstLineChars="200"/>
        <w:rPr>
          <w:rFonts w:hint="eastAsia" w:ascii="仿宋" w:hAnsi="仿宋" w:eastAsia="仿宋"/>
          <w:sz w:val="32"/>
          <w:lang w:val="en-US" w:eastAsia="zh-CN"/>
        </w:rPr>
      </w:pPr>
      <w:r>
        <w:rPr>
          <w:rFonts w:hint="eastAsia" w:ascii="仿宋" w:hAnsi="仿宋" w:eastAsia="仿宋"/>
          <w:sz w:val="32"/>
          <w:lang w:val="en-US" w:eastAsia="zh-CN"/>
        </w:rPr>
        <w:t>2、负责全旗国民经济核算工作。贯彻执行国民经济核算体系，组织实施全旗国民经济核算制度和全旗投入产出调查，核算全旗地区生产总值，汇编国民经济核算资料。</w:t>
      </w:r>
    </w:p>
    <w:p>
      <w:pPr>
        <w:ind w:firstLine="640" w:firstLineChars="200"/>
        <w:rPr>
          <w:rFonts w:hint="eastAsia" w:ascii="仿宋" w:hAnsi="仿宋" w:eastAsia="仿宋"/>
          <w:sz w:val="32"/>
          <w:lang w:val="en-US" w:eastAsia="zh-CN"/>
        </w:rPr>
      </w:pPr>
      <w:r>
        <w:rPr>
          <w:rFonts w:hint="eastAsia" w:ascii="仿宋" w:hAnsi="仿宋" w:eastAsia="仿宋"/>
          <w:sz w:val="32"/>
          <w:lang w:val="en-US" w:eastAsia="zh-CN"/>
        </w:rPr>
        <w:t>3、负责全旗人口、经济、农业普查工作。组织实施全旗人口、经济、农业等重大旗情旗力普查。会同有关部门拟订重大旗情旗力的普查及专项调查计划、方案并组织实施。汇总、整理和提供有关旗情旗力方面的统计数据。</w:t>
      </w:r>
    </w:p>
    <w:p>
      <w:pPr>
        <w:ind w:firstLine="640" w:firstLineChars="200"/>
        <w:rPr>
          <w:rFonts w:hint="eastAsia" w:ascii="仿宋" w:hAnsi="仿宋" w:eastAsia="仿宋"/>
          <w:sz w:val="32"/>
          <w:lang w:val="en-US" w:eastAsia="zh-CN"/>
        </w:rPr>
      </w:pPr>
      <w:r>
        <w:rPr>
          <w:rFonts w:hint="eastAsia" w:ascii="仿宋" w:hAnsi="仿宋" w:eastAsia="仿宋"/>
          <w:sz w:val="32"/>
          <w:lang w:val="en-US" w:eastAsia="zh-CN"/>
        </w:rPr>
        <w:t>4、负责统计汇总和数据提供工作。组织实施农林牧渔业、工业、建筑业、服务业等全旗国民经济各行各业的统计调查。组织实施全旗能源、投资、商贸、科技、人口、劳动力、社会发展基本情况等统计调查。收集、汇总、整理和提供有关调查的统计数据。汇总、整理和提供旅游、交通运输、邮政、教育、卫生、社会保障、公共事业、资源等全旗性基本统计数据。</w:t>
      </w:r>
    </w:p>
    <w:p>
      <w:pPr>
        <w:ind w:firstLine="640" w:firstLineChars="200"/>
        <w:rPr>
          <w:rFonts w:hint="eastAsia" w:ascii="仿宋" w:hAnsi="仿宋" w:eastAsia="仿宋"/>
          <w:sz w:val="32"/>
          <w:lang w:val="en-US" w:eastAsia="zh-CN"/>
        </w:rPr>
      </w:pPr>
      <w:r>
        <w:rPr>
          <w:rFonts w:hint="eastAsia" w:ascii="仿宋" w:hAnsi="仿宋" w:eastAsia="仿宋"/>
          <w:sz w:val="32"/>
          <w:lang w:val="en-US" w:eastAsia="zh-CN"/>
        </w:rPr>
        <w:t>5、负责完成全旗城镇消费品价格调查、工业生产者价格调查以及城市社会经济综合调查工作。</w:t>
      </w:r>
    </w:p>
    <w:p>
      <w:pPr>
        <w:ind w:firstLine="640" w:firstLineChars="200"/>
        <w:rPr>
          <w:rFonts w:hint="eastAsia" w:ascii="仿宋" w:hAnsi="仿宋" w:eastAsia="仿宋"/>
          <w:sz w:val="32"/>
          <w:lang w:val="en-US" w:eastAsia="zh-CN"/>
        </w:rPr>
      </w:pPr>
      <w:r>
        <w:rPr>
          <w:rFonts w:hint="eastAsia" w:ascii="仿宋" w:hAnsi="仿宋" w:eastAsia="仿宋"/>
          <w:sz w:val="32"/>
          <w:lang w:val="en-US" w:eastAsia="zh-CN"/>
        </w:rPr>
        <w:t>6、负责统计信息化建设工作。负责建立、管理和维护全旗统计信息化系统。指导全旗统计报表数据处理，负责内网、外网统计数据和统计信息的审核、发布以及网络安全；负责全旗人口、经济、农业等大型普查的数据处理和建库工作。</w:t>
      </w:r>
    </w:p>
    <w:p>
      <w:pPr>
        <w:ind w:firstLine="640" w:firstLineChars="200"/>
        <w:rPr>
          <w:rFonts w:hint="eastAsia" w:ascii="仿宋" w:hAnsi="仿宋" w:eastAsia="仿宋"/>
          <w:sz w:val="32"/>
          <w:lang w:val="en-US" w:eastAsia="zh-CN"/>
        </w:rPr>
      </w:pPr>
      <w:r>
        <w:rPr>
          <w:rFonts w:hint="eastAsia" w:ascii="仿宋" w:hAnsi="仿宋" w:eastAsia="仿宋"/>
          <w:sz w:val="32"/>
          <w:lang w:val="en-US" w:eastAsia="zh-CN"/>
        </w:rPr>
        <w:t>7、负责基本统计信息发布工作。负责统一收集、核定、管理、公布全旗性基本统计资料，定期发布全旗国民经济和社会发展情况的统计信息。</w:t>
      </w:r>
    </w:p>
    <w:p>
      <w:pPr>
        <w:ind w:firstLine="640" w:firstLineChars="200"/>
        <w:rPr>
          <w:rFonts w:hint="eastAsia" w:ascii="仿宋" w:hAnsi="仿宋" w:eastAsia="仿宋"/>
          <w:sz w:val="32"/>
          <w:lang w:val="en-US" w:eastAsia="zh-CN"/>
        </w:rPr>
      </w:pPr>
      <w:r>
        <w:rPr>
          <w:rFonts w:hint="eastAsia" w:ascii="仿宋" w:hAnsi="仿宋" w:eastAsia="仿宋"/>
          <w:sz w:val="32"/>
          <w:lang w:val="en-US" w:eastAsia="zh-CN"/>
        </w:rPr>
        <w:t>8、负责统计监测监督工作。负责对全旗国民经济、社会发展、科技进步和资源环境等情况进行统计分析、统计监测和统计监督，向旗委、政府及有关部门提供统计信息和咨询建议。</w:t>
      </w:r>
    </w:p>
    <w:p>
      <w:pPr>
        <w:ind w:firstLine="640" w:firstLineChars="200"/>
        <w:rPr>
          <w:rFonts w:hint="eastAsia" w:ascii="仿宋" w:hAnsi="仿宋" w:eastAsia="仿宋"/>
          <w:sz w:val="32"/>
          <w:lang w:val="en-US" w:eastAsia="zh-CN"/>
        </w:rPr>
      </w:pPr>
      <w:r>
        <w:rPr>
          <w:rFonts w:hint="eastAsia" w:ascii="仿宋" w:hAnsi="仿宋" w:eastAsia="仿宋"/>
          <w:sz w:val="32"/>
          <w:lang w:val="en-US" w:eastAsia="zh-CN"/>
        </w:rPr>
        <w:t>9、负责统计项目管理工作。依法审批和备案旗有关部门统计调查项目，指导专业统计基础工作、统计基层业务基础建设，建立健全统计数据质量审核、监控和评估制度，开展对重要统计数据的审核、监控和评估工作。开展统计法制宣传和统计执法检查。</w:t>
      </w:r>
    </w:p>
    <w:p>
      <w:pPr>
        <w:ind w:firstLine="640" w:firstLineChars="200"/>
        <w:rPr>
          <w:rFonts w:hint="eastAsia" w:ascii="仿宋" w:hAnsi="仿宋" w:eastAsia="仿宋"/>
          <w:sz w:val="32"/>
          <w:lang w:val="en-US" w:eastAsia="zh-CN"/>
        </w:rPr>
      </w:pPr>
      <w:r>
        <w:rPr>
          <w:rFonts w:hint="eastAsia" w:ascii="仿宋" w:hAnsi="仿宋" w:eastAsia="仿宋"/>
          <w:sz w:val="32"/>
          <w:lang w:val="en-US" w:eastAsia="zh-CN"/>
        </w:rPr>
        <w:t>10、负责统计队伍建设工作。组织、指导全旗统计干部专业理论知识学习和更新知识、统计业务培训等工作。</w:t>
      </w:r>
    </w:p>
    <w:p>
      <w:pPr>
        <w:ind w:firstLine="640" w:firstLineChars="200"/>
        <w:rPr>
          <w:rFonts w:hint="eastAsia" w:ascii="仿宋" w:hAnsi="仿宋" w:eastAsia="仿宋"/>
          <w:sz w:val="32"/>
          <w:highlight w:val="yellow"/>
        </w:rPr>
      </w:pPr>
      <w:r>
        <w:rPr>
          <w:rFonts w:hint="eastAsia" w:ascii="仿宋" w:hAnsi="仿宋" w:eastAsia="仿宋"/>
          <w:sz w:val="32"/>
          <w:lang w:val="en-US" w:eastAsia="zh-CN"/>
        </w:rPr>
        <w:t>11、完成旗委、政府和上级业务部门交办的其他任务。</w:t>
      </w:r>
    </w:p>
    <w:p>
      <w:pPr>
        <w:rPr>
          <w:rFonts w:hint="eastAsia" w:ascii="仿宋" w:hAnsi="仿宋" w:eastAsia="仿宋"/>
          <w:sz w:val="32"/>
        </w:rPr>
      </w:pPr>
      <w:r>
        <w:rPr>
          <w:rFonts w:hint="eastAsia" w:ascii="仿宋" w:hAnsi="仿宋" w:eastAsia="仿宋"/>
          <w:sz w:val="32"/>
        </w:rPr>
        <w:t>(二)部门主要职责</w:t>
      </w:r>
    </w:p>
    <w:p>
      <w:pPr>
        <w:ind w:firstLine="640" w:firstLineChars="200"/>
        <w:rPr>
          <w:rFonts w:hint="eastAsia" w:ascii="仿宋" w:hAnsi="仿宋" w:eastAsia="仿宋"/>
          <w:sz w:val="32"/>
          <w:lang w:val="en-US" w:eastAsia="zh-CN"/>
        </w:rPr>
      </w:pPr>
      <w:r>
        <w:rPr>
          <w:rFonts w:hint="eastAsia" w:ascii="仿宋" w:hAnsi="仿宋" w:eastAsia="仿宋"/>
          <w:sz w:val="32"/>
          <w:lang w:val="en-US" w:eastAsia="zh-CN"/>
        </w:rPr>
        <w:t>1、办公室 负责机关日常运转和综合协调工作。负责综合性文稿起草、文件运转、信息宣传、内部督查、会务、安全、保密、机要、档案、财务、党务、人事、机构编制、业务培训、后勤保障、固定资产管理等政务事务性工作。制定机关工作制度。</w:t>
      </w:r>
    </w:p>
    <w:p>
      <w:pPr>
        <w:ind w:firstLine="640" w:firstLineChars="200"/>
        <w:rPr>
          <w:rFonts w:hint="eastAsia" w:ascii="仿宋" w:hAnsi="仿宋" w:eastAsia="仿宋"/>
          <w:sz w:val="32"/>
          <w:lang w:val="en-US" w:eastAsia="zh-CN"/>
        </w:rPr>
      </w:pPr>
      <w:r>
        <w:rPr>
          <w:rFonts w:hint="eastAsia" w:ascii="仿宋" w:hAnsi="仿宋" w:eastAsia="仿宋"/>
          <w:sz w:val="32"/>
          <w:lang w:val="en-US" w:eastAsia="zh-CN"/>
        </w:rPr>
        <w:t>2、国民经济综合核算股。负责对全旗国民经济运行状况进行统计监测和综合统计分析研究，提出宏观调控咨询建议。负责统计数据的搜集整理并定期发布，审核发布统计信息，撰写并发布年度国民经济和社会发展统计公报。承担旗委政府考核中的经济指标监测工作。负责舆情监测、应对处置工作。负责全旗地区生产总值、投入产出和资源环境核算。编制全旗自然资源资产负债表。负责国民经济核算。开展国民经济核算资料分析。</w:t>
      </w:r>
    </w:p>
    <w:p>
      <w:pPr>
        <w:ind w:firstLine="640" w:firstLineChars="200"/>
        <w:rPr>
          <w:rFonts w:hint="eastAsia" w:ascii="仿宋" w:hAnsi="仿宋" w:eastAsia="仿宋"/>
          <w:sz w:val="32"/>
          <w:lang w:val="en-US" w:eastAsia="zh-CN"/>
        </w:rPr>
      </w:pPr>
      <w:r>
        <w:rPr>
          <w:rFonts w:hint="eastAsia" w:ascii="仿宋" w:hAnsi="仿宋" w:eastAsia="仿宋"/>
          <w:sz w:val="32"/>
          <w:lang w:val="en-US" w:eastAsia="zh-CN"/>
        </w:rPr>
        <w:t>3、业务股。负责全旗固定资产投资、建筑业、房地产业统计调查。负责工业生产、财务、经营状况统计调查。负责工业企业联网直报。负责能源、批发和零售业、住宿和餐饮业行业发展变化、社会消费品零售总额、商业业态的统计调查。负责服务业、交通运输邮电软件业、互联网经济、社会发展基本情况统计调查和对妇女儿童“两个规划”执行情况的统计监测。负责文化产业和科技统计调查、1%人口抽样调查、年度人口变动抽样调查和劳动工资统计调查。负责全旗牧业年度畜牧业普查、县域社会经济统计、畜禽监测、粮食产量、农作物播种面积统计调查。负责对全旗消费品价格调查、工业生产者价格调查以及城市社会经济综合调查。收集、整理和提供有关调查数据。负责建立、管理和维护全旗统计信息化系统；指导全旗统计报表数据处理，负责内网、外网统计数据和统计信息的审核、发布以及网络安全；负责全旗人口、经济、农业等大型普查的数据处理和建库工作。</w:t>
      </w:r>
    </w:p>
    <w:p>
      <w:pPr>
        <w:ind w:firstLine="640" w:firstLineChars="200"/>
        <w:rPr>
          <w:rFonts w:hint="eastAsia" w:ascii="仿宋" w:hAnsi="仿宋" w:eastAsia="仿宋"/>
          <w:sz w:val="32"/>
          <w:lang w:val="en-US" w:eastAsia="zh-CN"/>
        </w:rPr>
      </w:pPr>
      <w:r>
        <w:rPr>
          <w:rFonts w:hint="eastAsia" w:ascii="仿宋" w:hAnsi="仿宋" w:eastAsia="仿宋"/>
          <w:sz w:val="32"/>
          <w:lang w:val="en-US" w:eastAsia="zh-CN"/>
        </w:rPr>
        <w:t>4、法制股。组织实施全旗统计工作的监督检查，受理、办理统计违法举报和查处统计违法案件。组织协调全旗统计基层业务基础建设工作。组织实施统计执法“双随机”抽查工作。依法监督涉外调查活动。组织开展统计法制宣传。审批和备案旗有关部门统计调查项目。承担行政复议、行政应诉、听证等法律事务，承担机关重大事项和规范性文件合法性审查工作。</w:t>
      </w:r>
    </w:p>
    <w:p>
      <w:pPr>
        <w:ind w:firstLine="640" w:firstLineChars="200"/>
        <w:rPr>
          <w:rFonts w:hint="eastAsia" w:ascii="仿宋" w:hAnsi="仿宋" w:eastAsia="仿宋"/>
          <w:sz w:val="32"/>
        </w:rPr>
      </w:pPr>
      <w:r>
        <w:rPr>
          <w:rFonts w:hint="eastAsia" w:ascii="仿宋" w:hAnsi="仿宋" w:eastAsia="仿宋"/>
          <w:sz w:val="32"/>
          <w:lang w:val="en-US" w:eastAsia="zh-CN"/>
        </w:rPr>
        <w:t>5、普查办公室。组织实施全旗人口、经济、农业等大型普查及经常性统计调查，收集、整理、出版普查资料，对普查数据质量进行检查和评估，撰写普查数据分析报告。负责对全旗基本单位名录库进行管理、更新、维护。</w:t>
      </w:r>
    </w:p>
    <w:p>
      <w:pPr>
        <w:spacing w:before="100" w:after="100" w:line="580" w:lineRule="atLeast"/>
        <w:ind w:firstLine="600"/>
        <w:jc w:val="left"/>
        <w:rPr>
          <w:rFonts w:hint="default" w:eastAsia="Times New Roman"/>
          <w:color w:val="auto"/>
          <w:kern w:val="0"/>
          <w:sz w:val="24"/>
        </w:rPr>
      </w:pPr>
      <w:r>
        <w:rPr>
          <w:rFonts w:hint="eastAsia" w:ascii="仿宋_GB2312" w:hAnsi="仿宋_GB2312" w:eastAsia="仿宋_GB2312"/>
          <w:color w:val="auto"/>
          <w:kern w:val="0"/>
          <w:sz w:val="32"/>
        </w:rPr>
        <w:t>二、单位机构设置及决算单位构成情况</w:t>
      </w:r>
    </w:p>
    <w:p>
      <w:pPr>
        <w:widowControl w:val="0"/>
        <w:numPr>
          <w:ilvl w:val="0"/>
          <w:numId w:val="0"/>
        </w:numPr>
        <w:ind w:firstLine="640" w:firstLineChars="200"/>
        <w:rPr>
          <w:rFonts w:hint="eastAsia" w:ascii="仿宋_GB2312" w:hAnsi="仿宋_GB2312" w:eastAsia="仿宋_GB2312"/>
          <w:color w:val="auto"/>
          <w:kern w:val="0"/>
          <w:sz w:val="32"/>
        </w:rPr>
      </w:pPr>
      <w:r>
        <w:rPr>
          <w:rFonts w:hint="eastAsia" w:ascii="仿宋_GB2312" w:hAnsi="仿宋_GB2312" w:eastAsia="仿宋_GB2312"/>
          <w:color w:val="auto"/>
          <w:kern w:val="0"/>
          <w:sz w:val="32"/>
        </w:rPr>
        <w:t>1.根据单位职责分工，本单位内设机构包括</w:t>
      </w:r>
      <w:r>
        <w:rPr>
          <w:rFonts w:hint="eastAsia" w:ascii="仿宋" w:hAnsi="仿宋" w:eastAsia="仿宋"/>
          <w:sz w:val="32"/>
        </w:rPr>
        <w:t>本级及下设独立预算单位共有</w:t>
      </w:r>
      <w:r>
        <w:rPr>
          <w:rFonts w:hint="eastAsia" w:ascii="仿宋" w:hAnsi="仿宋" w:eastAsia="仿宋"/>
          <w:sz w:val="32"/>
          <w:lang w:val="en-US" w:eastAsia="zh-CN"/>
        </w:rPr>
        <w:t>1</w:t>
      </w:r>
      <w:r>
        <w:rPr>
          <w:rFonts w:hint="eastAsia" w:ascii="仿宋" w:hAnsi="仿宋" w:eastAsia="仿宋"/>
          <w:sz w:val="32"/>
        </w:rPr>
        <w:t>家，其中:财政拨款的行政单位</w:t>
      </w:r>
      <w:r>
        <w:rPr>
          <w:rFonts w:hint="eastAsia" w:ascii="仿宋" w:hAnsi="仿宋" w:eastAsia="仿宋"/>
          <w:sz w:val="32"/>
          <w:lang w:val="en-US" w:eastAsia="zh-CN"/>
        </w:rPr>
        <w:t>1</w:t>
      </w:r>
      <w:r>
        <w:rPr>
          <w:rFonts w:hint="eastAsia" w:ascii="仿宋" w:hAnsi="仿宋" w:eastAsia="仿宋"/>
          <w:sz w:val="32"/>
        </w:rPr>
        <w:t>家，公益</w:t>
      </w:r>
      <w:r>
        <w:rPr>
          <w:rFonts w:hint="eastAsia" w:ascii="仿宋" w:hAnsi="仿宋" w:eastAsia="仿宋"/>
          <w:sz w:val="32"/>
          <w:lang w:val="en-US" w:eastAsia="zh-CN"/>
        </w:rPr>
        <w:t>一</w:t>
      </w:r>
      <w:r>
        <w:rPr>
          <w:rFonts w:hint="eastAsia" w:ascii="仿宋" w:hAnsi="仿宋" w:eastAsia="仿宋"/>
          <w:sz w:val="32"/>
        </w:rPr>
        <w:t>类事业单位为</w:t>
      </w:r>
      <w:r>
        <w:rPr>
          <w:rFonts w:hint="eastAsia" w:ascii="仿宋" w:hAnsi="仿宋" w:eastAsia="仿宋"/>
          <w:sz w:val="32"/>
          <w:lang w:val="en-US" w:eastAsia="zh-CN"/>
        </w:rPr>
        <w:t>2</w:t>
      </w:r>
      <w:r>
        <w:rPr>
          <w:rFonts w:hint="eastAsia" w:ascii="仿宋" w:hAnsi="仿宋" w:eastAsia="仿宋"/>
          <w:sz w:val="32"/>
        </w:rPr>
        <w:t>家</w:t>
      </w:r>
      <w:r>
        <w:rPr>
          <w:rFonts w:hint="eastAsia" w:ascii="仿宋" w:hAnsi="仿宋" w:eastAsia="仿宋"/>
          <w:sz w:val="32"/>
          <w:lang w:eastAsia="zh-CN"/>
        </w:rPr>
        <w:t>（</w:t>
      </w:r>
      <w:r>
        <w:rPr>
          <w:rFonts w:hint="eastAsia" w:ascii="仿宋" w:hAnsi="仿宋" w:eastAsia="仿宋"/>
          <w:sz w:val="32"/>
          <w:lang w:val="en-US" w:eastAsia="zh-CN"/>
        </w:rPr>
        <w:t>不独立核算</w:t>
      </w:r>
      <w:r>
        <w:rPr>
          <w:rFonts w:hint="eastAsia" w:ascii="仿宋" w:hAnsi="仿宋" w:eastAsia="仿宋"/>
          <w:sz w:val="32"/>
          <w:lang w:eastAsia="zh-CN"/>
        </w:rPr>
        <w:t>）</w:t>
      </w:r>
      <w:r>
        <w:rPr>
          <w:rFonts w:hint="eastAsia" w:ascii="仿宋" w:hAnsi="仿宋" w:eastAsia="仿宋"/>
          <w:sz w:val="32"/>
        </w:rPr>
        <w:t>。行政编制</w:t>
      </w:r>
      <w:r>
        <w:rPr>
          <w:rFonts w:hint="eastAsia" w:ascii="仿宋" w:hAnsi="仿宋" w:eastAsia="仿宋"/>
          <w:sz w:val="32"/>
          <w:lang w:val="en-US" w:eastAsia="zh-CN"/>
        </w:rPr>
        <w:t>数11</w:t>
      </w:r>
      <w:r>
        <w:rPr>
          <w:rFonts w:hint="eastAsia" w:ascii="仿宋" w:hAnsi="仿宋" w:eastAsia="仿宋"/>
          <w:sz w:val="32"/>
        </w:rPr>
        <w:t>，</w:t>
      </w:r>
      <w:r>
        <w:rPr>
          <w:rFonts w:hint="eastAsia" w:ascii="仿宋" w:hAnsi="仿宋" w:eastAsia="仿宋"/>
          <w:sz w:val="32"/>
          <w:lang w:val="en-US" w:eastAsia="zh-CN"/>
        </w:rPr>
        <w:t>参公编制6人，</w:t>
      </w:r>
      <w:r>
        <w:rPr>
          <w:rFonts w:hint="eastAsia" w:ascii="仿宋" w:hAnsi="仿宋" w:eastAsia="仿宋"/>
          <w:sz w:val="32"/>
        </w:rPr>
        <w:t>事业编制</w:t>
      </w:r>
      <w:r>
        <w:rPr>
          <w:rFonts w:hint="eastAsia" w:ascii="仿宋" w:hAnsi="仿宋" w:eastAsia="仿宋"/>
          <w:sz w:val="32"/>
          <w:lang w:val="en-US" w:eastAsia="zh-CN"/>
        </w:rPr>
        <w:t>数6</w:t>
      </w:r>
      <w:r>
        <w:rPr>
          <w:rFonts w:hint="eastAsia" w:ascii="仿宋" w:hAnsi="仿宋" w:eastAsia="仿宋"/>
          <w:sz w:val="32"/>
        </w:rPr>
        <w:t>，退休人员</w:t>
      </w:r>
      <w:r>
        <w:rPr>
          <w:rFonts w:hint="eastAsia" w:ascii="仿宋" w:hAnsi="仿宋" w:eastAsia="仿宋"/>
          <w:sz w:val="32"/>
          <w:lang w:val="en-US" w:eastAsia="zh-CN"/>
        </w:rPr>
        <w:t>14</w:t>
      </w:r>
      <w:r>
        <w:rPr>
          <w:rFonts w:hint="eastAsia" w:ascii="仿宋" w:hAnsi="仿宋" w:eastAsia="仿宋"/>
          <w:sz w:val="32"/>
        </w:rPr>
        <w:t>人。</w:t>
      </w:r>
      <w:r>
        <w:rPr>
          <w:rFonts w:hint="eastAsia" w:ascii="仿宋" w:hAnsi="仿宋" w:eastAsia="仿宋"/>
          <w:sz w:val="32"/>
          <w:lang w:val="en-US" w:eastAsia="zh-CN"/>
        </w:rPr>
        <w:t>2022</w:t>
      </w:r>
      <w:r>
        <w:rPr>
          <w:rFonts w:hint="eastAsia" w:ascii="仿宋" w:hAnsi="仿宋" w:eastAsia="仿宋"/>
          <w:sz w:val="32"/>
        </w:rPr>
        <w:t>年行政编制在岗人员</w:t>
      </w:r>
      <w:r>
        <w:rPr>
          <w:rFonts w:hint="eastAsia" w:ascii="仿宋" w:hAnsi="仿宋" w:eastAsia="仿宋"/>
          <w:sz w:val="32"/>
          <w:lang w:val="en-US" w:eastAsia="zh-CN"/>
        </w:rPr>
        <w:t>10</w:t>
      </w:r>
      <w:r>
        <w:rPr>
          <w:rFonts w:hint="eastAsia" w:ascii="仿宋" w:hAnsi="仿宋" w:eastAsia="仿宋"/>
          <w:sz w:val="32"/>
        </w:rPr>
        <w:t>人，事业编制在岗人员</w:t>
      </w:r>
      <w:r>
        <w:rPr>
          <w:rFonts w:hint="eastAsia" w:ascii="仿宋" w:hAnsi="仿宋" w:eastAsia="仿宋"/>
          <w:sz w:val="32"/>
          <w:lang w:val="en-US" w:eastAsia="zh-CN"/>
        </w:rPr>
        <w:t>5</w:t>
      </w:r>
      <w:r>
        <w:rPr>
          <w:rFonts w:hint="eastAsia" w:ascii="仿宋" w:hAnsi="仿宋" w:eastAsia="仿宋"/>
          <w:sz w:val="32"/>
        </w:rPr>
        <w:t>人，</w:t>
      </w:r>
      <w:r>
        <w:rPr>
          <w:rFonts w:hint="eastAsia" w:ascii="仿宋" w:hAnsi="仿宋" w:eastAsia="仿宋"/>
          <w:sz w:val="32"/>
          <w:lang w:val="en-US" w:eastAsia="zh-CN"/>
        </w:rPr>
        <w:t>工勤编制2人，</w:t>
      </w:r>
      <w:r>
        <w:rPr>
          <w:rFonts w:hint="eastAsia" w:ascii="仿宋" w:hAnsi="仿宋" w:eastAsia="仿宋"/>
          <w:sz w:val="32"/>
        </w:rPr>
        <w:t>退休人员</w:t>
      </w:r>
      <w:r>
        <w:rPr>
          <w:rFonts w:hint="eastAsia" w:ascii="仿宋" w:hAnsi="仿宋" w:eastAsia="仿宋"/>
          <w:sz w:val="32"/>
          <w:lang w:val="en-US" w:eastAsia="zh-CN"/>
        </w:rPr>
        <w:t>13</w:t>
      </w:r>
      <w:r>
        <w:rPr>
          <w:rFonts w:hint="eastAsia" w:ascii="仿宋" w:hAnsi="仿宋" w:eastAsia="仿宋"/>
          <w:sz w:val="32"/>
        </w:rPr>
        <w:t>人，实际在职人员为</w:t>
      </w:r>
      <w:r>
        <w:rPr>
          <w:rFonts w:hint="eastAsia" w:ascii="仿宋" w:hAnsi="仿宋" w:eastAsia="仿宋"/>
          <w:sz w:val="32"/>
          <w:lang w:val="en-US" w:eastAsia="zh-CN"/>
        </w:rPr>
        <w:t>16</w:t>
      </w:r>
      <w:r>
        <w:rPr>
          <w:rFonts w:hint="eastAsia" w:ascii="仿宋" w:hAnsi="仿宋" w:eastAsia="仿宋"/>
          <w:sz w:val="32"/>
        </w:rPr>
        <w:t>人</w:t>
      </w:r>
      <w:r>
        <w:rPr>
          <w:rFonts w:hint="eastAsia" w:ascii="仿宋_GB2312" w:hAnsi="仿宋_GB2312" w:eastAsia="仿宋_GB2312"/>
          <w:color w:val="auto"/>
          <w:kern w:val="0"/>
          <w:sz w:val="32"/>
        </w:rPr>
        <w:t>。本单位</w:t>
      </w:r>
      <w:r>
        <w:rPr>
          <w:rFonts w:hint="eastAsia" w:ascii="仿宋_GB2312" w:hAnsi="仿宋_GB2312" w:eastAsia="仿宋_GB2312"/>
          <w:color w:val="auto"/>
          <w:kern w:val="0"/>
          <w:sz w:val="32"/>
          <w:lang w:val="en-US" w:eastAsia="zh-CN"/>
        </w:rPr>
        <w:t>无</w:t>
      </w:r>
      <w:r>
        <w:rPr>
          <w:rFonts w:hint="eastAsia" w:ascii="仿宋_GB2312" w:hAnsi="仿宋_GB2312" w:eastAsia="仿宋_GB2312"/>
          <w:color w:val="auto"/>
          <w:kern w:val="0"/>
          <w:sz w:val="32"/>
        </w:rPr>
        <w:t>下属单位。</w:t>
      </w:r>
    </w:p>
    <w:p>
      <w:pPr>
        <w:numPr>
          <w:ilvl w:val="0"/>
          <w:numId w:val="0"/>
        </w:numPr>
        <w:spacing w:before="100" w:after="100" w:line="580" w:lineRule="atLeast"/>
        <w:ind w:firstLine="640" w:firstLineChars="200"/>
        <w:rPr>
          <w:rFonts w:hint="eastAsia" w:ascii="仿宋_GB2312" w:hAnsi="仿宋_GB2312" w:eastAsia="仿宋_GB2312"/>
          <w:color w:val="auto"/>
          <w:kern w:val="0"/>
          <w:sz w:val="32"/>
        </w:rPr>
      </w:pPr>
      <w:r>
        <w:rPr>
          <w:rFonts w:hint="eastAsia" w:ascii="仿宋_GB2312" w:hAnsi="仿宋_GB2312" w:eastAsia="仿宋_GB2312"/>
          <w:color w:val="auto"/>
          <w:kern w:val="0"/>
          <w:sz w:val="32"/>
          <w:lang w:val="en-US" w:eastAsia="zh-CN"/>
        </w:rPr>
        <w:t>2.</w:t>
      </w:r>
      <w:r>
        <w:rPr>
          <w:rFonts w:hint="eastAsia" w:ascii="仿宋_GB2312" w:hAnsi="仿宋_GB2312" w:eastAsia="仿宋_GB2312"/>
          <w:color w:val="auto"/>
          <w:kern w:val="0"/>
          <w:sz w:val="32"/>
        </w:rPr>
        <w:t>从决算单位构成看，纳入本部门2021年度部门汇总决算编制范围的预算单位共计</w:t>
      </w:r>
      <w:r>
        <w:rPr>
          <w:rFonts w:hint="eastAsia" w:ascii="仿宋_GB2312" w:hAnsi="仿宋_GB2312" w:eastAsia="仿宋_GB2312"/>
          <w:color w:val="auto"/>
          <w:kern w:val="0"/>
          <w:sz w:val="32"/>
          <w:lang w:val="en-US" w:eastAsia="zh-CN"/>
        </w:rPr>
        <w:t>1</w:t>
      </w:r>
      <w:r>
        <w:rPr>
          <w:rFonts w:hint="eastAsia" w:ascii="仿宋_GB2312" w:hAnsi="仿宋_GB2312" w:eastAsia="仿宋_GB2312"/>
          <w:color w:val="auto"/>
          <w:kern w:val="0"/>
          <w:sz w:val="32"/>
        </w:rPr>
        <w:t>家，详细情况见表：</w:t>
      </w:r>
    </w:p>
    <w:tbl>
      <w:tblPr>
        <w:tblStyle w:val="2"/>
        <w:tblW w:w="87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9"/>
        <w:gridCol w:w="4562"/>
        <w:gridCol w:w="3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9" w:type="dxa"/>
            <w:tcBorders>
              <w:top w:val="single" w:color="auto" w:sz="4" w:space="0"/>
              <w:left w:val="single" w:color="auto" w:sz="4" w:space="0"/>
              <w:bottom w:val="single" w:color="auto" w:sz="4" w:space="0"/>
              <w:right w:val="single" w:color="auto" w:sz="4" w:space="0"/>
              <w:tl2br w:val="nil"/>
              <w:tr2bl w:val="nil"/>
            </w:tcBorders>
            <w:vAlign w:val="top"/>
          </w:tcPr>
          <w:p>
            <w:pPr>
              <w:widowControl w:val="0"/>
              <w:numPr>
                <w:ilvl w:val="0"/>
                <w:numId w:val="0"/>
              </w:numPr>
              <w:rPr>
                <w:rFonts w:hint="eastAsia" w:ascii="仿宋" w:hAnsi="仿宋" w:eastAsia="仿宋"/>
                <w:sz w:val="32"/>
                <w:lang w:val="en-US" w:eastAsia="zh-CN"/>
              </w:rPr>
            </w:pPr>
            <w:r>
              <w:rPr>
                <w:rFonts w:hint="eastAsia" w:ascii="仿宋" w:hAnsi="仿宋" w:eastAsia="仿宋"/>
                <w:sz w:val="32"/>
                <w:lang w:val="en-US" w:eastAsia="zh-CN"/>
              </w:rPr>
              <w:t>序号</w:t>
            </w:r>
          </w:p>
        </w:tc>
        <w:tc>
          <w:tcPr>
            <w:tcW w:w="4562" w:type="dxa"/>
            <w:tcBorders>
              <w:top w:val="single" w:color="auto" w:sz="4" w:space="0"/>
              <w:left w:val="single" w:color="auto" w:sz="4" w:space="0"/>
              <w:bottom w:val="single" w:color="auto" w:sz="4" w:space="0"/>
              <w:right w:val="single" w:color="auto" w:sz="4" w:space="0"/>
              <w:tl2br w:val="nil"/>
              <w:tr2bl w:val="nil"/>
            </w:tcBorders>
            <w:vAlign w:val="top"/>
          </w:tcPr>
          <w:p>
            <w:pPr>
              <w:widowControl w:val="0"/>
              <w:numPr>
                <w:ilvl w:val="0"/>
                <w:numId w:val="0"/>
              </w:numPr>
              <w:jc w:val="center"/>
              <w:rPr>
                <w:rFonts w:hint="eastAsia" w:ascii="仿宋" w:hAnsi="仿宋" w:eastAsia="仿宋"/>
                <w:sz w:val="32"/>
                <w:lang w:val="en-US" w:eastAsia="zh-CN"/>
              </w:rPr>
            </w:pPr>
            <w:r>
              <w:rPr>
                <w:rFonts w:hint="eastAsia" w:ascii="仿宋" w:hAnsi="仿宋" w:eastAsia="仿宋"/>
                <w:sz w:val="32"/>
                <w:lang w:val="en-US" w:eastAsia="zh-CN"/>
              </w:rPr>
              <w:t>单位名称</w:t>
            </w:r>
          </w:p>
        </w:tc>
        <w:tc>
          <w:tcPr>
            <w:tcW w:w="3105" w:type="dxa"/>
            <w:tcBorders>
              <w:top w:val="single" w:color="auto" w:sz="4" w:space="0"/>
              <w:left w:val="single" w:color="auto" w:sz="4" w:space="0"/>
              <w:bottom w:val="single" w:color="auto" w:sz="4" w:space="0"/>
              <w:right w:val="single" w:color="auto" w:sz="4" w:space="0"/>
              <w:tl2br w:val="nil"/>
              <w:tr2bl w:val="nil"/>
            </w:tcBorders>
            <w:vAlign w:val="top"/>
          </w:tcPr>
          <w:p>
            <w:pPr>
              <w:widowControl w:val="0"/>
              <w:numPr>
                <w:ilvl w:val="0"/>
                <w:numId w:val="0"/>
              </w:numPr>
              <w:jc w:val="center"/>
              <w:rPr>
                <w:rFonts w:hint="eastAsia" w:ascii="仿宋" w:hAnsi="仿宋" w:eastAsia="仿宋"/>
                <w:sz w:val="32"/>
                <w:lang w:val="en-US" w:eastAsia="zh-CN"/>
              </w:rPr>
            </w:pPr>
            <w:r>
              <w:rPr>
                <w:rFonts w:hint="eastAsia" w:ascii="仿宋" w:hAnsi="仿宋" w:eastAsia="仿宋"/>
                <w:sz w:val="32"/>
                <w:lang w:val="en-US" w:eastAsia="zh-CN"/>
              </w:rPr>
              <w:t>单位性质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9" w:type="dxa"/>
            <w:tcBorders>
              <w:top w:val="single" w:color="auto" w:sz="4" w:space="0"/>
              <w:left w:val="single" w:color="auto" w:sz="4" w:space="0"/>
              <w:bottom w:val="single" w:color="auto" w:sz="4" w:space="0"/>
              <w:right w:val="single" w:color="auto" w:sz="4" w:space="0"/>
              <w:tl2br w:val="nil"/>
              <w:tr2bl w:val="nil"/>
            </w:tcBorders>
            <w:vAlign w:val="top"/>
          </w:tcPr>
          <w:p>
            <w:pPr>
              <w:widowControl w:val="0"/>
              <w:numPr>
                <w:ilvl w:val="0"/>
                <w:numId w:val="0"/>
              </w:numPr>
              <w:rPr>
                <w:rFonts w:hint="eastAsia" w:ascii="仿宋" w:hAnsi="仿宋" w:eastAsia="仿宋"/>
                <w:sz w:val="32"/>
                <w:lang w:val="en-US" w:eastAsia="zh-CN"/>
              </w:rPr>
            </w:pPr>
            <w:r>
              <w:rPr>
                <w:rFonts w:hint="eastAsia" w:ascii="仿宋" w:hAnsi="仿宋" w:eastAsia="仿宋"/>
                <w:sz w:val="32"/>
                <w:lang w:val="en-US" w:eastAsia="zh-CN"/>
              </w:rPr>
              <w:t>1</w:t>
            </w:r>
          </w:p>
        </w:tc>
        <w:tc>
          <w:tcPr>
            <w:tcW w:w="4562" w:type="dxa"/>
            <w:tcBorders>
              <w:top w:val="single" w:color="auto" w:sz="4" w:space="0"/>
              <w:left w:val="single" w:color="auto" w:sz="4" w:space="0"/>
              <w:bottom w:val="single" w:color="auto" w:sz="4" w:space="0"/>
              <w:right w:val="single" w:color="auto" w:sz="4" w:space="0"/>
              <w:tl2br w:val="nil"/>
              <w:tr2bl w:val="nil"/>
            </w:tcBorders>
            <w:vAlign w:val="top"/>
          </w:tcPr>
          <w:p>
            <w:pPr>
              <w:widowControl w:val="0"/>
              <w:numPr>
                <w:ilvl w:val="0"/>
                <w:numId w:val="0"/>
              </w:numPr>
              <w:rPr>
                <w:rFonts w:hint="eastAsia" w:ascii="仿宋" w:hAnsi="仿宋" w:eastAsia="仿宋"/>
                <w:sz w:val="32"/>
                <w:lang w:val="en-US" w:eastAsia="zh-CN"/>
              </w:rPr>
            </w:pPr>
            <w:r>
              <w:rPr>
                <w:rFonts w:hint="eastAsia" w:ascii="仿宋" w:hAnsi="仿宋" w:eastAsia="仿宋"/>
                <w:sz w:val="32"/>
                <w:lang w:val="en-US" w:eastAsia="zh-CN"/>
              </w:rPr>
              <w:t>莫旗统计局</w:t>
            </w:r>
          </w:p>
        </w:tc>
        <w:tc>
          <w:tcPr>
            <w:tcW w:w="3105" w:type="dxa"/>
            <w:tcBorders>
              <w:top w:val="single" w:color="auto" w:sz="4" w:space="0"/>
              <w:left w:val="single" w:color="auto" w:sz="4" w:space="0"/>
              <w:bottom w:val="single" w:color="auto" w:sz="4" w:space="0"/>
              <w:right w:val="single" w:color="auto" w:sz="4" w:space="0"/>
              <w:tl2br w:val="nil"/>
              <w:tr2bl w:val="nil"/>
            </w:tcBorders>
            <w:vAlign w:val="top"/>
          </w:tcPr>
          <w:p>
            <w:pPr>
              <w:widowControl w:val="0"/>
              <w:numPr>
                <w:ilvl w:val="0"/>
                <w:numId w:val="0"/>
              </w:numPr>
              <w:rPr>
                <w:rFonts w:hint="eastAsia" w:ascii="仿宋" w:hAnsi="仿宋" w:eastAsia="仿宋"/>
                <w:sz w:val="32"/>
                <w:lang w:val="en-US" w:eastAsia="zh-CN"/>
              </w:rPr>
            </w:pPr>
            <w:r>
              <w:rPr>
                <w:rFonts w:hint="eastAsia" w:ascii="仿宋" w:hAnsi="仿宋" w:eastAsia="仿宋"/>
                <w:sz w:val="32"/>
                <w:lang w:val="en-US" w:eastAsia="zh-CN"/>
              </w:rPr>
              <w:t>行政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9" w:type="dxa"/>
            <w:tcBorders>
              <w:top w:val="single" w:color="auto" w:sz="4" w:space="0"/>
              <w:left w:val="single" w:color="auto" w:sz="4" w:space="0"/>
              <w:bottom w:val="single" w:color="auto" w:sz="4" w:space="0"/>
              <w:right w:val="single" w:color="auto" w:sz="4" w:space="0"/>
              <w:tl2br w:val="nil"/>
              <w:tr2bl w:val="nil"/>
            </w:tcBorders>
            <w:vAlign w:val="top"/>
          </w:tcPr>
          <w:p>
            <w:pPr>
              <w:widowControl w:val="0"/>
              <w:numPr>
                <w:ilvl w:val="0"/>
                <w:numId w:val="0"/>
              </w:numPr>
              <w:rPr>
                <w:rFonts w:hint="eastAsia" w:ascii="仿宋" w:hAnsi="仿宋" w:eastAsia="仿宋"/>
                <w:sz w:val="32"/>
                <w:lang w:val="en-US" w:eastAsia="zh-CN"/>
              </w:rPr>
            </w:pPr>
            <w:r>
              <w:rPr>
                <w:rFonts w:hint="eastAsia" w:ascii="仿宋" w:hAnsi="仿宋" w:eastAsia="仿宋"/>
                <w:sz w:val="32"/>
                <w:lang w:val="en-US" w:eastAsia="zh-CN"/>
              </w:rPr>
              <w:t>2</w:t>
            </w:r>
          </w:p>
        </w:tc>
        <w:tc>
          <w:tcPr>
            <w:tcW w:w="4562" w:type="dxa"/>
            <w:tcBorders>
              <w:top w:val="single" w:color="auto" w:sz="4" w:space="0"/>
              <w:left w:val="single" w:color="auto" w:sz="4" w:space="0"/>
              <w:bottom w:val="single" w:color="auto" w:sz="4" w:space="0"/>
              <w:right w:val="single" w:color="auto" w:sz="4" w:space="0"/>
              <w:tl2br w:val="nil"/>
              <w:tr2bl w:val="nil"/>
            </w:tcBorders>
            <w:vAlign w:val="top"/>
          </w:tcPr>
          <w:p>
            <w:pPr>
              <w:widowControl w:val="0"/>
              <w:numPr>
                <w:ilvl w:val="0"/>
                <w:numId w:val="0"/>
              </w:numPr>
              <w:rPr>
                <w:rFonts w:hint="eastAsia" w:ascii="仿宋" w:hAnsi="仿宋" w:eastAsia="仿宋"/>
                <w:sz w:val="32"/>
                <w:lang w:val="en-US" w:eastAsia="zh-CN"/>
              </w:rPr>
            </w:pPr>
            <w:r>
              <w:rPr>
                <w:rFonts w:hint="eastAsia" w:ascii="仿宋" w:hAnsi="仿宋" w:eastAsia="仿宋"/>
                <w:sz w:val="32"/>
                <w:lang w:val="en-US" w:eastAsia="zh-CN"/>
              </w:rPr>
              <w:t>莫旗统计局城市抽样调查队</w:t>
            </w:r>
          </w:p>
        </w:tc>
        <w:tc>
          <w:tcPr>
            <w:tcW w:w="3105" w:type="dxa"/>
            <w:tcBorders>
              <w:top w:val="single" w:color="auto" w:sz="4" w:space="0"/>
              <w:left w:val="single" w:color="auto" w:sz="4" w:space="0"/>
              <w:bottom w:val="single" w:color="auto" w:sz="4" w:space="0"/>
              <w:right w:val="single" w:color="auto" w:sz="4" w:space="0"/>
              <w:tl2br w:val="nil"/>
              <w:tr2bl w:val="nil"/>
            </w:tcBorders>
            <w:vAlign w:val="top"/>
          </w:tcPr>
          <w:p>
            <w:pPr>
              <w:widowControl w:val="0"/>
              <w:numPr>
                <w:ilvl w:val="0"/>
                <w:numId w:val="0"/>
              </w:numPr>
              <w:rPr>
                <w:rFonts w:hint="eastAsia" w:ascii="仿宋" w:hAnsi="仿宋" w:eastAsia="仿宋"/>
                <w:sz w:val="32"/>
                <w:lang w:val="en-US" w:eastAsia="zh-CN"/>
              </w:rPr>
            </w:pPr>
            <w:r>
              <w:rPr>
                <w:rFonts w:hint="eastAsia" w:ascii="仿宋" w:hAnsi="仿宋" w:eastAsia="仿宋"/>
                <w:sz w:val="32"/>
                <w:lang w:val="en-US" w:eastAsia="zh-CN"/>
              </w:rPr>
              <w:t>事业（不独立核算）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9" w:type="dxa"/>
            <w:tcBorders>
              <w:top w:val="single" w:color="auto" w:sz="4" w:space="0"/>
              <w:left w:val="single" w:color="auto" w:sz="4" w:space="0"/>
              <w:bottom w:val="single" w:color="auto" w:sz="4" w:space="0"/>
              <w:right w:val="single" w:color="auto" w:sz="4" w:space="0"/>
              <w:tl2br w:val="nil"/>
              <w:tr2bl w:val="nil"/>
            </w:tcBorders>
            <w:vAlign w:val="top"/>
          </w:tcPr>
          <w:p>
            <w:pPr>
              <w:widowControl w:val="0"/>
              <w:numPr>
                <w:ilvl w:val="0"/>
                <w:numId w:val="0"/>
              </w:numPr>
              <w:rPr>
                <w:rFonts w:hint="eastAsia" w:ascii="仿宋" w:hAnsi="仿宋" w:eastAsia="仿宋"/>
                <w:sz w:val="32"/>
                <w:lang w:val="en-US" w:eastAsia="zh-CN"/>
              </w:rPr>
            </w:pPr>
            <w:r>
              <w:rPr>
                <w:rFonts w:hint="eastAsia" w:ascii="仿宋" w:hAnsi="仿宋" w:eastAsia="仿宋"/>
                <w:sz w:val="32"/>
                <w:lang w:val="en-US" w:eastAsia="zh-CN"/>
              </w:rPr>
              <w:t>3</w:t>
            </w:r>
          </w:p>
        </w:tc>
        <w:tc>
          <w:tcPr>
            <w:tcW w:w="4562" w:type="dxa"/>
            <w:tcBorders>
              <w:top w:val="single" w:color="auto" w:sz="4" w:space="0"/>
              <w:left w:val="single" w:color="auto" w:sz="4" w:space="0"/>
              <w:bottom w:val="single" w:color="auto" w:sz="4" w:space="0"/>
              <w:right w:val="single" w:color="auto" w:sz="4" w:space="0"/>
              <w:tl2br w:val="nil"/>
              <w:tr2bl w:val="nil"/>
            </w:tcBorders>
            <w:vAlign w:val="top"/>
          </w:tcPr>
          <w:p>
            <w:pPr>
              <w:widowControl w:val="0"/>
              <w:numPr>
                <w:ilvl w:val="0"/>
                <w:numId w:val="0"/>
              </w:numPr>
              <w:rPr>
                <w:rFonts w:hint="eastAsia" w:ascii="仿宋" w:hAnsi="仿宋" w:eastAsia="仿宋"/>
                <w:sz w:val="32"/>
                <w:lang w:val="en-US" w:eastAsia="zh-CN"/>
              </w:rPr>
            </w:pPr>
            <w:r>
              <w:rPr>
                <w:rFonts w:hint="eastAsia" w:ascii="仿宋" w:hAnsi="仿宋" w:eastAsia="仿宋"/>
                <w:sz w:val="32"/>
                <w:lang w:val="en-US" w:eastAsia="zh-CN"/>
              </w:rPr>
              <w:t>莫旗统计局数据管理中心</w:t>
            </w:r>
          </w:p>
        </w:tc>
        <w:tc>
          <w:tcPr>
            <w:tcW w:w="3105" w:type="dxa"/>
            <w:tcBorders>
              <w:top w:val="single" w:color="auto" w:sz="4" w:space="0"/>
              <w:left w:val="single" w:color="auto" w:sz="4" w:space="0"/>
              <w:bottom w:val="single" w:color="auto" w:sz="4" w:space="0"/>
              <w:right w:val="single" w:color="auto" w:sz="4" w:space="0"/>
              <w:tl2br w:val="nil"/>
              <w:tr2bl w:val="nil"/>
            </w:tcBorders>
            <w:vAlign w:val="top"/>
          </w:tcPr>
          <w:p>
            <w:pPr>
              <w:widowControl w:val="0"/>
              <w:numPr>
                <w:ilvl w:val="0"/>
                <w:numId w:val="0"/>
              </w:numPr>
              <w:rPr>
                <w:rFonts w:hint="eastAsia" w:ascii="仿宋" w:hAnsi="仿宋" w:eastAsia="仿宋"/>
                <w:sz w:val="32"/>
                <w:lang w:val="en-US" w:eastAsia="zh-CN"/>
              </w:rPr>
            </w:pPr>
            <w:r>
              <w:rPr>
                <w:rFonts w:hint="eastAsia" w:ascii="仿宋" w:hAnsi="仿宋" w:eastAsia="仿宋"/>
                <w:sz w:val="32"/>
                <w:lang w:val="en-US" w:eastAsia="zh-CN"/>
              </w:rPr>
              <w:t>事业（不独立核算）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9" w:type="dxa"/>
            <w:tcBorders>
              <w:top w:val="single" w:color="auto" w:sz="4" w:space="0"/>
              <w:left w:val="single" w:color="auto" w:sz="4" w:space="0"/>
              <w:bottom w:val="single" w:color="auto" w:sz="4" w:space="0"/>
              <w:right w:val="single" w:color="auto" w:sz="4" w:space="0"/>
              <w:tl2br w:val="nil"/>
              <w:tr2bl w:val="nil"/>
            </w:tcBorders>
            <w:vAlign w:val="top"/>
          </w:tcPr>
          <w:p>
            <w:pPr>
              <w:widowControl w:val="0"/>
              <w:numPr>
                <w:ilvl w:val="0"/>
                <w:numId w:val="0"/>
              </w:numPr>
              <w:rPr>
                <w:rFonts w:hint="eastAsia" w:ascii="仿宋" w:hAnsi="仿宋" w:eastAsia="仿宋"/>
                <w:sz w:val="32"/>
                <w:lang w:val="en-US" w:eastAsia="zh-CN"/>
              </w:rPr>
            </w:pPr>
            <w:r>
              <w:rPr>
                <w:rFonts w:hint="eastAsia" w:ascii="仿宋" w:hAnsi="仿宋" w:eastAsia="仿宋"/>
                <w:sz w:val="32"/>
                <w:lang w:val="en-US" w:eastAsia="zh-CN"/>
              </w:rPr>
              <w:t>....</w:t>
            </w:r>
          </w:p>
        </w:tc>
        <w:tc>
          <w:tcPr>
            <w:tcW w:w="4562" w:type="dxa"/>
            <w:tcBorders>
              <w:top w:val="single" w:color="auto" w:sz="4" w:space="0"/>
              <w:left w:val="single" w:color="auto" w:sz="4" w:space="0"/>
              <w:bottom w:val="single" w:color="auto" w:sz="4" w:space="0"/>
              <w:right w:val="single" w:color="auto" w:sz="4" w:space="0"/>
              <w:tl2br w:val="nil"/>
              <w:tr2bl w:val="nil"/>
            </w:tcBorders>
            <w:vAlign w:val="top"/>
          </w:tcPr>
          <w:p>
            <w:pPr>
              <w:widowControl w:val="0"/>
              <w:numPr>
                <w:ilvl w:val="0"/>
                <w:numId w:val="0"/>
              </w:numPr>
              <w:rPr>
                <w:rFonts w:hint="eastAsia" w:ascii="仿宋" w:hAnsi="仿宋" w:eastAsia="仿宋"/>
                <w:sz w:val="32"/>
              </w:rPr>
            </w:pPr>
          </w:p>
        </w:tc>
        <w:tc>
          <w:tcPr>
            <w:tcW w:w="3105" w:type="dxa"/>
            <w:tcBorders>
              <w:top w:val="single" w:color="auto" w:sz="4" w:space="0"/>
              <w:left w:val="single" w:color="auto" w:sz="4" w:space="0"/>
              <w:bottom w:val="single" w:color="auto" w:sz="4" w:space="0"/>
              <w:right w:val="single" w:color="auto" w:sz="4" w:space="0"/>
              <w:tl2br w:val="nil"/>
              <w:tr2bl w:val="nil"/>
            </w:tcBorders>
            <w:vAlign w:val="top"/>
          </w:tcPr>
          <w:p>
            <w:pPr>
              <w:widowControl w:val="0"/>
              <w:numPr>
                <w:ilvl w:val="0"/>
                <w:numId w:val="0"/>
              </w:numPr>
              <w:rPr>
                <w:rFonts w:hint="eastAsia" w:ascii="仿宋" w:hAnsi="仿宋" w:eastAsia="仿宋"/>
                <w:sz w:val="32"/>
              </w:rPr>
            </w:pPr>
          </w:p>
        </w:tc>
      </w:tr>
    </w:tbl>
    <w:p>
      <w:pPr>
        <w:spacing w:before="100" w:after="100" w:line="580" w:lineRule="atLeast"/>
        <w:rPr>
          <w:rFonts w:hint="default" w:eastAsia="Times New Roman"/>
          <w:color w:val="auto"/>
          <w:kern w:val="0"/>
          <w:sz w:val="32"/>
        </w:rPr>
      </w:pPr>
    </w:p>
    <w:p>
      <w:pPr>
        <w:spacing w:before="100" w:after="100" w:line="580" w:lineRule="atLeast"/>
        <w:ind w:firstLine="600"/>
        <w:jc w:val="left"/>
        <w:rPr>
          <w:rFonts w:hint="default" w:eastAsia="Times New Roman"/>
          <w:color w:val="auto"/>
          <w:kern w:val="0"/>
          <w:sz w:val="24"/>
        </w:rPr>
      </w:pPr>
      <w:r>
        <w:rPr>
          <w:rFonts w:hint="eastAsia" w:ascii="仿宋_GB2312" w:hAnsi="仿宋_GB2312" w:eastAsia="仿宋_GB2312"/>
          <w:b/>
          <w:color w:val="auto"/>
          <w:kern w:val="0"/>
          <w:sz w:val="32"/>
        </w:rPr>
        <w:t>第二部分 2021年度部门决算情况说明</w:t>
      </w:r>
    </w:p>
    <w:p>
      <w:pPr>
        <w:spacing w:before="100" w:after="100" w:line="580" w:lineRule="atLeast"/>
        <w:ind w:firstLine="600"/>
        <w:rPr>
          <w:rFonts w:hint="default" w:eastAsia="Times New Roman"/>
          <w:b/>
          <w:color w:val="auto"/>
          <w:kern w:val="0"/>
          <w:sz w:val="24"/>
        </w:rPr>
      </w:pPr>
      <w:r>
        <w:rPr>
          <w:rFonts w:hint="eastAsia" w:ascii="仿宋_GB2312" w:hAnsi="仿宋_GB2312" w:eastAsia="仿宋_GB2312"/>
          <w:b/>
          <w:color w:val="auto"/>
          <w:kern w:val="0"/>
          <w:sz w:val="32"/>
        </w:rPr>
        <w:t>一、关于2021年度预算执行情况分析</w:t>
      </w:r>
    </w:p>
    <w:p>
      <w:pPr>
        <w:spacing w:before="100" w:after="100" w:line="580" w:lineRule="atLeast"/>
        <w:ind w:firstLine="600"/>
        <w:rPr>
          <w:rFonts w:hint="eastAsia" w:ascii="仿宋" w:hAnsi="仿宋" w:eastAsia="仿宋"/>
          <w:color w:val="auto"/>
          <w:kern w:val="0"/>
          <w:sz w:val="32"/>
        </w:rPr>
      </w:pPr>
      <w:r>
        <w:rPr>
          <w:rFonts w:hint="eastAsia" w:ascii="仿宋" w:hAnsi="仿宋" w:eastAsia="仿宋"/>
          <w:color w:val="auto"/>
          <w:kern w:val="0"/>
          <w:sz w:val="32"/>
        </w:rPr>
        <w:t>2021年度收入、支出决算总计438</w:t>
      </w:r>
      <w:r>
        <w:rPr>
          <w:rFonts w:hint="eastAsia" w:ascii="仿宋" w:hAnsi="仿宋" w:eastAsia="仿宋"/>
          <w:color w:val="auto"/>
          <w:kern w:val="0"/>
          <w:sz w:val="32"/>
        </w:rPr>
        <w:t>万元。与年初预算相比，收、支总计增加106.34</w:t>
      </w:r>
      <w:r>
        <w:rPr>
          <w:rFonts w:hint="eastAsia" w:ascii="仿宋" w:hAnsi="仿宋" w:eastAsia="仿宋"/>
          <w:color w:val="auto"/>
          <w:kern w:val="0"/>
          <w:sz w:val="32"/>
        </w:rPr>
        <w:t>万元，增长32.06</w:t>
      </w:r>
      <w:r>
        <w:rPr>
          <w:rFonts w:hint="eastAsia" w:ascii="仿宋" w:hAnsi="仿宋" w:eastAsia="仿宋"/>
          <w:color w:val="auto"/>
          <w:kern w:val="0"/>
          <w:sz w:val="32"/>
        </w:rPr>
        <w:t>%，变动原因：</w:t>
      </w:r>
      <w:r>
        <w:rPr>
          <w:rFonts w:hint="eastAsia" w:ascii="仿宋" w:hAnsi="仿宋" w:eastAsia="仿宋"/>
          <w:color w:val="auto"/>
          <w:kern w:val="0"/>
          <w:sz w:val="32"/>
          <w:lang w:val="en-US" w:eastAsia="zh-CN"/>
        </w:rPr>
        <w:t>人员经费有所增加，支付2020年没有支付的普查费用</w:t>
      </w:r>
      <w:r>
        <w:rPr>
          <w:rFonts w:hint="eastAsia" w:ascii="仿宋" w:hAnsi="仿宋" w:eastAsia="仿宋"/>
          <w:color w:val="auto"/>
          <w:kern w:val="0"/>
          <w:sz w:val="32"/>
        </w:rPr>
        <w:t>。</w:t>
      </w:r>
    </w:p>
    <w:p>
      <w:pPr>
        <w:spacing w:before="100" w:after="100" w:line="580" w:lineRule="atLeast"/>
        <w:ind w:firstLine="600"/>
        <w:rPr>
          <w:rFonts w:hint="eastAsia" w:ascii="仿宋" w:hAnsi="仿宋" w:eastAsia="仿宋"/>
          <w:color w:val="auto"/>
          <w:kern w:val="0"/>
          <w:sz w:val="32"/>
        </w:rPr>
      </w:pPr>
      <w:r>
        <w:rPr>
          <w:rFonts w:hint="eastAsia" w:ascii="仿宋" w:hAnsi="仿宋" w:eastAsia="仿宋"/>
          <w:color w:val="auto"/>
          <w:kern w:val="0"/>
          <w:sz w:val="32"/>
        </w:rPr>
        <w:t>2021年度财政拨款收入、支出决算总计438</w:t>
      </w:r>
      <w:r>
        <w:rPr>
          <w:rFonts w:hint="eastAsia" w:ascii="仿宋" w:hAnsi="仿宋" w:eastAsia="仿宋"/>
          <w:color w:val="auto"/>
          <w:kern w:val="0"/>
          <w:sz w:val="32"/>
        </w:rPr>
        <w:t>万元。与年初预算相比，收、支总计增加106.34</w:t>
      </w:r>
      <w:r>
        <w:rPr>
          <w:rFonts w:hint="eastAsia" w:ascii="仿宋" w:hAnsi="仿宋" w:eastAsia="仿宋"/>
          <w:color w:val="auto"/>
          <w:kern w:val="0"/>
          <w:sz w:val="32"/>
        </w:rPr>
        <w:t>万元，增长32.06</w:t>
      </w:r>
      <w:r>
        <w:rPr>
          <w:rFonts w:hint="eastAsia" w:ascii="仿宋" w:hAnsi="仿宋" w:eastAsia="仿宋"/>
          <w:color w:val="auto"/>
          <w:kern w:val="0"/>
          <w:sz w:val="32"/>
        </w:rPr>
        <w:t>%，变动原因：</w:t>
      </w:r>
      <w:r>
        <w:rPr>
          <w:rFonts w:hint="eastAsia" w:ascii="仿宋" w:hAnsi="仿宋" w:eastAsia="仿宋"/>
          <w:color w:val="auto"/>
          <w:kern w:val="0"/>
          <w:sz w:val="32"/>
          <w:lang w:val="en-US" w:eastAsia="zh-CN"/>
        </w:rPr>
        <w:t>人员经费有所增加，支付2020年没有支付的普查费用</w:t>
      </w:r>
      <w:r>
        <w:rPr>
          <w:rFonts w:hint="eastAsia" w:ascii="仿宋" w:hAnsi="仿宋" w:eastAsia="仿宋"/>
          <w:color w:val="auto"/>
          <w:kern w:val="0"/>
          <w:sz w:val="32"/>
        </w:rPr>
        <w:t>。</w:t>
      </w:r>
    </w:p>
    <w:p>
      <w:pPr>
        <w:spacing w:before="100" w:after="100" w:line="580" w:lineRule="atLeast"/>
        <w:ind w:firstLine="600"/>
        <w:rPr>
          <w:rFonts w:hint="default" w:eastAsia="Times New Roman"/>
          <w:b/>
          <w:color w:val="auto"/>
          <w:kern w:val="0"/>
          <w:sz w:val="24"/>
        </w:rPr>
      </w:pPr>
      <w:r>
        <w:rPr>
          <w:rFonts w:hint="eastAsia" w:ascii="仿宋_GB2312" w:hAnsi="仿宋_GB2312" w:eastAsia="仿宋_GB2312"/>
          <w:b/>
          <w:color w:val="auto"/>
          <w:kern w:val="0"/>
          <w:sz w:val="32"/>
        </w:rPr>
        <w:t>二、关于2021年度决算情况说明</w:t>
      </w:r>
    </w:p>
    <w:p>
      <w:pPr>
        <w:spacing w:before="100" w:after="100" w:line="580" w:lineRule="atLeast"/>
        <w:ind w:firstLine="600"/>
        <w:rPr>
          <w:rFonts w:hint="default" w:eastAsia="Times New Roman"/>
          <w:b/>
          <w:color w:val="auto"/>
          <w:kern w:val="0"/>
          <w:sz w:val="24"/>
        </w:rPr>
      </w:pPr>
      <w:r>
        <w:rPr>
          <w:rFonts w:hint="eastAsia" w:ascii="楷体" w:hAnsi="楷体" w:eastAsia="楷体"/>
          <w:b/>
          <w:color w:val="auto"/>
          <w:kern w:val="0"/>
          <w:sz w:val="32"/>
        </w:rPr>
        <w:t>（一）关于收支情况总体说明</w:t>
      </w:r>
    </w:p>
    <w:p>
      <w:pPr>
        <w:spacing w:before="100" w:after="100" w:line="580" w:lineRule="atLeast"/>
        <w:ind w:firstLine="600"/>
        <w:rPr>
          <w:rFonts w:hint="eastAsia" w:ascii="仿宋_GB2312" w:hAnsi="仿宋_GB2312" w:eastAsia="仿宋_GB2312"/>
          <w:color w:val="auto"/>
          <w:kern w:val="0"/>
          <w:sz w:val="32"/>
        </w:rPr>
      </w:pPr>
      <w:r>
        <w:rPr>
          <w:rFonts w:hint="eastAsia" w:ascii="仿宋_GB2312" w:hAnsi="仿宋_GB2312" w:eastAsia="仿宋_GB2312"/>
          <w:color w:val="auto"/>
          <w:kern w:val="0"/>
          <w:sz w:val="32"/>
        </w:rPr>
        <w:t>本部门2021年度收入总计438</w:t>
      </w:r>
      <w:r>
        <w:rPr>
          <w:rFonts w:hint="eastAsia" w:ascii="仿宋_GB2312" w:hAnsi="仿宋_GB2312" w:eastAsia="仿宋_GB2312"/>
          <w:color w:val="auto"/>
          <w:kern w:val="0"/>
          <w:sz w:val="32"/>
        </w:rPr>
        <w:t>万元，其中：本年收入合计336.27</w:t>
      </w:r>
      <w:r>
        <w:rPr>
          <w:rFonts w:hint="eastAsia" w:ascii="仿宋_GB2312" w:hAnsi="仿宋_GB2312" w:eastAsia="仿宋_GB2312"/>
          <w:color w:val="auto"/>
          <w:kern w:val="0"/>
          <w:sz w:val="32"/>
        </w:rPr>
        <w:t>万元，使用非财政拨款结余0</w:t>
      </w:r>
      <w:r>
        <w:rPr>
          <w:rFonts w:hint="eastAsia" w:ascii="仿宋_GB2312" w:hAnsi="仿宋_GB2312" w:eastAsia="仿宋_GB2312"/>
          <w:color w:val="auto"/>
          <w:kern w:val="0"/>
          <w:sz w:val="32"/>
        </w:rPr>
        <w:t>万元，年初结转和结余101.72</w:t>
      </w:r>
      <w:r>
        <w:rPr>
          <w:rFonts w:hint="eastAsia" w:ascii="仿宋_GB2312" w:hAnsi="仿宋_GB2312" w:eastAsia="仿宋_GB2312"/>
          <w:color w:val="auto"/>
          <w:kern w:val="0"/>
          <w:sz w:val="32"/>
        </w:rPr>
        <w:t>万元；支出总计438</w:t>
      </w:r>
      <w:r>
        <w:rPr>
          <w:rFonts w:hint="eastAsia" w:ascii="仿宋_GB2312" w:hAnsi="仿宋_GB2312" w:eastAsia="仿宋_GB2312"/>
          <w:color w:val="auto"/>
          <w:kern w:val="0"/>
          <w:sz w:val="32"/>
        </w:rPr>
        <w:t>万元，其中：结余分配0</w:t>
      </w:r>
      <w:r>
        <w:rPr>
          <w:rFonts w:hint="eastAsia" w:ascii="仿宋_GB2312" w:hAnsi="仿宋_GB2312" w:eastAsia="仿宋_GB2312"/>
          <w:color w:val="auto"/>
          <w:kern w:val="0"/>
          <w:sz w:val="32"/>
        </w:rPr>
        <w:t>万元，年末结转和结余1.36</w:t>
      </w:r>
      <w:r>
        <w:rPr>
          <w:rFonts w:hint="eastAsia" w:ascii="仿宋_GB2312" w:hAnsi="仿宋_GB2312" w:eastAsia="仿宋_GB2312"/>
          <w:color w:val="auto"/>
          <w:kern w:val="0"/>
          <w:sz w:val="32"/>
        </w:rPr>
        <w:t>万元。与2020年度相比，收入支出总计增加73.7</w:t>
      </w:r>
      <w:r>
        <w:rPr>
          <w:rFonts w:hint="eastAsia" w:ascii="仿宋_GB2312" w:hAnsi="仿宋_GB2312" w:eastAsia="仿宋_GB2312"/>
          <w:color w:val="auto"/>
          <w:kern w:val="0"/>
          <w:sz w:val="32"/>
        </w:rPr>
        <w:t>万元，增长20.23%，</w:t>
      </w:r>
      <w:r>
        <w:rPr>
          <w:rFonts w:hint="eastAsia" w:ascii="仿宋_GB2312" w:hAnsi="仿宋_GB2312" w:eastAsia="仿宋_GB2312"/>
          <w:color w:val="auto"/>
          <w:kern w:val="0"/>
          <w:sz w:val="32"/>
        </w:rPr>
        <w:t>主要原因：一是</w:t>
      </w:r>
      <w:r>
        <w:rPr>
          <w:rFonts w:hint="eastAsia" w:ascii="仿宋_GB2312" w:hAnsi="仿宋_GB2312" w:eastAsia="仿宋_GB2312"/>
          <w:color w:val="auto"/>
          <w:kern w:val="0"/>
          <w:sz w:val="32"/>
          <w:lang w:val="en-US" w:eastAsia="zh-CN"/>
        </w:rPr>
        <w:t>后期补充支付普查经费</w:t>
      </w:r>
      <w:r>
        <w:rPr>
          <w:rFonts w:hint="eastAsia" w:ascii="仿宋_GB2312" w:hAnsi="仿宋_GB2312" w:eastAsia="仿宋_GB2312"/>
          <w:color w:val="auto"/>
          <w:kern w:val="0"/>
          <w:sz w:val="32"/>
        </w:rPr>
        <w:t>；二是</w:t>
      </w:r>
      <w:r>
        <w:rPr>
          <w:rFonts w:hint="eastAsia" w:ascii="仿宋_GB2312" w:hAnsi="仿宋_GB2312" w:eastAsia="仿宋_GB2312"/>
          <w:color w:val="auto"/>
          <w:kern w:val="0"/>
          <w:sz w:val="32"/>
          <w:lang w:val="en-US" w:eastAsia="zh-CN"/>
        </w:rPr>
        <w:t>人员经费也有所增加</w:t>
      </w:r>
      <w:r>
        <w:rPr>
          <w:rFonts w:hint="eastAsia" w:ascii="仿宋_GB2312" w:hAnsi="仿宋_GB2312" w:eastAsia="仿宋_GB2312"/>
          <w:color w:val="auto"/>
          <w:kern w:val="0"/>
          <w:sz w:val="32"/>
        </w:rPr>
        <w:t>；</w:t>
      </w:r>
    </w:p>
    <w:p>
      <w:pPr>
        <w:spacing w:before="100" w:after="100" w:line="580" w:lineRule="atLeast"/>
        <w:ind w:firstLine="600"/>
        <w:rPr>
          <w:rFonts w:hint="default" w:eastAsia="Times New Roman"/>
          <w:b/>
          <w:color w:val="auto"/>
          <w:kern w:val="0"/>
          <w:sz w:val="24"/>
        </w:rPr>
      </w:pPr>
      <w:r>
        <w:rPr>
          <w:rFonts w:hint="eastAsia" w:ascii="楷体" w:hAnsi="楷体" w:eastAsia="楷体"/>
          <w:b/>
          <w:color w:val="auto"/>
          <w:kern w:val="0"/>
          <w:sz w:val="32"/>
        </w:rPr>
        <w:t>（二）关于2021年度收入决算情况说明</w:t>
      </w:r>
    </w:p>
    <w:p>
      <w:pPr>
        <w:spacing w:before="100" w:after="100" w:line="580" w:lineRule="atLeast"/>
        <w:ind w:firstLine="600"/>
        <w:rPr>
          <w:rFonts w:hint="eastAsia" w:ascii="仿宋_GB2312" w:hAnsi="仿宋_GB2312" w:eastAsia="仿宋_GB2312"/>
          <w:color w:val="auto"/>
          <w:kern w:val="0"/>
          <w:sz w:val="32"/>
        </w:rPr>
      </w:pPr>
      <w:r>
        <w:rPr>
          <w:rFonts w:hint="eastAsia" w:ascii="仿宋_GB2312" w:hAnsi="仿宋_GB2312" w:eastAsia="仿宋_GB2312"/>
          <w:color w:val="auto"/>
          <w:kern w:val="0"/>
          <w:sz w:val="32"/>
        </w:rPr>
        <w:t>本部门2021年度收入合计336.27</w:t>
      </w:r>
      <w:r>
        <w:rPr>
          <w:rFonts w:hint="eastAsia" w:ascii="仿宋_GB2312" w:hAnsi="仿宋_GB2312" w:eastAsia="仿宋_GB2312"/>
          <w:color w:val="auto"/>
          <w:kern w:val="0"/>
          <w:sz w:val="32"/>
        </w:rPr>
        <w:t>万元，其中：财政拨款收入336.27</w:t>
      </w:r>
      <w:r>
        <w:rPr>
          <w:rFonts w:hint="eastAsia" w:ascii="仿宋_GB2312" w:hAnsi="仿宋_GB2312" w:eastAsia="仿宋_GB2312"/>
          <w:color w:val="auto"/>
          <w:kern w:val="0"/>
          <w:sz w:val="32"/>
        </w:rPr>
        <w:t>万元，占100</w:t>
      </w:r>
      <w:r>
        <w:rPr>
          <w:rFonts w:hint="eastAsia" w:ascii="仿宋_GB2312" w:hAnsi="仿宋_GB2312" w:eastAsia="仿宋_GB2312"/>
          <w:color w:val="auto"/>
          <w:kern w:val="0"/>
          <w:sz w:val="32"/>
        </w:rPr>
        <w:t>%；</w:t>
      </w:r>
    </w:p>
    <w:p>
      <w:pPr>
        <w:spacing w:before="100" w:after="100" w:line="580" w:lineRule="atLeast"/>
        <w:ind w:firstLine="600"/>
        <w:rPr>
          <w:rFonts w:hint="default" w:eastAsia="Times New Roman"/>
          <w:b/>
          <w:color w:val="auto"/>
          <w:kern w:val="0"/>
          <w:sz w:val="24"/>
        </w:rPr>
      </w:pPr>
      <w:r>
        <w:rPr>
          <w:rFonts w:hint="eastAsia" w:ascii="楷体" w:hAnsi="楷体" w:eastAsia="楷体"/>
          <w:b/>
          <w:color w:val="auto"/>
          <w:kern w:val="0"/>
          <w:sz w:val="32"/>
        </w:rPr>
        <w:t>（三）关于2021年度支出决算情况说明</w:t>
      </w:r>
    </w:p>
    <w:p>
      <w:pPr>
        <w:spacing w:before="100" w:after="100" w:line="580" w:lineRule="atLeast"/>
        <w:ind w:firstLine="600"/>
        <w:rPr>
          <w:rFonts w:hint="default" w:eastAsia="Times New Roman"/>
          <w:color w:val="auto"/>
          <w:kern w:val="0"/>
          <w:sz w:val="24"/>
        </w:rPr>
      </w:pPr>
      <w:r>
        <w:rPr>
          <w:rFonts w:hint="eastAsia" w:ascii="仿宋_GB2312" w:hAnsi="仿宋_GB2312" w:eastAsia="仿宋_GB2312"/>
          <w:color w:val="auto"/>
          <w:kern w:val="0"/>
          <w:sz w:val="32"/>
        </w:rPr>
        <w:t>本部门2021年度支出合计436.64</w:t>
      </w:r>
      <w:r>
        <w:rPr>
          <w:rFonts w:hint="eastAsia" w:ascii="仿宋_GB2312" w:hAnsi="仿宋_GB2312" w:eastAsia="仿宋_GB2312"/>
          <w:color w:val="auto"/>
          <w:kern w:val="0"/>
          <w:sz w:val="32"/>
        </w:rPr>
        <w:t>万元，其中：基本支出436.64</w:t>
      </w:r>
      <w:r>
        <w:rPr>
          <w:rFonts w:hint="eastAsia" w:ascii="仿宋_GB2312" w:hAnsi="仿宋_GB2312" w:eastAsia="仿宋_GB2312"/>
          <w:color w:val="auto"/>
          <w:kern w:val="0"/>
          <w:sz w:val="32"/>
        </w:rPr>
        <w:t>万元，占100</w:t>
      </w:r>
      <w:r>
        <w:rPr>
          <w:rFonts w:hint="eastAsia" w:ascii="仿宋_GB2312" w:hAnsi="仿宋_GB2312" w:eastAsia="仿宋_GB2312"/>
          <w:color w:val="auto"/>
          <w:kern w:val="0"/>
          <w:sz w:val="32"/>
        </w:rPr>
        <w:t>%；</w:t>
      </w:r>
    </w:p>
    <w:p>
      <w:pPr>
        <w:spacing w:before="100" w:after="100" w:line="580" w:lineRule="atLeast"/>
        <w:ind w:firstLine="600"/>
        <w:rPr>
          <w:rFonts w:hint="default" w:eastAsia="Times New Roman"/>
          <w:b/>
          <w:color w:val="auto"/>
          <w:kern w:val="0"/>
          <w:sz w:val="24"/>
        </w:rPr>
      </w:pPr>
      <w:r>
        <w:rPr>
          <w:rFonts w:hint="eastAsia" w:ascii="楷体" w:hAnsi="楷体" w:eastAsia="楷体"/>
          <w:b/>
          <w:color w:val="auto"/>
          <w:kern w:val="0"/>
          <w:sz w:val="32"/>
        </w:rPr>
        <w:t>（四）关于2021年度财政拨款收入支出决算总体情况说明</w:t>
      </w:r>
    </w:p>
    <w:p>
      <w:pPr>
        <w:spacing w:before="100" w:after="100" w:line="580" w:lineRule="atLeast"/>
        <w:ind w:firstLine="600"/>
        <w:rPr>
          <w:rFonts w:hint="eastAsia" w:ascii="仿宋_GB2312" w:hAnsi="仿宋_GB2312" w:eastAsia="仿宋_GB2312"/>
          <w:color w:val="auto"/>
          <w:kern w:val="0"/>
          <w:sz w:val="32"/>
        </w:rPr>
      </w:pPr>
      <w:r>
        <w:rPr>
          <w:rFonts w:hint="eastAsia" w:ascii="仿宋_GB2312" w:hAnsi="仿宋_GB2312" w:eastAsia="仿宋_GB2312"/>
          <w:color w:val="auto"/>
          <w:kern w:val="0"/>
          <w:sz w:val="32"/>
        </w:rPr>
        <w:t>本部门2021年度财政拨款收入总计438</w:t>
      </w:r>
      <w:r>
        <w:rPr>
          <w:rFonts w:hint="eastAsia" w:ascii="仿宋_GB2312" w:hAnsi="仿宋_GB2312" w:eastAsia="仿宋_GB2312"/>
          <w:color w:val="auto"/>
          <w:kern w:val="0"/>
          <w:sz w:val="32"/>
        </w:rPr>
        <w:t>万元，其中：年初结转和结余101.72</w:t>
      </w:r>
      <w:r>
        <w:rPr>
          <w:rFonts w:hint="eastAsia" w:ascii="仿宋_GB2312" w:hAnsi="仿宋_GB2312" w:eastAsia="仿宋_GB2312"/>
          <w:color w:val="auto"/>
          <w:kern w:val="0"/>
          <w:sz w:val="32"/>
        </w:rPr>
        <w:t>万元；支出总计438</w:t>
      </w:r>
      <w:r>
        <w:rPr>
          <w:rFonts w:hint="eastAsia" w:ascii="仿宋_GB2312" w:hAnsi="仿宋_GB2312" w:eastAsia="仿宋_GB2312"/>
          <w:color w:val="auto"/>
          <w:kern w:val="0"/>
          <w:sz w:val="32"/>
        </w:rPr>
        <w:t>万元，其中：年末结转和结余1.36</w:t>
      </w:r>
      <w:r>
        <w:rPr>
          <w:rFonts w:hint="eastAsia" w:ascii="仿宋_GB2312" w:hAnsi="仿宋_GB2312" w:eastAsia="仿宋_GB2312"/>
          <w:color w:val="auto"/>
          <w:kern w:val="0"/>
          <w:sz w:val="32"/>
        </w:rPr>
        <w:t>万元。与2020年度相比，收入支出总计增加73.7</w:t>
      </w:r>
      <w:r>
        <w:rPr>
          <w:rFonts w:hint="eastAsia" w:ascii="仿宋_GB2312" w:hAnsi="仿宋_GB2312" w:eastAsia="仿宋_GB2312"/>
          <w:color w:val="auto"/>
          <w:kern w:val="0"/>
          <w:sz w:val="32"/>
        </w:rPr>
        <w:t>万元，增长20.23</w:t>
      </w:r>
      <w:r>
        <w:rPr>
          <w:rFonts w:hint="eastAsia" w:ascii="仿宋_GB2312" w:hAnsi="仿宋_GB2312" w:eastAsia="仿宋_GB2312"/>
          <w:color w:val="auto"/>
          <w:kern w:val="0"/>
          <w:sz w:val="32"/>
        </w:rPr>
        <w:t>%。主要原因：一是</w:t>
      </w:r>
      <w:r>
        <w:rPr>
          <w:rFonts w:hint="eastAsia" w:ascii="仿宋_GB2312" w:hAnsi="仿宋_GB2312" w:eastAsia="仿宋_GB2312"/>
          <w:color w:val="auto"/>
          <w:kern w:val="0"/>
          <w:sz w:val="32"/>
          <w:lang w:val="en-US" w:eastAsia="zh-CN"/>
        </w:rPr>
        <w:t>后期支付2020年普查费用</w:t>
      </w:r>
      <w:r>
        <w:rPr>
          <w:rFonts w:hint="eastAsia" w:ascii="仿宋_GB2312" w:hAnsi="仿宋_GB2312" w:eastAsia="仿宋_GB2312"/>
          <w:color w:val="auto"/>
          <w:kern w:val="0"/>
          <w:sz w:val="32"/>
        </w:rPr>
        <w:t>；二是</w:t>
      </w:r>
      <w:r>
        <w:rPr>
          <w:rFonts w:hint="eastAsia" w:ascii="仿宋_GB2312" w:hAnsi="仿宋_GB2312" w:eastAsia="仿宋_GB2312"/>
          <w:color w:val="auto"/>
          <w:kern w:val="0"/>
          <w:sz w:val="32"/>
          <w:lang w:val="en-US" w:eastAsia="zh-CN"/>
        </w:rPr>
        <w:t>人员经费增加</w:t>
      </w:r>
      <w:r>
        <w:rPr>
          <w:rFonts w:hint="eastAsia" w:ascii="仿宋_GB2312" w:hAnsi="仿宋_GB2312" w:eastAsia="仿宋_GB2312"/>
          <w:color w:val="auto"/>
          <w:kern w:val="0"/>
          <w:sz w:val="32"/>
        </w:rPr>
        <w:t>；</w:t>
      </w:r>
    </w:p>
    <w:p>
      <w:pPr>
        <w:spacing w:before="100" w:after="100" w:line="580" w:lineRule="atLeast"/>
        <w:ind w:firstLine="600"/>
        <w:rPr>
          <w:rFonts w:hint="default" w:eastAsia="Times New Roman"/>
          <w:b/>
          <w:color w:val="auto"/>
          <w:kern w:val="0"/>
          <w:sz w:val="24"/>
        </w:rPr>
      </w:pPr>
      <w:r>
        <w:rPr>
          <w:rFonts w:hint="eastAsia" w:ascii="楷体" w:hAnsi="楷体" w:eastAsia="楷体"/>
          <w:b/>
          <w:color w:val="auto"/>
          <w:kern w:val="0"/>
          <w:sz w:val="32"/>
        </w:rPr>
        <w:t>（五）关于2021年度一般公共预算财政拨款支出决算情况说明</w:t>
      </w:r>
    </w:p>
    <w:p>
      <w:pPr>
        <w:spacing w:before="100" w:after="100" w:line="580" w:lineRule="atLeast"/>
        <w:ind w:firstLine="600"/>
        <w:rPr>
          <w:rFonts w:hint="default" w:eastAsia="Times New Roman"/>
          <w:color w:val="auto"/>
          <w:kern w:val="0"/>
          <w:sz w:val="32"/>
        </w:rPr>
      </w:pPr>
      <w:r>
        <w:rPr>
          <w:rFonts w:hint="eastAsia" w:ascii="仿宋_GB2312" w:hAnsi="仿宋_GB2312" w:eastAsia="仿宋_GB2312"/>
          <w:color w:val="auto"/>
          <w:kern w:val="0"/>
          <w:sz w:val="32"/>
        </w:rPr>
        <w:t>本部门2021年度一般公共预算财政拨款支出合计436.64万</w:t>
      </w:r>
      <w:r>
        <w:rPr>
          <w:rFonts w:hint="eastAsia" w:ascii="仿宋_GB2312" w:hAnsi="仿宋_GB2312" w:eastAsia="仿宋_GB2312"/>
          <w:color w:val="auto"/>
          <w:kern w:val="0"/>
          <w:sz w:val="32"/>
        </w:rPr>
        <w:t>元，其中：基本支出436.64</w:t>
      </w:r>
      <w:r>
        <w:rPr>
          <w:rFonts w:hint="eastAsia" w:ascii="仿宋_GB2312" w:hAnsi="仿宋_GB2312" w:eastAsia="仿宋_GB2312"/>
          <w:color w:val="auto"/>
          <w:kern w:val="0"/>
          <w:sz w:val="32"/>
        </w:rPr>
        <w:t>万元，占100</w:t>
      </w:r>
      <w:r>
        <w:rPr>
          <w:rFonts w:hint="eastAsia" w:ascii="仿宋_GB2312" w:hAnsi="仿宋_GB2312" w:eastAsia="仿宋_GB2312"/>
          <w:color w:val="auto"/>
          <w:kern w:val="0"/>
          <w:sz w:val="32"/>
        </w:rPr>
        <w:t>%；项目支出0</w:t>
      </w:r>
      <w:r>
        <w:rPr>
          <w:rFonts w:hint="eastAsia" w:ascii="仿宋_GB2312" w:hAnsi="仿宋_GB2312" w:eastAsia="仿宋_GB2312"/>
          <w:color w:val="auto"/>
          <w:kern w:val="0"/>
          <w:sz w:val="32"/>
        </w:rPr>
        <w:t>万元，占0</w:t>
      </w:r>
      <w:r>
        <w:rPr>
          <w:rFonts w:hint="eastAsia" w:ascii="仿宋_GB2312" w:hAnsi="仿宋_GB2312" w:eastAsia="仿宋_GB2312"/>
          <w:color w:val="auto"/>
          <w:kern w:val="0"/>
          <w:sz w:val="32"/>
        </w:rPr>
        <w:t>%。</w:t>
      </w:r>
    </w:p>
    <w:p>
      <w:pPr>
        <w:spacing w:line="560" w:lineRule="exact"/>
        <w:ind w:firstLine="640"/>
        <w:rPr>
          <w:rFonts w:hint="default" w:eastAsia="Times New Roman"/>
          <w:color w:val="auto"/>
          <w:sz w:val="32"/>
        </w:rPr>
      </w:pPr>
      <w:r>
        <w:rPr>
          <w:rFonts w:hint="eastAsia" w:ascii="仿宋" w:hAnsi="仿宋" w:eastAsia="仿宋"/>
          <w:color w:val="auto"/>
          <w:sz w:val="32"/>
        </w:rPr>
        <w:t>一般公共预算财政拨款支出</w:t>
      </w:r>
      <w:r>
        <w:rPr>
          <w:rFonts w:hint="eastAsia" w:ascii="仿宋_GB2312" w:hAnsi="仿宋_GB2312" w:eastAsia="仿宋_GB2312"/>
          <w:color w:val="auto"/>
          <w:sz w:val="32"/>
        </w:rPr>
        <w:t>436.64</w:t>
      </w:r>
      <w:r>
        <w:rPr>
          <w:rFonts w:hint="eastAsia" w:ascii="仿宋" w:hAnsi="仿宋" w:eastAsia="仿宋"/>
          <w:color w:val="auto"/>
          <w:sz w:val="32"/>
        </w:rPr>
        <w:t>万元。与年初预算相比，增加</w:t>
      </w:r>
      <w:r>
        <w:rPr>
          <w:rFonts w:hint="eastAsia" w:ascii="仿宋_GB2312" w:hAnsi="仿宋_GB2312" w:eastAsia="仿宋_GB2312"/>
          <w:color w:val="auto"/>
          <w:sz w:val="32"/>
        </w:rPr>
        <w:t>206.71</w:t>
      </w:r>
      <w:r>
        <w:rPr>
          <w:rFonts w:hint="eastAsia" w:ascii="仿宋" w:hAnsi="仿宋" w:eastAsia="仿宋"/>
          <w:color w:val="auto"/>
          <w:sz w:val="32"/>
        </w:rPr>
        <w:t>万元，增长</w:t>
      </w:r>
      <w:r>
        <w:rPr>
          <w:rFonts w:hint="eastAsia" w:ascii="仿宋_GB2312" w:hAnsi="仿宋_GB2312" w:eastAsia="仿宋_GB2312"/>
          <w:color w:val="auto"/>
          <w:sz w:val="32"/>
        </w:rPr>
        <w:t>89.9</w:t>
      </w:r>
      <w:r>
        <w:rPr>
          <w:rFonts w:hint="eastAsia" w:ascii="仿宋_GB2312" w:hAnsi="仿宋_GB2312" w:eastAsia="仿宋_GB2312"/>
          <w:color w:val="auto"/>
          <w:sz w:val="32"/>
          <w:lang w:val="en-US" w:eastAsia="zh-CN"/>
        </w:rPr>
        <w:t>%</w:t>
      </w:r>
      <w:r>
        <w:rPr>
          <w:rFonts w:hint="eastAsia" w:ascii="仿宋_GB2312" w:hAnsi="仿宋_GB2312" w:eastAsia="仿宋_GB2312"/>
          <w:color w:val="auto"/>
          <w:sz w:val="32"/>
        </w:rPr>
        <w:t>,</w:t>
      </w:r>
      <w:r>
        <w:rPr>
          <w:rFonts w:hint="eastAsia" w:ascii="仿宋" w:hAnsi="仿宋" w:eastAsia="仿宋"/>
          <w:color w:val="auto"/>
          <w:sz w:val="32"/>
        </w:rPr>
        <w:t>变动原因：</w:t>
      </w:r>
      <w:r>
        <w:rPr>
          <w:rFonts w:hint="eastAsia" w:ascii="仿宋" w:hAnsi="仿宋" w:eastAsia="仿宋"/>
          <w:color w:val="auto"/>
          <w:sz w:val="32"/>
          <w:lang w:val="en-US" w:eastAsia="zh-CN"/>
        </w:rPr>
        <w:t>2021年支付很多2020年没有支付的普查经费</w:t>
      </w:r>
      <w:r>
        <w:rPr>
          <w:rFonts w:hint="eastAsia" w:ascii="仿宋" w:hAnsi="仿宋" w:eastAsia="仿宋"/>
          <w:color w:val="auto"/>
          <w:sz w:val="32"/>
        </w:rPr>
        <w:t>。其中：</w:t>
      </w:r>
      <w:r>
        <w:rPr>
          <w:rFonts w:hint="eastAsia" w:ascii="仿宋_GB2312" w:hAnsi="仿宋_GB2312" w:eastAsia="仿宋_GB2312"/>
          <w:color w:val="auto"/>
          <w:kern w:val="0"/>
          <w:sz w:val="32"/>
        </w:rPr>
        <w:t>年初结转和结余101.72</w:t>
      </w:r>
      <w:r>
        <w:rPr>
          <w:rFonts w:hint="eastAsia" w:ascii="仿宋_GB2312" w:hAnsi="仿宋_GB2312" w:eastAsia="仿宋_GB2312"/>
          <w:color w:val="auto"/>
          <w:kern w:val="0"/>
          <w:sz w:val="32"/>
        </w:rPr>
        <w:t>万元</w:t>
      </w:r>
      <w:r>
        <w:rPr>
          <w:rFonts w:hint="eastAsia" w:ascii="仿宋_GB2312" w:hAnsi="仿宋_GB2312" w:eastAsia="仿宋_GB2312"/>
          <w:color w:val="auto"/>
          <w:kern w:val="0"/>
          <w:sz w:val="32"/>
          <w:lang w:eastAsia="zh-CN"/>
        </w:rPr>
        <w:t>。</w:t>
      </w:r>
    </w:p>
    <w:p>
      <w:pPr>
        <w:spacing w:line="560" w:lineRule="exact"/>
        <w:ind w:firstLine="640"/>
        <w:rPr>
          <w:rFonts w:hint="eastAsia" w:ascii="仿宋" w:hAnsi="仿宋" w:eastAsia="仿宋"/>
          <w:color w:val="auto"/>
          <w:sz w:val="32"/>
          <w:lang w:val="en-US" w:eastAsia="zh-CN"/>
        </w:rPr>
      </w:pPr>
      <w:r>
        <w:rPr>
          <w:rFonts w:hint="eastAsia" w:ascii="仿宋" w:hAnsi="仿宋" w:eastAsia="仿宋"/>
          <w:color w:val="auto"/>
          <w:sz w:val="32"/>
          <w:lang w:val="en-US" w:eastAsia="zh-CN"/>
        </w:rPr>
        <w:t>（一）社会保障和就业（类）</w:t>
      </w:r>
    </w:p>
    <w:p>
      <w:pPr>
        <w:spacing w:line="560" w:lineRule="exact"/>
        <w:ind w:firstLine="640"/>
        <w:rPr>
          <w:rFonts w:hint="eastAsia" w:ascii="仿宋" w:hAnsi="仿宋" w:eastAsia="仿宋"/>
          <w:color w:val="auto"/>
          <w:sz w:val="32"/>
        </w:rPr>
      </w:pPr>
      <w:r>
        <w:rPr>
          <w:rFonts w:hint="eastAsia" w:ascii="仿宋" w:hAnsi="仿宋" w:eastAsia="仿宋"/>
          <w:color w:val="auto"/>
          <w:sz w:val="32"/>
          <w:lang w:val="en-US" w:eastAsia="zh-CN"/>
        </w:rPr>
        <w:t>1、</w:t>
      </w:r>
      <w:r>
        <w:rPr>
          <w:rFonts w:hint="eastAsia" w:ascii="仿宋" w:hAnsi="仿宋" w:eastAsia="仿宋"/>
          <w:color w:val="auto"/>
          <w:sz w:val="32"/>
        </w:rPr>
        <w:t>机关事业单位基本养老保险</w:t>
      </w:r>
      <w:r>
        <w:rPr>
          <w:rFonts w:hint="eastAsia" w:ascii="仿宋" w:hAnsi="仿宋" w:eastAsia="仿宋"/>
          <w:color w:val="auto"/>
          <w:sz w:val="32"/>
          <w:lang w:eastAsia="zh-CN"/>
        </w:rPr>
        <w:t>（</w:t>
      </w:r>
      <w:r>
        <w:rPr>
          <w:rFonts w:hint="eastAsia" w:ascii="仿宋" w:hAnsi="仿宋" w:eastAsia="仿宋"/>
          <w:color w:val="auto"/>
          <w:sz w:val="32"/>
          <w:lang w:val="en-US" w:eastAsia="zh-CN"/>
        </w:rPr>
        <w:t>20805）</w:t>
      </w:r>
      <w:r>
        <w:rPr>
          <w:rFonts w:hint="eastAsia" w:ascii="仿宋" w:hAnsi="仿宋" w:eastAsia="仿宋"/>
          <w:color w:val="auto"/>
          <w:sz w:val="32"/>
        </w:rPr>
        <w:t>年初预算</w:t>
      </w:r>
      <w:r>
        <w:rPr>
          <w:rFonts w:hint="eastAsia" w:ascii="仿宋" w:hAnsi="仿宋" w:eastAsia="仿宋"/>
          <w:color w:val="auto"/>
          <w:sz w:val="32"/>
          <w:lang w:val="en-US" w:eastAsia="zh-CN"/>
        </w:rPr>
        <w:t>20.65</w:t>
      </w:r>
      <w:r>
        <w:rPr>
          <w:rFonts w:hint="eastAsia" w:ascii="仿宋" w:hAnsi="仿宋" w:eastAsia="仿宋"/>
          <w:color w:val="auto"/>
          <w:sz w:val="32"/>
        </w:rPr>
        <w:t>万元，决算支出</w:t>
      </w:r>
      <w:r>
        <w:rPr>
          <w:rFonts w:hint="eastAsia" w:ascii="仿宋" w:hAnsi="仿宋" w:eastAsia="仿宋"/>
          <w:color w:val="auto"/>
          <w:sz w:val="32"/>
          <w:lang w:val="en-US" w:eastAsia="zh-CN"/>
        </w:rPr>
        <w:t>21.04</w:t>
      </w:r>
      <w:r>
        <w:rPr>
          <w:rFonts w:hint="eastAsia" w:ascii="仿宋" w:hAnsi="仿宋" w:eastAsia="仿宋"/>
          <w:color w:val="auto"/>
          <w:sz w:val="32"/>
        </w:rPr>
        <w:t>万元，完成年初预算的</w:t>
      </w:r>
      <w:r>
        <w:rPr>
          <w:rFonts w:hint="eastAsia" w:ascii="仿宋" w:hAnsi="仿宋" w:eastAsia="仿宋"/>
          <w:color w:val="auto"/>
          <w:sz w:val="32"/>
          <w:lang w:val="en-US" w:eastAsia="zh-CN"/>
        </w:rPr>
        <w:t>100</w:t>
      </w:r>
      <w:r>
        <w:rPr>
          <w:rFonts w:hint="eastAsia" w:ascii="仿宋" w:hAnsi="仿宋" w:eastAsia="仿宋"/>
          <w:color w:val="auto"/>
          <w:sz w:val="32"/>
        </w:rPr>
        <w:t>%。决算数与年初预算数的差异原因：</w:t>
      </w:r>
      <w:r>
        <w:rPr>
          <w:rFonts w:hint="eastAsia" w:ascii="仿宋" w:hAnsi="仿宋" w:eastAsia="仿宋"/>
          <w:color w:val="auto"/>
          <w:sz w:val="32"/>
          <w:lang w:val="en-US" w:eastAsia="zh-CN"/>
        </w:rPr>
        <w:t>工资增长养老保险基数增加</w:t>
      </w:r>
      <w:r>
        <w:rPr>
          <w:rFonts w:hint="eastAsia" w:ascii="仿宋" w:hAnsi="仿宋" w:eastAsia="仿宋"/>
          <w:color w:val="auto"/>
          <w:sz w:val="32"/>
        </w:rPr>
        <w:t>。</w:t>
      </w:r>
    </w:p>
    <w:p>
      <w:pPr>
        <w:spacing w:line="560" w:lineRule="exact"/>
        <w:ind w:firstLine="640"/>
        <w:rPr>
          <w:rFonts w:hint="eastAsia" w:ascii="仿宋" w:hAnsi="仿宋" w:eastAsia="仿宋"/>
          <w:color w:val="auto"/>
          <w:sz w:val="32"/>
          <w:lang w:val="en-US" w:eastAsia="zh-CN"/>
        </w:rPr>
      </w:pPr>
      <w:r>
        <w:rPr>
          <w:rFonts w:hint="eastAsia" w:ascii="仿宋" w:hAnsi="仿宋" w:eastAsia="仿宋"/>
          <w:color w:val="auto"/>
          <w:sz w:val="32"/>
          <w:lang w:val="en-US" w:eastAsia="zh-CN"/>
        </w:rPr>
        <w:t>2.统计信息事务（20105）</w:t>
      </w:r>
      <w:r>
        <w:rPr>
          <w:rFonts w:hint="eastAsia" w:ascii="仿宋" w:hAnsi="仿宋" w:eastAsia="仿宋"/>
          <w:color w:val="auto"/>
          <w:sz w:val="32"/>
        </w:rPr>
        <w:t>年初预算</w:t>
      </w:r>
      <w:r>
        <w:rPr>
          <w:rFonts w:hint="eastAsia" w:ascii="仿宋" w:hAnsi="仿宋" w:eastAsia="仿宋"/>
          <w:color w:val="auto"/>
          <w:sz w:val="32"/>
          <w:lang w:val="en-US" w:eastAsia="zh-CN"/>
        </w:rPr>
        <w:t>171.95</w:t>
      </w:r>
      <w:r>
        <w:rPr>
          <w:rFonts w:hint="eastAsia" w:ascii="仿宋" w:hAnsi="仿宋" w:eastAsia="仿宋"/>
          <w:color w:val="auto"/>
          <w:sz w:val="32"/>
        </w:rPr>
        <w:t>万元，决算支出</w:t>
      </w:r>
      <w:r>
        <w:rPr>
          <w:rFonts w:hint="eastAsia" w:ascii="仿宋" w:hAnsi="仿宋" w:eastAsia="仿宋"/>
          <w:color w:val="auto"/>
          <w:sz w:val="32"/>
          <w:lang w:val="en-US" w:eastAsia="zh-CN"/>
        </w:rPr>
        <w:t>369.46</w:t>
      </w:r>
      <w:r>
        <w:rPr>
          <w:rFonts w:hint="eastAsia" w:ascii="仿宋" w:hAnsi="仿宋" w:eastAsia="仿宋"/>
          <w:color w:val="auto"/>
          <w:sz w:val="32"/>
        </w:rPr>
        <w:t>万元，完成年初预算的</w:t>
      </w:r>
      <w:r>
        <w:rPr>
          <w:rFonts w:hint="eastAsia" w:ascii="仿宋" w:hAnsi="仿宋" w:eastAsia="仿宋"/>
          <w:color w:val="auto"/>
          <w:sz w:val="32"/>
          <w:lang w:val="en-US" w:eastAsia="zh-CN"/>
        </w:rPr>
        <w:t>216</w:t>
      </w:r>
      <w:r>
        <w:rPr>
          <w:rFonts w:hint="eastAsia" w:ascii="仿宋" w:hAnsi="仿宋" w:eastAsia="仿宋"/>
          <w:color w:val="auto"/>
          <w:sz w:val="32"/>
        </w:rPr>
        <w:t>%。决算数与年初预算数的差异原因</w:t>
      </w:r>
      <w:r>
        <w:rPr>
          <w:rFonts w:hint="eastAsia" w:ascii="仿宋" w:hAnsi="仿宋" w:eastAsia="仿宋"/>
          <w:color w:val="auto"/>
          <w:sz w:val="32"/>
          <w:lang w:eastAsia="zh-CN"/>
        </w:rPr>
        <w:t>：</w:t>
      </w:r>
      <w:r>
        <w:rPr>
          <w:rFonts w:hint="eastAsia" w:ascii="仿宋" w:hAnsi="仿宋" w:eastAsia="仿宋"/>
          <w:color w:val="auto"/>
          <w:sz w:val="32"/>
          <w:lang w:val="en-US" w:eastAsia="zh-CN"/>
        </w:rPr>
        <w:t>使用了上年结转资金，还有支付2020年没有支付的两员补助。</w:t>
      </w:r>
    </w:p>
    <w:p>
      <w:pPr>
        <w:tabs>
          <w:tab w:val="left" w:pos="4275"/>
        </w:tabs>
        <w:spacing w:line="560" w:lineRule="exact"/>
        <w:ind w:firstLine="320" w:firstLineChars="100"/>
        <w:rPr>
          <w:rFonts w:hint="default" w:eastAsia="Times New Roman"/>
          <w:color w:val="auto"/>
          <w:sz w:val="32"/>
        </w:rPr>
      </w:pPr>
      <w:r>
        <w:rPr>
          <w:rFonts w:hint="eastAsia" w:ascii="楷体" w:hAnsi="楷体" w:eastAsia="楷体"/>
          <w:color w:val="auto"/>
          <w:sz w:val="32"/>
        </w:rPr>
        <w:t>（二）</w:t>
      </w:r>
      <w:r>
        <w:rPr>
          <w:rFonts w:hint="eastAsia" w:ascii="楷体" w:hAnsi="楷体" w:eastAsia="楷体"/>
          <w:color w:val="auto"/>
          <w:sz w:val="32"/>
          <w:lang w:val="en-US" w:eastAsia="zh-CN"/>
        </w:rPr>
        <w:t>卫生健康</w:t>
      </w:r>
      <w:r>
        <w:rPr>
          <w:rFonts w:hint="eastAsia" w:ascii="楷体" w:hAnsi="楷体" w:eastAsia="楷体"/>
          <w:color w:val="auto"/>
          <w:sz w:val="32"/>
        </w:rPr>
        <w:t>（类）</w:t>
      </w:r>
    </w:p>
    <w:p>
      <w:pPr>
        <w:spacing w:line="560" w:lineRule="exact"/>
        <w:ind w:firstLine="640"/>
        <w:rPr>
          <w:rFonts w:hint="eastAsia" w:ascii="仿宋" w:hAnsi="仿宋" w:eastAsia="仿宋"/>
          <w:color w:val="auto"/>
          <w:sz w:val="32"/>
        </w:rPr>
      </w:pPr>
      <w:r>
        <w:rPr>
          <w:rFonts w:hint="eastAsia" w:ascii="仿宋" w:hAnsi="仿宋" w:eastAsia="仿宋"/>
          <w:color w:val="auto"/>
          <w:sz w:val="32"/>
        </w:rPr>
        <w:t>1．</w:t>
      </w:r>
      <w:r>
        <w:rPr>
          <w:rFonts w:hint="eastAsia" w:ascii="仿宋" w:hAnsi="仿宋" w:eastAsia="仿宋"/>
          <w:color w:val="auto"/>
          <w:sz w:val="32"/>
          <w:lang w:val="en-US" w:eastAsia="zh-CN"/>
        </w:rPr>
        <w:t>行政单位医疗</w:t>
      </w:r>
      <w:r>
        <w:rPr>
          <w:rFonts w:hint="eastAsia" w:ascii="仿宋" w:hAnsi="仿宋" w:eastAsia="仿宋"/>
          <w:color w:val="auto"/>
          <w:sz w:val="32"/>
        </w:rPr>
        <w:t>。年初预算</w:t>
      </w:r>
      <w:r>
        <w:rPr>
          <w:rFonts w:hint="eastAsia" w:ascii="仿宋" w:hAnsi="仿宋" w:eastAsia="仿宋"/>
          <w:color w:val="auto"/>
          <w:sz w:val="32"/>
          <w:lang w:val="en-US" w:eastAsia="zh-CN"/>
        </w:rPr>
        <w:t>12.23</w:t>
      </w:r>
      <w:r>
        <w:rPr>
          <w:rFonts w:hint="eastAsia" w:ascii="仿宋" w:hAnsi="仿宋" w:eastAsia="仿宋"/>
          <w:color w:val="auto"/>
          <w:sz w:val="32"/>
        </w:rPr>
        <w:t>万元，决算支出</w:t>
      </w:r>
      <w:r>
        <w:rPr>
          <w:rFonts w:hint="eastAsia" w:ascii="仿宋" w:hAnsi="仿宋" w:eastAsia="仿宋"/>
          <w:color w:val="auto"/>
          <w:sz w:val="32"/>
          <w:lang w:val="en-US" w:eastAsia="zh-CN"/>
        </w:rPr>
        <w:t>11.83</w:t>
      </w:r>
      <w:r>
        <w:rPr>
          <w:rFonts w:hint="eastAsia" w:ascii="仿宋" w:hAnsi="仿宋" w:eastAsia="仿宋"/>
          <w:color w:val="auto"/>
          <w:sz w:val="32"/>
        </w:rPr>
        <w:t>万元，完成年初预算的</w:t>
      </w:r>
      <w:r>
        <w:rPr>
          <w:rFonts w:hint="eastAsia" w:ascii="仿宋" w:hAnsi="仿宋" w:eastAsia="仿宋"/>
          <w:color w:val="auto"/>
          <w:sz w:val="32"/>
          <w:lang w:val="en-US" w:eastAsia="zh-CN"/>
        </w:rPr>
        <w:t>97</w:t>
      </w:r>
      <w:r>
        <w:rPr>
          <w:rFonts w:hint="eastAsia" w:ascii="仿宋" w:hAnsi="仿宋" w:eastAsia="仿宋"/>
          <w:color w:val="auto"/>
          <w:sz w:val="32"/>
        </w:rPr>
        <w:t>%。决算数与年初预算数的差异原因：</w:t>
      </w:r>
      <w:r>
        <w:rPr>
          <w:rFonts w:hint="eastAsia" w:ascii="仿宋" w:hAnsi="仿宋" w:eastAsia="仿宋"/>
          <w:color w:val="auto"/>
          <w:sz w:val="32"/>
          <w:lang w:val="en-US" w:eastAsia="zh-CN"/>
        </w:rPr>
        <w:t>人员退休匹配医疗减少</w:t>
      </w:r>
      <w:r>
        <w:rPr>
          <w:rFonts w:hint="eastAsia" w:ascii="仿宋" w:hAnsi="仿宋" w:eastAsia="仿宋"/>
          <w:color w:val="auto"/>
          <w:sz w:val="32"/>
        </w:rPr>
        <w:t>。</w:t>
      </w:r>
    </w:p>
    <w:p>
      <w:pPr>
        <w:spacing w:line="560" w:lineRule="exact"/>
        <w:ind w:firstLine="640"/>
        <w:rPr>
          <w:rFonts w:hint="eastAsia" w:ascii="仿宋" w:hAnsi="仿宋" w:eastAsia="仿宋"/>
          <w:color w:val="auto"/>
          <w:sz w:val="32"/>
          <w:lang w:val="en-US" w:eastAsia="zh-CN"/>
        </w:rPr>
      </w:pPr>
      <w:r>
        <w:rPr>
          <w:rFonts w:hint="eastAsia" w:ascii="仿宋" w:hAnsi="仿宋" w:eastAsia="仿宋"/>
          <w:color w:val="auto"/>
          <w:sz w:val="32"/>
          <w:lang w:eastAsia="zh-CN"/>
        </w:rPr>
        <w:t>（</w:t>
      </w:r>
      <w:r>
        <w:rPr>
          <w:rFonts w:hint="eastAsia" w:ascii="仿宋" w:hAnsi="仿宋" w:eastAsia="仿宋"/>
          <w:color w:val="auto"/>
          <w:sz w:val="32"/>
          <w:lang w:val="en-US" w:eastAsia="zh-CN"/>
        </w:rPr>
        <w:t>三</w:t>
      </w:r>
      <w:r>
        <w:rPr>
          <w:rFonts w:hint="eastAsia" w:ascii="仿宋" w:hAnsi="仿宋" w:eastAsia="仿宋"/>
          <w:color w:val="auto"/>
          <w:sz w:val="32"/>
          <w:lang w:eastAsia="zh-CN"/>
        </w:rPr>
        <w:t>）</w:t>
      </w:r>
      <w:r>
        <w:rPr>
          <w:rFonts w:hint="eastAsia" w:ascii="仿宋" w:hAnsi="仿宋" w:eastAsia="仿宋"/>
          <w:color w:val="auto"/>
          <w:sz w:val="32"/>
          <w:lang w:val="en-US" w:eastAsia="zh-CN"/>
        </w:rPr>
        <w:t>住房保障类</w:t>
      </w:r>
    </w:p>
    <w:p>
      <w:pPr>
        <w:spacing w:line="560" w:lineRule="exact"/>
        <w:ind w:firstLine="640"/>
        <w:rPr>
          <w:rFonts w:hint="eastAsia" w:ascii="仿宋" w:hAnsi="仿宋" w:eastAsia="仿宋"/>
          <w:color w:val="auto"/>
          <w:sz w:val="32"/>
        </w:rPr>
      </w:pPr>
      <w:r>
        <w:rPr>
          <w:rFonts w:hint="eastAsia" w:ascii="仿宋" w:hAnsi="仿宋" w:eastAsia="仿宋"/>
          <w:color w:val="auto"/>
          <w:sz w:val="32"/>
          <w:lang w:val="en-US" w:eastAsia="zh-CN"/>
        </w:rPr>
        <w:t>1、住房公积金。年初预算13.33万元，决算支出13.33万元，完成年初预算的100%。</w:t>
      </w:r>
    </w:p>
    <w:p>
      <w:pPr>
        <w:spacing w:before="100" w:after="100" w:line="580" w:lineRule="atLeast"/>
        <w:ind w:firstLine="600"/>
        <w:rPr>
          <w:rFonts w:hint="default" w:eastAsia="Times New Roman"/>
          <w:b/>
          <w:color w:val="auto"/>
          <w:kern w:val="0"/>
          <w:sz w:val="24"/>
        </w:rPr>
      </w:pPr>
      <w:r>
        <w:rPr>
          <w:rFonts w:hint="eastAsia" w:ascii="楷体" w:hAnsi="楷体" w:eastAsia="楷体"/>
          <w:b/>
          <w:color w:val="auto"/>
          <w:kern w:val="0"/>
          <w:sz w:val="32"/>
        </w:rPr>
        <w:t>（六）关于2021年度一般公共预算财政拨款基本支出决算情况说明</w:t>
      </w:r>
    </w:p>
    <w:p>
      <w:pPr>
        <w:spacing w:before="100" w:after="100" w:line="580" w:lineRule="atLeast"/>
        <w:ind w:firstLine="600"/>
        <w:rPr>
          <w:rFonts w:hint="default" w:eastAsia="Times New Roman"/>
          <w:color w:val="auto"/>
          <w:kern w:val="0"/>
          <w:sz w:val="24"/>
        </w:rPr>
      </w:pPr>
      <w:r>
        <w:rPr>
          <w:rFonts w:hint="eastAsia" w:ascii="仿宋_GB2312" w:hAnsi="仿宋_GB2312" w:eastAsia="仿宋_GB2312"/>
          <w:color w:val="auto"/>
          <w:kern w:val="0"/>
          <w:sz w:val="32"/>
        </w:rPr>
        <w:t>本部门2021年度一般公共预算财政拨款基本支出436.64</w:t>
      </w:r>
      <w:r>
        <w:rPr>
          <w:rFonts w:hint="eastAsia" w:ascii="仿宋_GB2312" w:hAnsi="仿宋_GB2312" w:eastAsia="仿宋_GB2312"/>
          <w:color w:val="auto"/>
          <w:kern w:val="0"/>
          <w:sz w:val="32"/>
        </w:rPr>
        <w:t>万元，其中：人员经费223.95</w:t>
      </w:r>
      <w:r>
        <w:rPr>
          <w:rFonts w:hint="eastAsia" w:ascii="仿宋_GB2312" w:hAnsi="仿宋_GB2312" w:eastAsia="仿宋_GB2312"/>
          <w:color w:val="auto"/>
          <w:kern w:val="0"/>
          <w:sz w:val="32"/>
        </w:rPr>
        <w:t>万元，主要包括：基本工资</w:t>
      </w:r>
      <w:r>
        <w:rPr>
          <w:rFonts w:hint="eastAsia" w:ascii="仿宋_GB2312" w:hAnsi="仿宋_GB2312" w:eastAsia="仿宋_GB2312"/>
          <w:color w:val="auto"/>
          <w:kern w:val="0"/>
          <w:sz w:val="32"/>
          <w:lang w:val="en-US" w:eastAsia="zh-CN"/>
        </w:rPr>
        <w:t>73.73万元</w:t>
      </w:r>
      <w:r>
        <w:rPr>
          <w:rFonts w:hint="eastAsia" w:ascii="仿宋_GB2312" w:hAnsi="仿宋_GB2312" w:eastAsia="仿宋_GB2312"/>
          <w:color w:val="auto"/>
          <w:kern w:val="0"/>
          <w:sz w:val="32"/>
        </w:rPr>
        <w:t>、津贴补贴</w:t>
      </w:r>
      <w:r>
        <w:rPr>
          <w:rFonts w:hint="eastAsia" w:ascii="仿宋_GB2312" w:hAnsi="仿宋_GB2312" w:eastAsia="仿宋_GB2312"/>
          <w:color w:val="auto"/>
          <w:kern w:val="0"/>
          <w:sz w:val="32"/>
          <w:lang w:val="en-US" w:eastAsia="zh-CN"/>
        </w:rPr>
        <w:t>70.4万元</w:t>
      </w:r>
      <w:r>
        <w:rPr>
          <w:rFonts w:hint="eastAsia" w:ascii="仿宋_GB2312" w:hAnsi="仿宋_GB2312" w:eastAsia="仿宋_GB2312"/>
          <w:color w:val="auto"/>
          <w:kern w:val="0"/>
          <w:sz w:val="32"/>
        </w:rPr>
        <w:t>、奖金</w:t>
      </w:r>
      <w:r>
        <w:rPr>
          <w:rFonts w:hint="eastAsia" w:ascii="仿宋_GB2312" w:hAnsi="仿宋_GB2312" w:eastAsia="仿宋_GB2312"/>
          <w:color w:val="auto"/>
          <w:kern w:val="0"/>
          <w:sz w:val="32"/>
          <w:lang w:val="en-US" w:eastAsia="zh-CN"/>
        </w:rPr>
        <w:t>12.08万元</w:t>
      </w:r>
      <w:r>
        <w:rPr>
          <w:rFonts w:hint="eastAsia" w:ascii="仿宋_GB2312" w:hAnsi="仿宋_GB2312" w:eastAsia="仿宋_GB2312"/>
          <w:color w:val="auto"/>
          <w:kern w:val="0"/>
          <w:sz w:val="32"/>
        </w:rPr>
        <w:t>、社会保障缴费</w:t>
      </w:r>
      <w:r>
        <w:rPr>
          <w:rFonts w:hint="eastAsia" w:ascii="仿宋_GB2312" w:hAnsi="仿宋_GB2312" w:eastAsia="仿宋_GB2312"/>
          <w:color w:val="auto"/>
          <w:kern w:val="0"/>
          <w:sz w:val="32"/>
          <w:lang w:val="en-US" w:eastAsia="zh-CN"/>
        </w:rPr>
        <w:t>50.08万元</w:t>
      </w:r>
      <w:r>
        <w:rPr>
          <w:rFonts w:hint="eastAsia" w:ascii="仿宋_GB2312" w:hAnsi="仿宋_GB2312" w:eastAsia="仿宋_GB2312"/>
          <w:color w:val="auto"/>
          <w:kern w:val="0"/>
          <w:sz w:val="32"/>
        </w:rPr>
        <w:t>，较上年增加10.23</w:t>
      </w:r>
      <w:r>
        <w:rPr>
          <w:rFonts w:hint="eastAsia" w:ascii="仿宋_GB2312" w:hAnsi="仿宋_GB2312" w:eastAsia="仿宋_GB2312"/>
          <w:color w:val="auto"/>
          <w:kern w:val="0"/>
          <w:sz w:val="32"/>
        </w:rPr>
        <w:t>万元，主要原因是：</w:t>
      </w:r>
      <w:r>
        <w:rPr>
          <w:rFonts w:hint="eastAsia" w:ascii="仿宋_GB2312" w:hAnsi="仿宋_GB2312" w:eastAsia="仿宋_GB2312"/>
          <w:color w:val="auto"/>
          <w:kern w:val="0"/>
          <w:sz w:val="32"/>
          <w:lang w:val="en-US" w:eastAsia="zh-CN"/>
        </w:rPr>
        <w:t>人员工资有所增加</w:t>
      </w:r>
      <w:r>
        <w:rPr>
          <w:rFonts w:hint="eastAsia" w:ascii="仿宋_GB2312" w:hAnsi="仿宋_GB2312" w:eastAsia="仿宋_GB2312"/>
          <w:color w:val="auto"/>
          <w:kern w:val="0"/>
          <w:sz w:val="32"/>
        </w:rPr>
        <w:t>；公用经费212.69</w:t>
      </w:r>
      <w:r>
        <w:rPr>
          <w:rFonts w:hint="eastAsia" w:ascii="仿宋_GB2312" w:hAnsi="仿宋_GB2312" w:eastAsia="仿宋_GB2312"/>
          <w:color w:val="auto"/>
          <w:kern w:val="0"/>
          <w:sz w:val="32"/>
        </w:rPr>
        <w:t>万元，主要包括：办公费</w:t>
      </w:r>
      <w:r>
        <w:rPr>
          <w:rFonts w:hint="eastAsia" w:ascii="仿宋_GB2312" w:hAnsi="仿宋_GB2312" w:eastAsia="仿宋_GB2312"/>
          <w:color w:val="auto"/>
          <w:kern w:val="0"/>
          <w:sz w:val="32"/>
          <w:lang w:val="en-US" w:eastAsia="zh-CN"/>
        </w:rPr>
        <w:t>12.61万元</w:t>
      </w:r>
      <w:r>
        <w:rPr>
          <w:rFonts w:hint="eastAsia" w:ascii="仿宋_GB2312" w:hAnsi="仿宋_GB2312" w:eastAsia="仿宋_GB2312"/>
          <w:color w:val="auto"/>
          <w:kern w:val="0"/>
          <w:sz w:val="32"/>
        </w:rPr>
        <w:t>、印刷费</w:t>
      </w:r>
      <w:r>
        <w:rPr>
          <w:rFonts w:hint="eastAsia" w:ascii="仿宋_GB2312" w:hAnsi="仿宋_GB2312" w:eastAsia="仿宋_GB2312"/>
          <w:color w:val="auto"/>
          <w:kern w:val="0"/>
          <w:sz w:val="32"/>
          <w:lang w:val="en-US" w:eastAsia="zh-CN"/>
        </w:rPr>
        <w:t>4.86万元</w:t>
      </w:r>
      <w:r>
        <w:rPr>
          <w:rFonts w:hint="eastAsia" w:ascii="仿宋_GB2312" w:hAnsi="仿宋_GB2312" w:eastAsia="仿宋_GB2312"/>
          <w:color w:val="auto"/>
          <w:kern w:val="0"/>
          <w:sz w:val="32"/>
        </w:rPr>
        <w:t>、</w:t>
      </w:r>
      <w:r>
        <w:rPr>
          <w:rFonts w:hint="eastAsia" w:ascii="仿宋_GB2312" w:hAnsi="仿宋_GB2312" w:eastAsia="仿宋_GB2312"/>
          <w:color w:val="auto"/>
          <w:kern w:val="0"/>
          <w:sz w:val="32"/>
          <w:lang w:val="en-US" w:eastAsia="zh-CN"/>
        </w:rPr>
        <w:t>差旅</w:t>
      </w:r>
      <w:r>
        <w:rPr>
          <w:rFonts w:hint="eastAsia" w:ascii="仿宋_GB2312" w:hAnsi="仿宋_GB2312" w:eastAsia="仿宋_GB2312"/>
          <w:color w:val="auto"/>
          <w:kern w:val="0"/>
          <w:sz w:val="32"/>
        </w:rPr>
        <w:t>费</w:t>
      </w:r>
      <w:r>
        <w:rPr>
          <w:rFonts w:hint="eastAsia" w:ascii="仿宋_GB2312" w:hAnsi="仿宋_GB2312" w:eastAsia="仿宋_GB2312"/>
          <w:color w:val="auto"/>
          <w:kern w:val="0"/>
          <w:sz w:val="32"/>
          <w:lang w:val="en-US" w:eastAsia="zh-CN"/>
        </w:rPr>
        <w:t>4.23</w:t>
      </w:r>
      <w:r>
        <w:rPr>
          <w:rFonts w:hint="eastAsia" w:ascii="仿宋_GB2312" w:hAnsi="仿宋_GB2312" w:eastAsia="仿宋_GB2312"/>
          <w:color w:val="auto"/>
          <w:kern w:val="0"/>
          <w:sz w:val="32"/>
        </w:rPr>
        <w:t>、</w:t>
      </w:r>
      <w:r>
        <w:rPr>
          <w:rFonts w:hint="eastAsia" w:ascii="仿宋_GB2312" w:hAnsi="仿宋_GB2312" w:eastAsia="仿宋_GB2312"/>
          <w:color w:val="auto"/>
          <w:kern w:val="0"/>
          <w:sz w:val="32"/>
          <w:lang w:val="en-US" w:eastAsia="zh-CN"/>
        </w:rPr>
        <w:t>劳务费165.8万元</w:t>
      </w:r>
      <w:r>
        <w:rPr>
          <w:rFonts w:hint="eastAsia" w:ascii="仿宋_GB2312" w:hAnsi="仿宋_GB2312" w:eastAsia="仿宋_GB2312"/>
          <w:color w:val="auto"/>
          <w:kern w:val="0"/>
          <w:sz w:val="32"/>
        </w:rPr>
        <w:t>，较上年增加178.85</w:t>
      </w:r>
      <w:r>
        <w:rPr>
          <w:rFonts w:hint="eastAsia" w:ascii="仿宋_GB2312" w:hAnsi="仿宋_GB2312" w:eastAsia="仿宋_GB2312"/>
          <w:color w:val="auto"/>
          <w:kern w:val="0"/>
          <w:sz w:val="32"/>
        </w:rPr>
        <w:t>万元，主要原因是：</w:t>
      </w:r>
      <w:r>
        <w:rPr>
          <w:rFonts w:hint="eastAsia" w:ascii="仿宋_GB2312" w:hAnsi="仿宋_GB2312" w:eastAsia="仿宋_GB2312"/>
          <w:color w:val="auto"/>
          <w:kern w:val="0"/>
          <w:sz w:val="32"/>
          <w:lang w:val="en-US" w:eastAsia="zh-CN"/>
        </w:rPr>
        <w:t>支付2020年没支付的普查费用，两员补助等</w:t>
      </w:r>
      <w:r>
        <w:rPr>
          <w:rFonts w:hint="eastAsia" w:ascii="仿宋_GB2312" w:hAnsi="仿宋_GB2312" w:eastAsia="仿宋_GB2312"/>
          <w:color w:val="auto"/>
          <w:kern w:val="0"/>
          <w:sz w:val="32"/>
        </w:rPr>
        <w:t>。</w:t>
      </w:r>
    </w:p>
    <w:p>
      <w:pPr>
        <w:spacing w:before="100" w:after="100" w:line="580" w:lineRule="atLeast"/>
        <w:ind w:firstLine="600"/>
        <w:rPr>
          <w:rFonts w:hint="default" w:eastAsia="Times New Roman"/>
          <w:b/>
          <w:color w:val="auto"/>
          <w:kern w:val="0"/>
          <w:sz w:val="24"/>
        </w:rPr>
      </w:pPr>
      <w:r>
        <w:rPr>
          <w:rFonts w:hint="eastAsia" w:ascii="楷体" w:hAnsi="楷体" w:eastAsia="楷体"/>
          <w:b/>
          <w:color w:val="auto"/>
          <w:kern w:val="0"/>
          <w:sz w:val="32"/>
        </w:rPr>
        <w:t>（七）关于2021年度财政拨款</w:t>
      </w:r>
      <w:r>
        <w:rPr>
          <w:rFonts w:hint="default" w:eastAsia="Times New Roman"/>
          <w:b/>
          <w:color w:val="auto"/>
          <w:kern w:val="0"/>
          <w:sz w:val="32"/>
        </w:rPr>
        <w:t>“</w:t>
      </w:r>
      <w:r>
        <w:rPr>
          <w:rFonts w:hint="eastAsia" w:ascii="楷体" w:hAnsi="楷体" w:eastAsia="楷体"/>
          <w:b/>
          <w:color w:val="auto"/>
          <w:kern w:val="0"/>
          <w:sz w:val="32"/>
        </w:rPr>
        <w:t>三公</w:t>
      </w:r>
      <w:r>
        <w:rPr>
          <w:rFonts w:hint="default" w:eastAsia="Times New Roman"/>
          <w:b/>
          <w:color w:val="auto"/>
          <w:kern w:val="0"/>
          <w:sz w:val="32"/>
        </w:rPr>
        <w:t>”</w:t>
      </w:r>
      <w:r>
        <w:rPr>
          <w:rFonts w:hint="eastAsia" w:ascii="楷体" w:hAnsi="楷体" w:eastAsia="楷体"/>
          <w:b/>
          <w:color w:val="auto"/>
          <w:kern w:val="0"/>
          <w:sz w:val="32"/>
        </w:rPr>
        <w:t>经费支出决算情况说明</w:t>
      </w:r>
    </w:p>
    <w:p>
      <w:pPr>
        <w:spacing w:before="100" w:after="100" w:line="580" w:lineRule="atLeast"/>
        <w:ind w:firstLine="600"/>
        <w:jc w:val="left"/>
        <w:rPr>
          <w:rFonts w:hint="default" w:eastAsia="Times New Roman"/>
          <w:color w:val="auto"/>
          <w:kern w:val="0"/>
          <w:sz w:val="24"/>
        </w:rPr>
      </w:pPr>
      <w:r>
        <w:rPr>
          <w:rFonts w:hint="eastAsia" w:ascii="仿宋_GB2312" w:hAnsi="仿宋_GB2312" w:eastAsia="仿宋_GB2312"/>
          <w:color w:val="auto"/>
          <w:kern w:val="0"/>
          <w:sz w:val="32"/>
        </w:rPr>
        <w:t>1、财政拨款</w:t>
      </w:r>
      <w:r>
        <w:rPr>
          <w:rFonts w:hint="default" w:eastAsia="Times New Roman"/>
          <w:color w:val="auto"/>
          <w:kern w:val="0"/>
          <w:sz w:val="32"/>
        </w:rPr>
        <w:t>“</w:t>
      </w:r>
      <w:r>
        <w:rPr>
          <w:rFonts w:hint="eastAsia" w:ascii="仿宋_GB2312" w:hAnsi="仿宋_GB2312" w:eastAsia="仿宋_GB2312"/>
          <w:color w:val="auto"/>
          <w:kern w:val="0"/>
          <w:sz w:val="32"/>
        </w:rPr>
        <w:t>三公</w:t>
      </w:r>
      <w:r>
        <w:rPr>
          <w:rFonts w:hint="default" w:eastAsia="Times New Roman"/>
          <w:color w:val="auto"/>
          <w:kern w:val="0"/>
          <w:sz w:val="32"/>
        </w:rPr>
        <w:t>”</w:t>
      </w:r>
      <w:r>
        <w:rPr>
          <w:rFonts w:hint="eastAsia" w:ascii="仿宋_GB2312" w:hAnsi="仿宋_GB2312" w:eastAsia="仿宋_GB2312"/>
          <w:color w:val="auto"/>
          <w:kern w:val="0"/>
          <w:sz w:val="32"/>
        </w:rPr>
        <w:t>经费支出决算总体情况说明</w:t>
      </w:r>
    </w:p>
    <w:p>
      <w:pPr>
        <w:spacing w:before="100" w:after="100" w:line="580" w:lineRule="atLeast"/>
        <w:ind w:firstLine="600"/>
        <w:rPr>
          <w:rFonts w:hint="default" w:eastAsia="Times New Roman"/>
          <w:color w:val="auto"/>
          <w:kern w:val="0"/>
          <w:sz w:val="24"/>
        </w:rPr>
      </w:pPr>
      <w:r>
        <w:rPr>
          <w:rFonts w:hint="eastAsia" w:ascii="仿宋_GB2312" w:hAnsi="仿宋_GB2312" w:eastAsia="仿宋_GB2312"/>
          <w:color w:val="auto"/>
          <w:kern w:val="0"/>
          <w:sz w:val="32"/>
        </w:rPr>
        <w:t>本部门2021年度财政拨款</w:t>
      </w:r>
      <w:r>
        <w:rPr>
          <w:rFonts w:hint="default" w:eastAsia="Times New Roman"/>
          <w:color w:val="auto"/>
          <w:kern w:val="0"/>
          <w:sz w:val="32"/>
        </w:rPr>
        <w:t>“</w:t>
      </w:r>
      <w:r>
        <w:rPr>
          <w:rFonts w:hint="eastAsia" w:ascii="仿宋_GB2312" w:hAnsi="仿宋_GB2312" w:eastAsia="仿宋_GB2312"/>
          <w:color w:val="auto"/>
          <w:kern w:val="0"/>
          <w:sz w:val="32"/>
        </w:rPr>
        <w:t>三公</w:t>
      </w:r>
      <w:r>
        <w:rPr>
          <w:rFonts w:hint="default" w:eastAsia="Times New Roman"/>
          <w:color w:val="auto"/>
          <w:kern w:val="0"/>
          <w:sz w:val="32"/>
        </w:rPr>
        <w:t>”</w:t>
      </w:r>
      <w:r>
        <w:rPr>
          <w:rFonts w:hint="eastAsia" w:ascii="仿宋_GB2312" w:hAnsi="仿宋_GB2312" w:eastAsia="仿宋_GB2312"/>
          <w:color w:val="auto"/>
          <w:kern w:val="0"/>
          <w:sz w:val="32"/>
        </w:rPr>
        <w:t>经费预算为9.09</w:t>
      </w:r>
      <w:r>
        <w:rPr>
          <w:rFonts w:hint="eastAsia" w:ascii="仿宋_GB2312" w:hAnsi="仿宋_GB2312" w:eastAsia="仿宋_GB2312"/>
          <w:color w:val="auto"/>
          <w:kern w:val="0"/>
          <w:sz w:val="32"/>
        </w:rPr>
        <w:t>万元，支出决算为9.09</w:t>
      </w:r>
      <w:r>
        <w:rPr>
          <w:rFonts w:hint="eastAsia" w:ascii="仿宋_GB2312" w:hAnsi="仿宋_GB2312" w:eastAsia="仿宋_GB2312"/>
          <w:color w:val="auto"/>
          <w:kern w:val="0"/>
          <w:sz w:val="32"/>
        </w:rPr>
        <w:t>万元，完成预算的100</w:t>
      </w:r>
      <w:r>
        <w:rPr>
          <w:rFonts w:hint="eastAsia" w:ascii="仿宋_GB2312" w:hAnsi="仿宋_GB2312" w:eastAsia="仿宋_GB2312"/>
          <w:color w:val="auto"/>
          <w:kern w:val="0"/>
          <w:sz w:val="32"/>
        </w:rPr>
        <w:t>%，其中：因公出国（境）费预算为0</w:t>
      </w:r>
      <w:r>
        <w:rPr>
          <w:rFonts w:hint="eastAsia" w:ascii="仿宋_GB2312" w:hAnsi="仿宋_GB2312" w:eastAsia="仿宋_GB2312"/>
          <w:color w:val="auto"/>
          <w:kern w:val="0"/>
          <w:sz w:val="32"/>
        </w:rPr>
        <w:t>万元，支出决算为0</w:t>
      </w:r>
      <w:r>
        <w:rPr>
          <w:rFonts w:hint="eastAsia" w:ascii="仿宋_GB2312" w:hAnsi="仿宋_GB2312" w:eastAsia="仿宋_GB2312"/>
          <w:color w:val="auto"/>
          <w:kern w:val="0"/>
          <w:sz w:val="32"/>
        </w:rPr>
        <w:t>万元，完成预算的0</w:t>
      </w:r>
      <w:r>
        <w:rPr>
          <w:rFonts w:hint="eastAsia" w:ascii="仿宋_GB2312" w:hAnsi="仿宋_GB2312" w:eastAsia="仿宋_GB2312"/>
          <w:color w:val="auto"/>
          <w:kern w:val="0"/>
          <w:sz w:val="32"/>
        </w:rPr>
        <w:t>%；公务用车购置及运行维护费预算为9.09</w:t>
      </w:r>
      <w:r>
        <w:rPr>
          <w:rFonts w:hint="eastAsia" w:ascii="仿宋_GB2312" w:hAnsi="仿宋_GB2312" w:eastAsia="仿宋_GB2312"/>
          <w:color w:val="auto"/>
          <w:kern w:val="0"/>
          <w:sz w:val="32"/>
        </w:rPr>
        <w:t>万元，支出决算为9.09</w:t>
      </w:r>
      <w:r>
        <w:rPr>
          <w:rFonts w:hint="eastAsia" w:ascii="仿宋_GB2312" w:hAnsi="仿宋_GB2312" w:eastAsia="仿宋_GB2312"/>
          <w:color w:val="auto"/>
          <w:kern w:val="0"/>
          <w:sz w:val="32"/>
        </w:rPr>
        <w:t>万元，完成预算的100</w:t>
      </w:r>
      <w:r>
        <w:rPr>
          <w:rFonts w:hint="eastAsia" w:ascii="仿宋_GB2312" w:hAnsi="仿宋_GB2312" w:eastAsia="仿宋_GB2312"/>
          <w:color w:val="auto"/>
          <w:kern w:val="0"/>
          <w:sz w:val="32"/>
        </w:rPr>
        <w:t>%；公务接待费预算为0</w:t>
      </w:r>
      <w:r>
        <w:rPr>
          <w:rFonts w:hint="eastAsia" w:ascii="仿宋_GB2312" w:hAnsi="仿宋_GB2312" w:eastAsia="仿宋_GB2312"/>
          <w:color w:val="auto"/>
          <w:kern w:val="0"/>
          <w:sz w:val="32"/>
        </w:rPr>
        <w:t>万元，支出决算为0</w:t>
      </w:r>
      <w:r>
        <w:rPr>
          <w:rFonts w:hint="eastAsia" w:ascii="仿宋_GB2312" w:hAnsi="仿宋_GB2312" w:eastAsia="仿宋_GB2312"/>
          <w:color w:val="auto"/>
          <w:kern w:val="0"/>
          <w:sz w:val="32"/>
        </w:rPr>
        <w:t>万元，完成预算的0</w:t>
      </w:r>
      <w:r>
        <w:rPr>
          <w:rFonts w:hint="eastAsia" w:ascii="仿宋_GB2312" w:hAnsi="仿宋_GB2312" w:eastAsia="仿宋_GB2312"/>
          <w:color w:val="auto"/>
          <w:kern w:val="0"/>
          <w:sz w:val="32"/>
        </w:rPr>
        <w:t>%。2021年度财政拨款</w:t>
      </w:r>
      <w:r>
        <w:rPr>
          <w:rFonts w:hint="default" w:eastAsia="Times New Roman"/>
          <w:color w:val="auto"/>
          <w:kern w:val="0"/>
          <w:sz w:val="32"/>
        </w:rPr>
        <w:t>“</w:t>
      </w:r>
      <w:r>
        <w:rPr>
          <w:rFonts w:hint="eastAsia" w:ascii="仿宋_GB2312" w:hAnsi="仿宋_GB2312" w:eastAsia="仿宋_GB2312"/>
          <w:color w:val="auto"/>
          <w:kern w:val="0"/>
          <w:sz w:val="32"/>
        </w:rPr>
        <w:t>三公</w:t>
      </w:r>
      <w:r>
        <w:rPr>
          <w:rFonts w:hint="default" w:eastAsia="Times New Roman"/>
          <w:color w:val="auto"/>
          <w:kern w:val="0"/>
          <w:sz w:val="32"/>
        </w:rPr>
        <w:t>”</w:t>
      </w:r>
      <w:r>
        <w:rPr>
          <w:rFonts w:hint="eastAsia" w:ascii="仿宋_GB2312" w:hAnsi="仿宋_GB2312" w:eastAsia="仿宋_GB2312"/>
          <w:color w:val="auto"/>
          <w:kern w:val="0"/>
          <w:sz w:val="32"/>
        </w:rPr>
        <w:t>经费支出决算与预算差异情况的原因：一是</w:t>
      </w:r>
      <w:r>
        <w:rPr>
          <w:rFonts w:hint="eastAsia" w:ascii="仿宋_GB2312" w:hAnsi="仿宋_GB2312" w:eastAsia="仿宋_GB2312"/>
          <w:color w:val="auto"/>
          <w:kern w:val="0"/>
          <w:sz w:val="32"/>
          <w:lang w:val="en-US" w:eastAsia="zh-CN"/>
        </w:rPr>
        <w:t>公车维修费较多车辆老化</w:t>
      </w:r>
      <w:r>
        <w:rPr>
          <w:rFonts w:hint="eastAsia" w:ascii="仿宋_GB2312" w:hAnsi="仿宋_GB2312" w:eastAsia="仿宋_GB2312"/>
          <w:color w:val="auto"/>
          <w:kern w:val="0"/>
          <w:sz w:val="32"/>
        </w:rPr>
        <w:t>；二是</w:t>
      </w:r>
      <w:r>
        <w:rPr>
          <w:rFonts w:hint="eastAsia" w:ascii="仿宋_GB2312" w:hAnsi="仿宋_GB2312" w:eastAsia="仿宋_GB2312"/>
          <w:color w:val="auto"/>
          <w:kern w:val="0"/>
          <w:sz w:val="32"/>
          <w:lang w:val="en-US" w:eastAsia="zh-CN"/>
        </w:rPr>
        <w:t>下乡业务增多</w:t>
      </w:r>
      <w:r>
        <w:rPr>
          <w:rFonts w:hint="eastAsia" w:ascii="仿宋_GB2312" w:hAnsi="仿宋_GB2312" w:eastAsia="仿宋_GB2312"/>
          <w:color w:val="auto"/>
          <w:kern w:val="0"/>
          <w:sz w:val="32"/>
        </w:rPr>
        <w:t>；</w:t>
      </w:r>
    </w:p>
    <w:p>
      <w:pPr>
        <w:spacing w:before="100" w:after="100" w:line="580" w:lineRule="atLeast"/>
        <w:ind w:firstLine="600"/>
        <w:jc w:val="left"/>
        <w:rPr>
          <w:rFonts w:hint="default" w:eastAsia="Times New Roman"/>
          <w:color w:val="auto"/>
          <w:kern w:val="0"/>
          <w:sz w:val="24"/>
        </w:rPr>
      </w:pPr>
      <w:r>
        <w:rPr>
          <w:rFonts w:hint="eastAsia" w:ascii="仿宋_GB2312" w:hAnsi="仿宋_GB2312" w:eastAsia="仿宋_GB2312"/>
          <w:color w:val="auto"/>
          <w:kern w:val="0"/>
          <w:sz w:val="32"/>
        </w:rPr>
        <w:t>2、财政拨款</w:t>
      </w:r>
      <w:r>
        <w:rPr>
          <w:rFonts w:hint="default" w:eastAsia="Times New Roman"/>
          <w:color w:val="auto"/>
          <w:kern w:val="0"/>
          <w:sz w:val="32"/>
        </w:rPr>
        <w:t>“</w:t>
      </w:r>
      <w:r>
        <w:rPr>
          <w:rFonts w:hint="eastAsia" w:ascii="仿宋_GB2312" w:hAnsi="仿宋_GB2312" w:eastAsia="仿宋_GB2312"/>
          <w:color w:val="auto"/>
          <w:kern w:val="0"/>
          <w:sz w:val="32"/>
        </w:rPr>
        <w:t>三公</w:t>
      </w:r>
      <w:r>
        <w:rPr>
          <w:rFonts w:hint="default" w:eastAsia="Times New Roman"/>
          <w:color w:val="auto"/>
          <w:kern w:val="0"/>
          <w:sz w:val="32"/>
        </w:rPr>
        <w:t>”</w:t>
      </w:r>
      <w:r>
        <w:rPr>
          <w:rFonts w:hint="eastAsia" w:ascii="仿宋_GB2312" w:hAnsi="仿宋_GB2312" w:eastAsia="仿宋_GB2312"/>
          <w:color w:val="auto"/>
          <w:kern w:val="0"/>
          <w:sz w:val="32"/>
        </w:rPr>
        <w:t>经费支出决算具体情况说明</w:t>
      </w:r>
    </w:p>
    <w:p>
      <w:pPr>
        <w:spacing w:before="100" w:after="100" w:line="580" w:lineRule="atLeast"/>
        <w:ind w:firstLine="600"/>
        <w:rPr>
          <w:rFonts w:hint="default" w:eastAsia="Times New Roman"/>
          <w:color w:val="auto"/>
          <w:kern w:val="0"/>
          <w:sz w:val="24"/>
        </w:rPr>
      </w:pPr>
      <w:r>
        <w:rPr>
          <w:rFonts w:hint="eastAsia" w:ascii="仿宋_GB2312" w:hAnsi="仿宋_GB2312" w:eastAsia="仿宋_GB2312"/>
          <w:color w:val="auto"/>
          <w:kern w:val="0"/>
          <w:sz w:val="32"/>
        </w:rPr>
        <w:t>本部门2021年度财政拨款</w:t>
      </w:r>
      <w:r>
        <w:rPr>
          <w:rFonts w:hint="default" w:eastAsia="Times New Roman"/>
          <w:color w:val="auto"/>
          <w:kern w:val="0"/>
          <w:sz w:val="32"/>
        </w:rPr>
        <w:t>“</w:t>
      </w:r>
      <w:r>
        <w:rPr>
          <w:rFonts w:hint="eastAsia" w:ascii="仿宋_GB2312" w:hAnsi="仿宋_GB2312" w:eastAsia="仿宋_GB2312"/>
          <w:color w:val="auto"/>
          <w:kern w:val="0"/>
          <w:sz w:val="32"/>
        </w:rPr>
        <w:t>三公</w:t>
      </w:r>
      <w:r>
        <w:rPr>
          <w:rFonts w:hint="default" w:eastAsia="Times New Roman"/>
          <w:color w:val="auto"/>
          <w:kern w:val="0"/>
          <w:sz w:val="32"/>
        </w:rPr>
        <w:t>”</w:t>
      </w:r>
      <w:r>
        <w:rPr>
          <w:rFonts w:hint="eastAsia" w:ascii="仿宋_GB2312" w:hAnsi="仿宋_GB2312" w:eastAsia="仿宋_GB2312"/>
          <w:color w:val="auto"/>
          <w:kern w:val="0"/>
          <w:sz w:val="32"/>
        </w:rPr>
        <w:t>经费支出9.09</w:t>
      </w:r>
      <w:r>
        <w:rPr>
          <w:rFonts w:hint="eastAsia" w:ascii="仿宋_GB2312" w:hAnsi="仿宋_GB2312" w:eastAsia="仿宋_GB2312"/>
          <w:color w:val="auto"/>
          <w:kern w:val="0"/>
          <w:sz w:val="32"/>
        </w:rPr>
        <w:t>万元，因公出国（境）费支出0</w:t>
      </w:r>
      <w:r>
        <w:rPr>
          <w:rFonts w:hint="eastAsia" w:ascii="仿宋_GB2312" w:hAnsi="仿宋_GB2312" w:eastAsia="仿宋_GB2312"/>
          <w:color w:val="auto"/>
          <w:kern w:val="0"/>
          <w:sz w:val="32"/>
        </w:rPr>
        <w:t>万元，占</w:t>
      </w:r>
      <w:r>
        <w:rPr>
          <w:rFonts w:hint="default" w:eastAsia="Times New Roman"/>
          <w:color w:val="auto"/>
          <w:kern w:val="0"/>
          <w:sz w:val="32"/>
        </w:rPr>
        <w:t>“</w:t>
      </w:r>
      <w:r>
        <w:rPr>
          <w:rFonts w:hint="eastAsia" w:ascii="仿宋_GB2312" w:hAnsi="仿宋_GB2312" w:eastAsia="仿宋_GB2312"/>
          <w:color w:val="auto"/>
          <w:kern w:val="0"/>
          <w:sz w:val="32"/>
        </w:rPr>
        <w:t>三公</w:t>
      </w:r>
      <w:r>
        <w:rPr>
          <w:rFonts w:hint="default" w:eastAsia="Times New Roman"/>
          <w:color w:val="auto"/>
          <w:kern w:val="0"/>
          <w:sz w:val="32"/>
        </w:rPr>
        <w:t>”</w:t>
      </w:r>
      <w:r>
        <w:rPr>
          <w:rFonts w:hint="eastAsia" w:ascii="仿宋_GB2312" w:hAnsi="仿宋_GB2312" w:eastAsia="仿宋_GB2312"/>
          <w:color w:val="auto"/>
          <w:kern w:val="0"/>
          <w:sz w:val="32"/>
        </w:rPr>
        <w:t>经费支出的0</w:t>
      </w:r>
      <w:r>
        <w:rPr>
          <w:rFonts w:hint="eastAsia" w:ascii="仿宋_GB2312" w:hAnsi="仿宋_GB2312" w:eastAsia="仿宋_GB2312"/>
          <w:color w:val="auto"/>
          <w:kern w:val="0"/>
          <w:sz w:val="32"/>
        </w:rPr>
        <w:t>%；公务用车购置及运行维护费支出9.09</w:t>
      </w:r>
      <w:r>
        <w:rPr>
          <w:rFonts w:hint="eastAsia" w:ascii="仿宋_GB2312" w:hAnsi="仿宋_GB2312" w:eastAsia="仿宋_GB2312"/>
          <w:color w:val="auto"/>
          <w:kern w:val="0"/>
          <w:sz w:val="32"/>
        </w:rPr>
        <w:t>万元，占100</w:t>
      </w:r>
      <w:r>
        <w:rPr>
          <w:rFonts w:hint="eastAsia" w:ascii="仿宋_GB2312" w:hAnsi="仿宋_GB2312" w:eastAsia="仿宋_GB2312"/>
          <w:color w:val="auto"/>
          <w:kern w:val="0"/>
          <w:sz w:val="32"/>
        </w:rPr>
        <w:t>%；公务接待费支出0</w:t>
      </w:r>
      <w:r>
        <w:rPr>
          <w:rFonts w:hint="eastAsia" w:ascii="仿宋_GB2312" w:hAnsi="仿宋_GB2312" w:eastAsia="仿宋_GB2312"/>
          <w:color w:val="auto"/>
          <w:kern w:val="0"/>
          <w:sz w:val="32"/>
        </w:rPr>
        <w:t>万元，占0</w:t>
      </w:r>
      <w:r>
        <w:rPr>
          <w:rFonts w:hint="eastAsia" w:ascii="仿宋_GB2312" w:hAnsi="仿宋_GB2312" w:eastAsia="仿宋_GB2312"/>
          <w:color w:val="auto"/>
          <w:kern w:val="0"/>
          <w:sz w:val="32"/>
        </w:rPr>
        <w:t>%。具体情况如下：</w:t>
      </w:r>
    </w:p>
    <w:p>
      <w:pPr>
        <w:spacing w:before="100" w:after="100" w:line="580" w:lineRule="atLeast"/>
        <w:ind w:firstLine="600"/>
        <w:rPr>
          <w:rFonts w:hint="eastAsia" w:ascii="仿宋_GB2312" w:hAnsi="仿宋_GB2312" w:eastAsia="仿宋_GB2312"/>
          <w:color w:val="auto"/>
          <w:kern w:val="0"/>
          <w:sz w:val="32"/>
          <w:lang w:val="en-US" w:eastAsia="zh-CN"/>
        </w:rPr>
      </w:pPr>
      <w:r>
        <w:rPr>
          <w:rFonts w:hint="eastAsia" w:ascii="仿宋_GB2312" w:hAnsi="仿宋_GB2312" w:eastAsia="仿宋_GB2312"/>
          <w:b/>
          <w:color w:val="auto"/>
          <w:kern w:val="0"/>
          <w:sz w:val="32"/>
        </w:rPr>
        <w:t>因公出国（境）费支出</w:t>
      </w:r>
      <w:r>
        <w:rPr>
          <w:rFonts w:hint="eastAsia" w:ascii="仿宋_GB2312" w:hAnsi="仿宋_GB2312" w:eastAsia="仿宋_GB2312"/>
          <w:color w:val="auto"/>
          <w:kern w:val="0"/>
          <w:sz w:val="32"/>
        </w:rPr>
        <w:t>0</w:t>
      </w:r>
      <w:r>
        <w:rPr>
          <w:rFonts w:hint="eastAsia" w:ascii="仿宋_GB2312" w:hAnsi="仿宋_GB2312" w:eastAsia="仿宋_GB2312"/>
          <w:color w:val="auto"/>
          <w:kern w:val="0"/>
          <w:sz w:val="32"/>
        </w:rPr>
        <w:t>万元。全年因公出国（境）团组0</w:t>
      </w:r>
      <w:r>
        <w:rPr>
          <w:rFonts w:hint="eastAsia" w:ascii="仿宋_GB2312" w:hAnsi="仿宋_GB2312" w:eastAsia="仿宋_GB2312"/>
          <w:color w:val="auto"/>
          <w:kern w:val="0"/>
          <w:sz w:val="32"/>
        </w:rPr>
        <w:t>个，累计0</w:t>
      </w:r>
      <w:r>
        <w:rPr>
          <w:rFonts w:hint="eastAsia" w:ascii="仿宋_GB2312" w:hAnsi="仿宋_GB2312" w:eastAsia="仿宋_GB2312"/>
          <w:color w:val="auto"/>
          <w:kern w:val="0"/>
          <w:sz w:val="32"/>
        </w:rPr>
        <w:t>人次。主要用于</w:t>
      </w:r>
      <w:r>
        <w:rPr>
          <w:rFonts w:hint="eastAsia" w:ascii="仿宋_GB2312" w:hAnsi="仿宋_GB2312" w:eastAsia="仿宋_GB2312"/>
          <w:b/>
          <w:color w:val="auto"/>
          <w:kern w:val="0"/>
          <w:sz w:val="32"/>
        </w:rPr>
        <w:t>一是</w:t>
      </w:r>
      <w:r>
        <w:rPr>
          <w:rFonts w:hint="eastAsia" w:ascii="仿宋_GB2312" w:hAnsi="仿宋_GB2312" w:eastAsia="仿宋_GB2312"/>
          <w:color w:val="auto"/>
          <w:kern w:val="0"/>
          <w:sz w:val="32"/>
        </w:rPr>
        <w:t>……；</w:t>
      </w:r>
      <w:r>
        <w:rPr>
          <w:rFonts w:hint="eastAsia" w:ascii="仿宋_GB2312" w:hAnsi="仿宋_GB2312" w:eastAsia="仿宋_GB2312"/>
          <w:b/>
          <w:color w:val="auto"/>
          <w:kern w:val="0"/>
          <w:sz w:val="32"/>
        </w:rPr>
        <w:t>二是</w:t>
      </w:r>
      <w:r>
        <w:rPr>
          <w:rFonts w:hint="eastAsia" w:ascii="仿宋_GB2312" w:hAnsi="仿宋_GB2312" w:eastAsia="仿宋_GB2312"/>
          <w:color w:val="auto"/>
          <w:kern w:val="0"/>
          <w:sz w:val="32"/>
        </w:rPr>
        <w:t>……；</w:t>
      </w:r>
      <w:r>
        <w:rPr>
          <w:rFonts w:hint="eastAsia" w:ascii="仿宋_GB2312" w:hAnsi="仿宋_GB2312" w:eastAsia="仿宋_GB2312"/>
          <w:b/>
          <w:color w:val="auto"/>
          <w:kern w:val="0"/>
          <w:sz w:val="32"/>
        </w:rPr>
        <w:t>三是</w:t>
      </w:r>
      <w:r>
        <w:rPr>
          <w:rFonts w:hint="eastAsia" w:ascii="仿宋_GB2312" w:hAnsi="仿宋_GB2312" w:eastAsia="仿宋_GB2312"/>
          <w:color w:val="auto"/>
          <w:kern w:val="0"/>
          <w:sz w:val="32"/>
        </w:rPr>
        <w:t>……。较上年增加0</w:t>
      </w:r>
      <w:r>
        <w:rPr>
          <w:rFonts w:hint="eastAsia" w:ascii="仿宋_GB2312" w:hAnsi="仿宋_GB2312" w:eastAsia="仿宋_GB2312"/>
          <w:color w:val="auto"/>
          <w:kern w:val="0"/>
          <w:sz w:val="32"/>
        </w:rPr>
        <w:t>万元，主要原因是</w:t>
      </w:r>
      <w:r>
        <w:rPr>
          <w:rFonts w:hint="eastAsia" w:ascii="仿宋_GB2312" w:hAnsi="仿宋_GB2312" w:eastAsia="仿宋_GB2312"/>
          <w:color w:val="auto"/>
          <w:kern w:val="0"/>
          <w:sz w:val="32"/>
          <w:lang w:val="en-US" w:eastAsia="zh-CN"/>
        </w:rPr>
        <w:t>未发生支出。</w:t>
      </w:r>
    </w:p>
    <w:p>
      <w:pPr>
        <w:spacing w:before="100" w:after="100" w:line="580" w:lineRule="atLeast"/>
        <w:ind w:firstLine="600"/>
        <w:rPr>
          <w:rFonts w:hint="default" w:eastAsia="Times New Roman"/>
          <w:color w:val="auto"/>
          <w:kern w:val="0"/>
          <w:sz w:val="24"/>
        </w:rPr>
      </w:pPr>
      <w:r>
        <w:rPr>
          <w:rFonts w:hint="eastAsia" w:ascii="仿宋_GB2312" w:hAnsi="仿宋_GB2312" w:eastAsia="仿宋_GB2312"/>
          <w:b/>
          <w:color w:val="auto"/>
          <w:kern w:val="0"/>
          <w:sz w:val="32"/>
        </w:rPr>
        <w:t>公务用车购置及运行维护费支出</w:t>
      </w:r>
      <w:r>
        <w:rPr>
          <w:rFonts w:hint="eastAsia" w:ascii="仿宋_GB2312" w:hAnsi="仿宋_GB2312" w:eastAsia="仿宋_GB2312"/>
          <w:color w:val="auto"/>
          <w:kern w:val="0"/>
          <w:sz w:val="32"/>
        </w:rPr>
        <w:t>9.09</w:t>
      </w:r>
      <w:r>
        <w:rPr>
          <w:rFonts w:hint="eastAsia" w:ascii="仿宋_GB2312" w:hAnsi="仿宋_GB2312" w:eastAsia="仿宋_GB2312"/>
          <w:color w:val="auto"/>
          <w:kern w:val="0"/>
          <w:sz w:val="32"/>
        </w:rPr>
        <w:t>万元。其中：公务用车购置支出0</w:t>
      </w:r>
      <w:r>
        <w:rPr>
          <w:rFonts w:hint="eastAsia" w:ascii="仿宋_GB2312" w:hAnsi="仿宋_GB2312" w:eastAsia="仿宋_GB2312"/>
          <w:color w:val="auto"/>
          <w:kern w:val="0"/>
          <w:sz w:val="32"/>
        </w:rPr>
        <w:t>万元，用</w:t>
      </w:r>
      <w:r>
        <w:rPr>
          <w:rFonts w:hint="eastAsia" w:ascii="仿宋_GB2312" w:hAnsi="仿宋_GB2312" w:eastAsia="仿宋_GB2312"/>
          <w:color w:val="auto"/>
          <w:kern w:val="0"/>
          <w:sz w:val="32"/>
          <w:lang w:val="en-US" w:eastAsia="zh-CN"/>
        </w:rPr>
        <w:t>于车辆维修和下乡燃油费</w:t>
      </w:r>
      <w:r>
        <w:rPr>
          <w:rFonts w:hint="eastAsia" w:ascii="仿宋_GB2312" w:hAnsi="仿宋_GB2312" w:eastAsia="仿宋_GB2312"/>
          <w:color w:val="auto"/>
          <w:kern w:val="0"/>
          <w:sz w:val="32"/>
        </w:rPr>
        <w:t>支出，车均购置费0</w:t>
      </w:r>
      <w:r>
        <w:rPr>
          <w:rFonts w:hint="eastAsia" w:ascii="仿宋_GB2312" w:hAnsi="仿宋_GB2312" w:eastAsia="仿宋_GB2312"/>
          <w:color w:val="auto"/>
          <w:kern w:val="0"/>
          <w:sz w:val="32"/>
        </w:rPr>
        <w:t>万元，公务用车购置支出较上年增加0</w:t>
      </w:r>
      <w:r>
        <w:rPr>
          <w:rFonts w:hint="eastAsia" w:ascii="仿宋_GB2312" w:hAnsi="仿宋_GB2312" w:eastAsia="仿宋_GB2312"/>
          <w:color w:val="auto"/>
          <w:kern w:val="0"/>
          <w:sz w:val="32"/>
        </w:rPr>
        <w:t>万元，主要原因是</w:t>
      </w:r>
      <w:r>
        <w:rPr>
          <w:rFonts w:hint="eastAsia" w:ascii="仿宋_GB2312" w:hAnsi="仿宋_GB2312" w:eastAsia="仿宋_GB2312"/>
          <w:color w:val="auto"/>
          <w:kern w:val="0"/>
          <w:sz w:val="32"/>
          <w:lang w:val="en-US" w:eastAsia="zh-CN"/>
        </w:rPr>
        <w:t>未发生公车购置费</w:t>
      </w:r>
      <w:r>
        <w:rPr>
          <w:rFonts w:hint="eastAsia" w:ascii="仿宋_GB2312" w:hAnsi="仿宋_GB2312" w:eastAsia="仿宋_GB2312"/>
          <w:color w:val="auto"/>
          <w:kern w:val="0"/>
          <w:sz w:val="32"/>
        </w:rPr>
        <w:t>。公务用车运行维护费支出9.09</w:t>
      </w:r>
      <w:r>
        <w:rPr>
          <w:rFonts w:hint="eastAsia" w:ascii="仿宋_GB2312" w:hAnsi="仿宋_GB2312" w:eastAsia="仿宋_GB2312"/>
          <w:color w:val="auto"/>
          <w:kern w:val="0"/>
          <w:sz w:val="32"/>
        </w:rPr>
        <w:t>万元，用于</w:t>
      </w:r>
      <w:r>
        <w:rPr>
          <w:rFonts w:hint="eastAsia" w:ascii="仿宋_GB2312" w:hAnsi="仿宋_GB2312" w:eastAsia="仿宋_GB2312"/>
          <w:color w:val="auto"/>
          <w:kern w:val="0"/>
          <w:sz w:val="32"/>
          <w:lang w:val="en-US" w:eastAsia="zh-CN"/>
        </w:rPr>
        <w:t>车辆维修和下乡燃油费</w:t>
      </w:r>
      <w:r>
        <w:rPr>
          <w:rFonts w:hint="eastAsia" w:ascii="仿宋_GB2312" w:hAnsi="仿宋_GB2312" w:eastAsia="仿宋_GB2312"/>
          <w:color w:val="auto"/>
          <w:kern w:val="0"/>
          <w:sz w:val="32"/>
        </w:rPr>
        <w:t>支出，车均运维费9.09</w:t>
      </w:r>
      <w:r>
        <w:rPr>
          <w:rFonts w:hint="eastAsia" w:ascii="仿宋_GB2312" w:hAnsi="仿宋_GB2312" w:eastAsia="仿宋_GB2312"/>
          <w:color w:val="auto"/>
          <w:kern w:val="0"/>
          <w:sz w:val="32"/>
        </w:rPr>
        <w:t>万元，公务用车运行维护费支出较上年增加1.37</w:t>
      </w:r>
      <w:r>
        <w:rPr>
          <w:rFonts w:hint="eastAsia" w:ascii="仿宋_GB2312" w:hAnsi="仿宋_GB2312" w:eastAsia="仿宋_GB2312"/>
          <w:color w:val="auto"/>
          <w:kern w:val="0"/>
          <w:sz w:val="32"/>
        </w:rPr>
        <w:t>万元，主要原因是</w:t>
      </w:r>
      <w:r>
        <w:rPr>
          <w:rFonts w:hint="eastAsia" w:ascii="仿宋_GB2312" w:hAnsi="仿宋_GB2312" w:eastAsia="仿宋_GB2312"/>
          <w:color w:val="auto"/>
          <w:kern w:val="0"/>
          <w:sz w:val="32"/>
          <w:lang w:val="en-US" w:eastAsia="zh-CN"/>
        </w:rPr>
        <w:t>车辆老化维修费增多</w:t>
      </w:r>
      <w:r>
        <w:rPr>
          <w:rFonts w:hint="eastAsia" w:ascii="仿宋_GB2312" w:hAnsi="仿宋_GB2312" w:eastAsia="仿宋_GB2312"/>
          <w:color w:val="auto"/>
          <w:kern w:val="0"/>
          <w:sz w:val="32"/>
        </w:rPr>
        <w:t>，财政拨款开支的公务用车保有量为1</w:t>
      </w:r>
      <w:r>
        <w:rPr>
          <w:rFonts w:hint="eastAsia" w:ascii="仿宋_GB2312" w:hAnsi="仿宋_GB2312" w:eastAsia="仿宋_GB2312"/>
          <w:color w:val="auto"/>
          <w:kern w:val="0"/>
          <w:sz w:val="32"/>
        </w:rPr>
        <w:t>辆。</w:t>
      </w:r>
    </w:p>
    <w:p>
      <w:pPr>
        <w:spacing w:before="100" w:after="100" w:line="580" w:lineRule="atLeast"/>
        <w:ind w:firstLine="600"/>
        <w:rPr>
          <w:rFonts w:hint="eastAsia" w:ascii="仿宋_GB2312" w:hAnsi="仿宋_GB2312" w:eastAsia="仿宋_GB2312"/>
          <w:color w:val="auto"/>
          <w:kern w:val="0"/>
          <w:sz w:val="32"/>
          <w:lang w:val="en-US" w:eastAsia="zh-CN"/>
        </w:rPr>
      </w:pPr>
      <w:r>
        <w:rPr>
          <w:rFonts w:hint="eastAsia" w:ascii="仿宋_GB2312" w:hAnsi="仿宋_GB2312" w:eastAsia="仿宋_GB2312"/>
          <w:b/>
          <w:color w:val="auto"/>
          <w:kern w:val="0"/>
          <w:sz w:val="32"/>
        </w:rPr>
        <w:t>公务接待费支出</w:t>
      </w:r>
      <w:r>
        <w:rPr>
          <w:rFonts w:hint="eastAsia" w:ascii="仿宋_GB2312" w:hAnsi="仿宋_GB2312" w:eastAsia="仿宋_GB2312"/>
          <w:color w:val="auto"/>
          <w:kern w:val="0"/>
          <w:sz w:val="32"/>
        </w:rPr>
        <w:t>0</w:t>
      </w:r>
      <w:r>
        <w:rPr>
          <w:rFonts w:hint="eastAsia" w:ascii="仿宋_GB2312" w:hAnsi="仿宋_GB2312" w:eastAsia="仿宋_GB2312"/>
          <w:color w:val="auto"/>
          <w:kern w:val="0"/>
          <w:sz w:val="32"/>
        </w:rPr>
        <w:t>万元。其中：国内公务接待费0</w:t>
      </w:r>
      <w:r>
        <w:rPr>
          <w:rFonts w:hint="eastAsia" w:ascii="仿宋_GB2312" w:hAnsi="仿宋_GB2312" w:eastAsia="仿宋_GB2312"/>
          <w:color w:val="auto"/>
          <w:kern w:val="0"/>
          <w:sz w:val="32"/>
        </w:rPr>
        <w:t>万元，接待0</w:t>
      </w:r>
      <w:r>
        <w:rPr>
          <w:rFonts w:hint="eastAsia" w:ascii="仿宋_GB2312" w:hAnsi="仿宋_GB2312" w:eastAsia="仿宋_GB2312"/>
          <w:color w:val="auto"/>
          <w:kern w:val="0"/>
          <w:sz w:val="32"/>
        </w:rPr>
        <w:t>批次，共接待0</w:t>
      </w:r>
      <w:r>
        <w:rPr>
          <w:rFonts w:hint="eastAsia" w:ascii="仿宋_GB2312" w:hAnsi="仿宋_GB2312" w:eastAsia="仿宋_GB2312"/>
          <w:color w:val="auto"/>
          <w:kern w:val="0"/>
          <w:sz w:val="32"/>
        </w:rPr>
        <w:t>人次。；三是。国（境）外接待费0</w:t>
      </w:r>
      <w:r>
        <w:rPr>
          <w:rFonts w:hint="eastAsia" w:ascii="仿宋_GB2312" w:hAnsi="仿宋_GB2312" w:eastAsia="仿宋_GB2312"/>
          <w:color w:val="auto"/>
          <w:kern w:val="0"/>
          <w:sz w:val="32"/>
        </w:rPr>
        <w:t>万元，接待0</w:t>
      </w:r>
      <w:r>
        <w:rPr>
          <w:rFonts w:hint="eastAsia" w:ascii="仿宋_GB2312" w:hAnsi="仿宋_GB2312" w:eastAsia="仿宋_GB2312"/>
          <w:color w:val="auto"/>
          <w:kern w:val="0"/>
          <w:sz w:val="32"/>
        </w:rPr>
        <w:t>批次，共接待0</w:t>
      </w:r>
      <w:r>
        <w:rPr>
          <w:rFonts w:hint="eastAsia" w:ascii="仿宋_GB2312" w:hAnsi="仿宋_GB2312" w:eastAsia="仿宋_GB2312"/>
          <w:color w:val="auto"/>
          <w:kern w:val="0"/>
          <w:sz w:val="32"/>
        </w:rPr>
        <w:t>人次。公务接待费支出较上年增加0</w:t>
      </w:r>
      <w:r>
        <w:rPr>
          <w:rFonts w:hint="eastAsia" w:ascii="仿宋_GB2312" w:hAnsi="仿宋_GB2312" w:eastAsia="仿宋_GB2312"/>
          <w:color w:val="auto"/>
          <w:kern w:val="0"/>
          <w:sz w:val="32"/>
        </w:rPr>
        <w:t>万元，主要原因是</w:t>
      </w:r>
      <w:r>
        <w:rPr>
          <w:rFonts w:hint="eastAsia" w:ascii="仿宋_GB2312" w:hAnsi="仿宋_GB2312" w:eastAsia="仿宋_GB2312"/>
          <w:color w:val="auto"/>
          <w:kern w:val="0"/>
          <w:sz w:val="32"/>
          <w:lang w:val="en-US" w:eastAsia="zh-CN"/>
        </w:rPr>
        <w:t>未发生公务接待支出。</w:t>
      </w:r>
    </w:p>
    <w:p>
      <w:pPr>
        <w:spacing w:before="100" w:after="100" w:line="580" w:lineRule="atLeast"/>
        <w:ind w:firstLine="600"/>
        <w:rPr>
          <w:rFonts w:hint="default" w:eastAsia="Times New Roman"/>
          <w:b/>
          <w:color w:val="auto"/>
          <w:kern w:val="0"/>
          <w:sz w:val="24"/>
        </w:rPr>
      </w:pPr>
      <w:r>
        <w:rPr>
          <w:rFonts w:hint="eastAsia" w:ascii="楷体" w:hAnsi="楷体" w:eastAsia="楷体"/>
          <w:b/>
          <w:color w:val="auto"/>
          <w:kern w:val="0"/>
          <w:sz w:val="32"/>
        </w:rPr>
        <w:t>（八）关于2021年度政府性基金预算财政拨款支出决算情况说明</w:t>
      </w:r>
    </w:p>
    <w:p>
      <w:pPr>
        <w:spacing w:line="560" w:lineRule="exact"/>
        <w:ind w:firstLine="640"/>
        <w:rPr>
          <w:rFonts w:hint="eastAsia" w:ascii="仿宋_GB2312" w:hAnsi="仿宋_GB2312" w:eastAsia="仿宋_GB2312"/>
          <w:color w:val="auto"/>
          <w:sz w:val="32"/>
        </w:rPr>
      </w:pPr>
      <w:r>
        <w:rPr>
          <w:rFonts w:hint="eastAsia" w:ascii="仿宋_GB2312" w:hAnsi="仿宋_GB2312" w:eastAsia="仿宋_GB2312"/>
          <w:color w:val="auto"/>
          <w:sz w:val="32"/>
        </w:rPr>
        <w:t>2021年度政府性基金预算收入决算0</w:t>
      </w:r>
      <w:r>
        <w:rPr>
          <w:rFonts w:hint="eastAsia" w:ascii="仿宋_GB2312" w:hAnsi="仿宋_GB2312" w:eastAsia="仿宋_GB2312"/>
          <w:color w:val="auto"/>
          <w:sz w:val="32"/>
        </w:rPr>
        <w:t>万元。与上年相比，增加0</w:t>
      </w:r>
      <w:r>
        <w:rPr>
          <w:rFonts w:hint="eastAsia" w:ascii="仿宋_GB2312" w:hAnsi="仿宋_GB2312" w:eastAsia="仿宋_GB2312"/>
          <w:color w:val="auto"/>
          <w:sz w:val="32"/>
        </w:rPr>
        <w:t>万元，增长0</w:t>
      </w:r>
      <w:r>
        <w:rPr>
          <w:rFonts w:hint="eastAsia" w:ascii="仿宋_GB2312" w:hAnsi="仿宋_GB2312" w:eastAsia="仿宋_GB2312"/>
          <w:color w:val="auto"/>
          <w:sz w:val="32"/>
        </w:rPr>
        <w:t>%，变动原因</w:t>
      </w:r>
      <w:r>
        <w:rPr>
          <w:rFonts w:hint="eastAsia" w:ascii="仿宋_GB2312" w:hAnsi="仿宋_GB2312" w:eastAsia="仿宋_GB2312"/>
          <w:color w:val="auto"/>
          <w:sz w:val="32"/>
          <w:lang w:val="en-US" w:eastAsia="zh-CN"/>
        </w:rPr>
        <w:t>是本年无政府基金预算拨款支出</w:t>
      </w:r>
      <w:r>
        <w:rPr>
          <w:rFonts w:hint="eastAsia" w:ascii="仿宋_GB2312" w:hAnsi="仿宋_GB2312" w:eastAsia="仿宋_GB2312"/>
          <w:color w:val="auto"/>
          <w:sz w:val="32"/>
        </w:rPr>
        <w:t>；支出决算0</w:t>
      </w:r>
      <w:r>
        <w:rPr>
          <w:rFonts w:hint="eastAsia" w:ascii="仿宋_GB2312" w:hAnsi="仿宋_GB2312" w:eastAsia="仿宋_GB2312"/>
          <w:color w:val="auto"/>
          <w:sz w:val="32"/>
        </w:rPr>
        <w:t>万元。与上年相比，增加0</w:t>
      </w:r>
      <w:r>
        <w:rPr>
          <w:rFonts w:hint="eastAsia" w:ascii="仿宋_GB2312" w:hAnsi="仿宋_GB2312" w:eastAsia="仿宋_GB2312"/>
          <w:color w:val="auto"/>
          <w:sz w:val="32"/>
        </w:rPr>
        <w:t>万元，增长0</w:t>
      </w:r>
      <w:r>
        <w:rPr>
          <w:rFonts w:hint="eastAsia" w:ascii="仿宋_GB2312" w:hAnsi="仿宋_GB2312" w:eastAsia="仿宋_GB2312"/>
          <w:color w:val="auto"/>
          <w:sz w:val="32"/>
        </w:rPr>
        <w:t>%，变动原因：本年无政府性基金预算拨款支出</w:t>
      </w:r>
      <w:r>
        <w:rPr>
          <w:rFonts w:hint="eastAsia" w:ascii="仿宋_GB2312" w:hAnsi="仿宋_GB2312" w:eastAsia="仿宋_GB2312"/>
          <w:color w:val="auto"/>
          <w:sz w:val="32"/>
        </w:rPr>
        <w:t>。</w:t>
      </w:r>
    </w:p>
    <w:p>
      <w:pPr>
        <w:spacing w:before="100" w:after="100" w:line="580" w:lineRule="atLeast"/>
        <w:ind w:firstLine="600"/>
        <w:rPr>
          <w:rFonts w:hint="default" w:eastAsia="Times New Roman"/>
          <w:b/>
          <w:color w:val="auto"/>
          <w:kern w:val="0"/>
          <w:sz w:val="32"/>
        </w:rPr>
      </w:pPr>
      <w:r>
        <w:rPr>
          <w:rFonts w:hint="eastAsia" w:ascii="楷体" w:hAnsi="楷体" w:eastAsia="楷体"/>
          <w:b/>
          <w:color w:val="auto"/>
          <w:kern w:val="0"/>
          <w:sz w:val="32"/>
        </w:rPr>
        <w:t>（九）关于2021年度国有资本经营预算支出决算情况说明</w:t>
      </w:r>
    </w:p>
    <w:p>
      <w:pPr>
        <w:spacing w:line="560" w:lineRule="exact"/>
        <w:ind w:firstLine="640"/>
        <w:rPr>
          <w:rFonts w:hint="default" w:eastAsia="Times New Roman"/>
          <w:color w:val="FF0000"/>
          <w:sz w:val="32"/>
        </w:rPr>
      </w:pPr>
      <w:r>
        <w:rPr>
          <w:rFonts w:hint="eastAsia" w:ascii="仿宋_GB2312" w:hAnsi="仿宋_GB2312" w:eastAsia="仿宋_GB2312"/>
          <w:color w:val="auto"/>
          <w:sz w:val="32"/>
        </w:rPr>
        <w:t>2021年度国有资本经营预算收入决算0</w:t>
      </w:r>
      <w:r>
        <w:rPr>
          <w:rFonts w:hint="eastAsia" w:ascii="仿宋_GB2312" w:hAnsi="仿宋_GB2312" w:eastAsia="仿宋_GB2312"/>
          <w:color w:val="auto"/>
          <w:sz w:val="32"/>
        </w:rPr>
        <w:t>万元，与上年相比，与上年相比，增加0</w:t>
      </w:r>
      <w:r>
        <w:rPr>
          <w:rFonts w:hint="eastAsia" w:ascii="仿宋_GB2312" w:hAnsi="仿宋_GB2312" w:eastAsia="仿宋_GB2312"/>
          <w:color w:val="auto"/>
          <w:sz w:val="32"/>
        </w:rPr>
        <w:t>万元，增长0%；</w:t>
      </w:r>
      <w:r>
        <w:rPr>
          <w:rFonts w:hint="eastAsia" w:ascii="仿宋_GB2312" w:hAnsi="仿宋_GB2312" w:eastAsia="仿宋_GB2312"/>
          <w:color w:val="auto"/>
          <w:sz w:val="32"/>
        </w:rPr>
        <w:t>支出决算0</w:t>
      </w:r>
      <w:r>
        <w:rPr>
          <w:rFonts w:hint="eastAsia" w:ascii="仿宋_GB2312" w:hAnsi="仿宋_GB2312" w:eastAsia="仿宋_GB2312"/>
          <w:color w:val="auto"/>
          <w:sz w:val="32"/>
        </w:rPr>
        <w:t>万元。与上年相比，增加0</w:t>
      </w:r>
      <w:r>
        <w:rPr>
          <w:rFonts w:hint="eastAsia" w:ascii="仿宋_GB2312" w:hAnsi="仿宋_GB2312" w:eastAsia="仿宋_GB2312"/>
          <w:color w:val="auto"/>
          <w:sz w:val="32"/>
        </w:rPr>
        <w:t>万元，增长0</w:t>
      </w:r>
      <w:r>
        <w:rPr>
          <w:rFonts w:hint="eastAsia" w:ascii="仿宋_GB2312" w:hAnsi="仿宋_GB2312" w:eastAsia="仿宋_GB2312"/>
          <w:color w:val="auto"/>
          <w:sz w:val="32"/>
        </w:rPr>
        <w:t>%，变动原因：</w:t>
      </w:r>
      <w:r>
        <w:rPr>
          <w:rFonts w:hint="eastAsia" w:ascii="仿宋_GB2312" w:hAnsi="仿宋_GB2312" w:eastAsia="仿宋_GB2312"/>
          <w:color w:val="auto"/>
          <w:sz w:val="32"/>
          <w:lang w:val="en-US" w:eastAsia="zh-CN"/>
        </w:rPr>
        <w:t>本年无国有资本经营预算拨款支出</w:t>
      </w:r>
      <w:r>
        <w:rPr>
          <w:rFonts w:hint="eastAsia" w:ascii="仿宋_GB2312" w:hAnsi="仿宋_GB2312" w:eastAsia="仿宋_GB2312"/>
          <w:color w:val="auto"/>
          <w:sz w:val="32"/>
        </w:rPr>
        <w:t>。</w:t>
      </w:r>
    </w:p>
    <w:p>
      <w:pPr>
        <w:spacing w:before="100" w:after="100" w:line="580" w:lineRule="atLeast"/>
        <w:ind w:firstLine="600"/>
        <w:rPr>
          <w:rFonts w:hint="default" w:eastAsia="Times New Roman"/>
          <w:b/>
          <w:color w:val="auto"/>
          <w:kern w:val="0"/>
          <w:sz w:val="32"/>
        </w:rPr>
      </w:pPr>
      <w:r>
        <w:rPr>
          <w:rFonts w:hint="eastAsia" w:ascii="楷体" w:hAnsi="楷体" w:eastAsia="楷体"/>
          <w:b/>
          <w:color w:val="auto"/>
          <w:kern w:val="0"/>
          <w:sz w:val="32"/>
        </w:rPr>
        <w:t>（十）关于2021年度项目支出决算情况说明</w:t>
      </w:r>
    </w:p>
    <w:p>
      <w:pPr>
        <w:spacing w:line="560" w:lineRule="exact"/>
        <w:ind w:firstLine="640"/>
        <w:rPr>
          <w:rFonts w:hint="default" w:eastAsia="Times New Roman"/>
          <w:color w:val="auto"/>
          <w:kern w:val="0"/>
          <w:sz w:val="32"/>
        </w:rPr>
      </w:pPr>
      <w:r>
        <w:rPr>
          <w:rFonts w:hint="eastAsia" w:ascii="仿宋_GB2312" w:hAnsi="仿宋_GB2312" w:eastAsia="仿宋_GB2312"/>
          <w:color w:val="auto"/>
          <w:kern w:val="0"/>
          <w:sz w:val="32"/>
        </w:rPr>
        <w:t>2021年，部门（单位）预算安排项目</w:t>
      </w:r>
      <w:r>
        <w:rPr>
          <w:rFonts w:hint="eastAsia" w:ascii="仿宋_GB2312" w:hAnsi="仿宋_GB2312" w:eastAsia="仿宋_GB2312"/>
          <w:color w:val="auto"/>
          <w:kern w:val="0"/>
          <w:sz w:val="32"/>
          <w:lang w:val="en-US" w:eastAsia="zh-CN"/>
        </w:rPr>
        <w:t>3</w:t>
      </w:r>
      <w:r>
        <w:rPr>
          <w:rFonts w:hint="eastAsia" w:ascii="仿宋_GB2312" w:hAnsi="仿宋_GB2312" w:eastAsia="仿宋_GB2312"/>
          <w:color w:val="auto"/>
          <w:kern w:val="0"/>
          <w:sz w:val="32"/>
        </w:rPr>
        <w:t>个，实施项目</w:t>
      </w:r>
      <w:r>
        <w:rPr>
          <w:rFonts w:hint="eastAsia" w:ascii="仿宋_GB2312" w:hAnsi="仿宋_GB2312" w:eastAsia="仿宋_GB2312"/>
          <w:color w:val="auto"/>
          <w:kern w:val="0"/>
          <w:sz w:val="32"/>
          <w:lang w:val="en-US" w:eastAsia="zh-CN"/>
        </w:rPr>
        <w:t>3</w:t>
      </w:r>
      <w:r>
        <w:rPr>
          <w:rFonts w:hint="eastAsia" w:ascii="仿宋_GB2312" w:hAnsi="仿宋_GB2312" w:eastAsia="仿宋_GB2312"/>
          <w:color w:val="auto"/>
          <w:kern w:val="0"/>
          <w:sz w:val="32"/>
        </w:rPr>
        <w:t>个，完成项目</w:t>
      </w:r>
      <w:r>
        <w:rPr>
          <w:rFonts w:hint="eastAsia" w:ascii="仿宋_GB2312" w:hAnsi="仿宋_GB2312" w:eastAsia="仿宋_GB2312"/>
          <w:color w:val="auto"/>
          <w:kern w:val="0"/>
          <w:sz w:val="32"/>
          <w:lang w:val="en-US" w:eastAsia="zh-CN"/>
        </w:rPr>
        <w:t>3</w:t>
      </w:r>
      <w:r>
        <w:rPr>
          <w:rFonts w:hint="eastAsia" w:ascii="仿宋_GB2312" w:hAnsi="仿宋_GB2312" w:eastAsia="仿宋_GB2312"/>
          <w:color w:val="auto"/>
          <w:kern w:val="0"/>
          <w:sz w:val="32"/>
        </w:rPr>
        <w:t>个，项目支出总金额</w:t>
      </w:r>
      <w:r>
        <w:rPr>
          <w:rFonts w:hint="eastAsia" w:ascii="仿宋_GB2312" w:hAnsi="仿宋_GB2312" w:eastAsia="仿宋_GB2312"/>
          <w:color w:val="auto"/>
          <w:kern w:val="0"/>
          <w:sz w:val="32"/>
          <w:lang w:val="en-US" w:eastAsia="zh-CN"/>
        </w:rPr>
        <w:t>0</w:t>
      </w:r>
      <w:r>
        <w:rPr>
          <w:rFonts w:hint="eastAsia" w:ascii="仿宋_GB2312" w:hAnsi="仿宋_GB2312" w:eastAsia="仿宋_GB2312"/>
          <w:color w:val="auto"/>
          <w:kern w:val="0"/>
          <w:sz w:val="32"/>
        </w:rPr>
        <w:t>万元。财政本年拨款金额0</w:t>
      </w:r>
      <w:r>
        <w:rPr>
          <w:rFonts w:hint="eastAsia" w:ascii="仿宋_GB2312" w:hAnsi="仿宋_GB2312" w:eastAsia="仿宋_GB2312"/>
          <w:color w:val="auto"/>
          <w:kern w:val="0"/>
          <w:sz w:val="32"/>
        </w:rPr>
        <w:t>万元，财政拨款结转结余0</w:t>
      </w:r>
      <w:r>
        <w:rPr>
          <w:rFonts w:hint="eastAsia" w:ascii="仿宋_GB2312" w:hAnsi="仿宋_GB2312" w:eastAsia="仿宋_GB2312"/>
          <w:color w:val="auto"/>
          <w:kern w:val="0"/>
          <w:sz w:val="32"/>
        </w:rPr>
        <w:t>万元，其他资金结转结余0</w:t>
      </w:r>
      <w:r>
        <w:rPr>
          <w:rFonts w:hint="eastAsia" w:ascii="仿宋_GB2312" w:hAnsi="仿宋_GB2312" w:eastAsia="仿宋_GB2312"/>
          <w:color w:val="auto"/>
          <w:kern w:val="0"/>
          <w:sz w:val="32"/>
        </w:rPr>
        <w:t>万元。</w:t>
      </w:r>
    </w:p>
    <w:p>
      <w:pPr>
        <w:spacing w:before="100" w:after="100" w:line="580" w:lineRule="atLeast"/>
        <w:ind w:firstLine="600"/>
        <w:jc w:val="left"/>
        <w:rPr>
          <w:rFonts w:hint="default" w:eastAsia="Times New Roman"/>
          <w:b/>
          <w:color w:val="auto"/>
          <w:kern w:val="0"/>
          <w:sz w:val="32"/>
        </w:rPr>
      </w:pPr>
      <w:r>
        <w:rPr>
          <w:rFonts w:hint="default" w:eastAsia="Times New Roman"/>
          <w:color w:val="auto"/>
          <w:kern w:val="0"/>
          <w:sz w:val="32"/>
        </w:rPr>
        <w:t xml:space="preserve"> </w:t>
      </w:r>
      <w:r>
        <w:rPr>
          <w:rFonts w:hint="eastAsia" w:ascii="楷体" w:hAnsi="楷体" w:eastAsia="楷体"/>
          <w:b/>
          <w:color w:val="auto"/>
          <w:kern w:val="0"/>
          <w:sz w:val="32"/>
        </w:rPr>
        <w:t>（十一）政府采购支出情况</w:t>
      </w:r>
    </w:p>
    <w:p>
      <w:pPr>
        <w:spacing w:before="100" w:after="100" w:line="580" w:lineRule="atLeast"/>
        <w:ind w:firstLine="600"/>
        <w:rPr>
          <w:rFonts w:hint="default" w:eastAsia="Times New Roman"/>
          <w:color w:val="auto"/>
          <w:kern w:val="0"/>
          <w:sz w:val="32"/>
        </w:rPr>
      </w:pPr>
      <w:r>
        <w:rPr>
          <w:rFonts w:hint="eastAsia" w:ascii="仿宋_GB2312" w:hAnsi="仿宋_GB2312" w:eastAsia="仿宋_GB2312"/>
          <w:color w:val="auto"/>
          <w:kern w:val="0"/>
          <w:sz w:val="32"/>
        </w:rPr>
        <w:t>本部门2021年度政府采购支出合计0</w:t>
      </w:r>
      <w:r>
        <w:rPr>
          <w:rFonts w:hint="eastAsia" w:ascii="仿宋_GB2312" w:hAnsi="仿宋_GB2312" w:eastAsia="仿宋_GB2312"/>
          <w:color w:val="auto"/>
          <w:kern w:val="0"/>
          <w:sz w:val="32"/>
        </w:rPr>
        <w:t>万元，其中：政府采购货物支出0</w:t>
      </w:r>
      <w:r>
        <w:rPr>
          <w:rFonts w:hint="eastAsia" w:ascii="仿宋_GB2312" w:hAnsi="仿宋_GB2312" w:eastAsia="仿宋_GB2312"/>
          <w:color w:val="auto"/>
          <w:kern w:val="0"/>
          <w:sz w:val="32"/>
        </w:rPr>
        <w:t>万元，比2020年增加-65.5</w:t>
      </w:r>
      <w:r>
        <w:rPr>
          <w:rFonts w:hint="eastAsia" w:ascii="仿宋_GB2312" w:hAnsi="仿宋_GB2312" w:eastAsia="仿宋_GB2312"/>
          <w:color w:val="auto"/>
          <w:kern w:val="0"/>
          <w:sz w:val="32"/>
        </w:rPr>
        <w:t>万元，增长-100</w:t>
      </w:r>
      <w:r>
        <w:rPr>
          <w:rFonts w:hint="eastAsia" w:ascii="仿宋_GB2312" w:hAnsi="仿宋_GB2312" w:eastAsia="仿宋_GB2312"/>
          <w:color w:val="auto"/>
          <w:kern w:val="0"/>
          <w:sz w:val="32"/>
        </w:rPr>
        <w:t>%，主要原因是：</w:t>
      </w:r>
      <w:r>
        <w:rPr>
          <w:rFonts w:hint="eastAsia" w:ascii="仿宋_GB2312" w:hAnsi="仿宋_GB2312" w:eastAsia="仿宋_GB2312"/>
          <w:color w:val="auto"/>
          <w:kern w:val="0"/>
          <w:sz w:val="32"/>
          <w:lang w:val="en-US" w:eastAsia="zh-CN"/>
        </w:rPr>
        <w:t>2020年采购普查设备较多</w:t>
      </w:r>
      <w:r>
        <w:rPr>
          <w:rFonts w:hint="eastAsia" w:ascii="仿宋_GB2312" w:hAnsi="仿宋_GB2312" w:eastAsia="仿宋_GB2312"/>
          <w:color w:val="auto"/>
          <w:kern w:val="0"/>
          <w:sz w:val="32"/>
        </w:rPr>
        <w:t>；</w:t>
      </w:r>
      <w:r>
        <w:rPr>
          <w:rFonts w:hint="eastAsia" w:ascii="仿宋_GB2312" w:hAnsi="仿宋_GB2312" w:eastAsia="仿宋_GB2312"/>
          <w:color w:val="auto"/>
          <w:kern w:val="0"/>
          <w:sz w:val="32"/>
        </w:rPr>
        <w:t>政府采购工程支出0</w:t>
      </w:r>
      <w:r>
        <w:rPr>
          <w:rFonts w:hint="eastAsia" w:ascii="仿宋_GB2312" w:hAnsi="仿宋_GB2312" w:eastAsia="仿宋_GB2312"/>
          <w:color w:val="auto"/>
          <w:kern w:val="0"/>
          <w:sz w:val="32"/>
        </w:rPr>
        <w:t>万元，比2020年增加0</w:t>
      </w:r>
      <w:r>
        <w:rPr>
          <w:rFonts w:hint="eastAsia" w:ascii="仿宋_GB2312" w:hAnsi="仿宋_GB2312" w:eastAsia="仿宋_GB2312"/>
          <w:color w:val="auto"/>
          <w:kern w:val="0"/>
          <w:sz w:val="32"/>
        </w:rPr>
        <w:t>万元，增长0</w:t>
      </w:r>
      <w:r>
        <w:rPr>
          <w:rFonts w:hint="eastAsia" w:ascii="仿宋_GB2312" w:hAnsi="仿宋_GB2312" w:eastAsia="仿宋_GB2312"/>
          <w:color w:val="auto"/>
          <w:kern w:val="0"/>
          <w:sz w:val="32"/>
        </w:rPr>
        <w:t>%，主要原因是：</w:t>
      </w:r>
      <w:r>
        <w:rPr>
          <w:rFonts w:hint="eastAsia" w:ascii="仿宋_GB2312" w:hAnsi="仿宋_GB2312" w:eastAsia="仿宋_GB2312"/>
          <w:color w:val="auto"/>
          <w:kern w:val="0"/>
          <w:sz w:val="32"/>
          <w:lang w:val="en-US" w:eastAsia="zh-CN"/>
        </w:rPr>
        <w:t>2021年没有进行政府采购</w:t>
      </w:r>
      <w:r>
        <w:rPr>
          <w:rFonts w:hint="eastAsia" w:ascii="仿宋_GB2312" w:hAnsi="仿宋_GB2312" w:eastAsia="仿宋_GB2312"/>
          <w:color w:val="auto"/>
          <w:kern w:val="0"/>
          <w:sz w:val="32"/>
        </w:rPr>
        <w:t>；</w:t>
      </w:r>
      <w:r>
        <w:rPr>
          <w:rFonts w:hint="eastAsia" w:ascii="仿宋_GB2312" w:hAnsi="仿宋_GB2312" w:eastAsia="仿宋_GB2312"/>
          <w:color w:val="auto"/>
          <w:kern w:val="0"/>
          <w:sz w:val="32"/>
        </w:rPr>
        <w:t>政府采购服务支出0</w:t>
      </w:r>
      <w:r>
        <w:rPr>
          <w:rFonts w:hint="eastAsia" w:ascii="仿宋_GB2312" w:hAnsi="仿宋_GB2312" w:eastAsia="仿宋_GB2312"/>
          <w:color w:val="auto"/>
          <w:kern w:val="0"/>
          <w:sz w:val="32"/>
        </w:rPr>
        <w:t>万元，比2020年增加0</w:t>
      </w:r>
      <w:r>
        <w:rPr>
          <w:rFonts w:hint="eastAsia" w:ascii="仿宋_GB2312" w:hAnsi="仿宋_GB2312" w:eastAsia="仿宋_GB2312"/>
          <w:color w:val="auto"/>
          <w:kern w:val="0"/>
          <w:sz w:val="32"/>
        </w:rPr>
        <w:t>万元，增长0</w:t>
      </w:r>
      <w:r>
        <w:rPr>
          <w:rFonts w:hint="eastAsia" w:ascii="仿宋_GB2312" w:hAnsi="仿宋_GB2312" w:eastAsia="仿宋_GB2312"/>
          <w:color w:val="auto"/>
          <w:kern w:val="0"/>
          <w:sz w:val="32"/>
        </w:rPr>
        <w:t>%，主要原因是：</w:t>
      </w:r>
      <w:r>
        <w:rPr>
          <w:rFonts w:hint="eastAsia" w:ascii="仿宋_GB2312" w:hAnsi="仿宋_GB2312" w:eastAsia="仿宋_GB2312"/>
          <w:color w:val="auto"/>
          <w:kern w:val="0"/>
          <w:sz w:val="32"/>
          <w:lang w:val="en-US" w:eastAsia="zh-CN"/>
        </w:rPr>
        <w:t>本年度没有进行政府采购服务支出</w:t>
      </w:r>
      <w:r>
        <w:rPr>
          <w:rFonts w:hint="eastAsia" w:ascii="仿宋_GB2312" w:hAnsi="仿宋_GB2312" w:eastAsia="仿宋_GB2312"/>
          <w:color w:val="auto"/>
          <w:kern w:val="0"/>
          <w:sz w:val="32"/>
        </w:rPr>
        <w:t>。授予中小企业合同金额0</w:t>
      </w:r>
      <w:r>
        <w:rPr>
          <w:rFonts w:hint="eastAsia" w:ascii="仿宋_GB2312" w:hAnsi="仿宋_GB2312" w:eastAsia="仿宋_GB2312"/>
          <w:color w:val="auto"/>
          <w:kern w:val="0"/>
          <w:sz w:val="32"/>
        </w:rPr>
        <w:t>万元，占政府采购支出合同总额的</w:t>
      </w:r>
      <w:r>
        <w:rPr>
          <w:rFonts w:hint="eastAsia" w:ascii="仿宋_GB2312" w:hAnsi="仿宋_GB2312" w:eastAsia="仿宋_GB2312"/>
          <w:color w:val="auto"/>
          <w:kern w:val="0"/>
          <w:sz w:val="32"/>
          <w:lang w:val="en-US" w:eastAsia="zh-CN"/>
        </w:rPr>
        <w:t>0</w:t>
      </w:r>
      <w:r>
        <w:rPr>
          <w:rFonts w:hint="eastAsia" w:ascii="仿宋_GB2312" w:hAnsi="仿宋_GB2312" w:eastAsia="仿宋_GB2312"/>
          <w:color w:val="auto"/>
          <w:kern w:val="0"/>
          <w:sz w:val="32"/>
        </w:rPr>
        <w:t>%。</w:t>
      </w:r>
      <w:r>
        <w:rPr>
          <w:rFonts w:hint="eastAsia" w:ascii="仿宋_GB2312" w:hAnsi="仿宋_GB2312" w:eastAsia="仿宋_GB2312"/>
          <w:color w:val="auto"/>
          <w:kern w:val="0"/>
          <w:sz w:val="32"/>
        </w:rPr>
        <w:t>其中：授予小微企业合同金额0</w:t>
      </w:r>
      <w:r>
        <w:rPr>
          <w:rFonts w:hint="eastAsia" w:ascii="仿宋_GB2312" w:hAnsi="仿宋_GB2312" w:eastAsia="仿宋_GB2312"/>
          <w:color w:val="auto"/>
          <w:kern w:val="0"/>
          <w:sz w:val="32"/>
        </w:rPr>
        <w:t>万元，占政府采购支出合同总额的</w:t>
      </w:r>
      <w:r>
        <w:rPr>
          <w:rFonts w:hint="eastAsia" w:ascii="仿宋_GB2312" w:hAnsi="仿宋_GB2312" w:eastAsia="仿宋_GB2312"/>
          <w:color w:val="auto"/>
          <w:kern w:val="0"/>
          <w:sz w:val="32"/>
          <w:lang w:val="en-US" w:eastAsia="zh-CN"/>
        </w:rPr>
        <w:t>0</w:t>
      </w:r>
      <w:r>
        <w:rPr>
          <w:rFonts w:hint="eastAsia" w:ascii="仿宋_GB2312" w:hAnsi="仿宋_GB2312" w:eastAsia="仿宋_GB2312"/>
          <w:color w:val="auto"/>
          <w:kern w:val="0"/>
          <w:sz w:val="32"/>
        </w:rPr>
        <w:t>%。</w:t>
      </w:r>
    </w:p>
    <w:p>
      <w:pPr>
        <w:spacing w:before="100" w:after="100" w:line="580" w:lineRule="atLeast"/>
        <w:ind w:firstLine="600"/>
        <w:rPr>
          <w:rFonts w:hint="default" w:eastAsia="Times New Roman"/>
          <w:b/>
          <w:color w:val="auto"/>
          <w:kern w:val="0"/>
          <w:sz w:val="32"/>
        </w:rPr>
      </w:pPr>
      <w:r>
        <w:rPr>
          <w:rFonts w:hint="eastAsia" w:ascii="楷体" w:hAnsi="楷体" w:eastAsia="楷体"/>
          <w:b/>
          <w:color w:val="auto"/>
          <w:kern w:val="0"/>
          <w:sz w:val="32"/>
        </w:rPr>
        <w:t>（十二）机关运行经费支出情况</w:t>
      </w:r>
    </w:p>
    <w:p>
      <w:pPr>
        <w:spacing w:before="100" w:after="100" w:line="580" w:lineRule="atLeast"/>
        <w:ind w:firstLine="600"/>
        <w:rPr>
          <w:rFonts w:hint="default" w:eastAsia="Times New Roman"/>
          <w:color w:val="auto"/>
          <w:kern w:val="0"/>
          <w:sz w:val="24"/>
        </w:rPr>
      </w:pPr>
      <w:r>
        <w:rPr>
          <w:rFonts w:hint="eastAsia" w:ascii="仿宋_GB2312" w:hAnsi="仿宋_GB2312" w:eastAsia="仿宋_GB2312"/>
          <w:color w:val="auto"/>
          <w:kern w:val="0"/>
          <w:sz w:val="32"/>
        </w:rPr>
        <w:t>本部门2021年度机关运行经费支出212.69</w:t>
      </w:r>
      <w:r>
        <w:rPr>
          <w:rFonts w:hint="eastAsia" w:ascii="仿宋_GB2312" w:hAnsi="仿宋_GB2312" w:eastAsia="仿宋_GB2312"/>
          <w:color w:val="auto"/>
          <w:kern w:val="0"/>
          <w:sz w:val="32"/>
        </w:rPr>
        <w:t>万元，比2020年增加178.85</w:t>
      </w:r>
      <w:r>
        <w:rPr>
          <w:rFonts w:hint="eastAsia" w:ascii="仿宋_GB2312" w:hAnsi="仿宋_GB2312" w:eastAsia="仿宋_GB2312"/>
          <w:color w:val="auto"/>
          <w:kern w:val="0"/>
          <w:sz w:val="32"/>
        </w:rPr>
        <w:t>万元，增长528.54</w:t>
      </w:r>
      <w:r>
        <w:rPr>
          <w:rFonts w:hint="eastAsia" w:ascii="仿宋_GB2312" w:hAnsi="仿宋_GB2312" w:eastAsia="仿宋_GB2312"/>
          <w:color w:val="auto"/>
          <w:kern w:val="0"/>
          <w:sz w:val="32"/>
        </w:rPr>
        <w:t>%。主要原因是：</w:t>
      </w:r>
      <w:r>
        <w:rPr>
          <w:rFonts w:hint="eastAsia" w:ascii="仿宋_GB2312" w:hAnsi="仿宋_GB2312" w:eastAsia="仿宋_GB2312"/>
          <w:color w:val="auto"/>
          <w:kern w:val="0"/>
          <w:sz w:val="32"/>
          <w:lang w:val="en-US" w:eastAsia="zh-CN"/>
        </w:rPr>
        <w:t>2021年支付2020年普查两员补助。</w:t>
      </w:r>
      <w:r>
        <w:rPr>
          <w:rFonts w:hint="eastAsia" w:ascii="仿宋_GB2312" w:hAnsi="仿宋_GB2312" w:eastAsia="仿宋_GB2312"/>
          <w:color w:val="auto"/>
          <w:kern w:val="0"/>
          <w:sz w:val="32"/>
        </w:rPr>
        <w:t>。</w:t>
      </w:r>
    </w:p>
    <w:p>
      <w:pPr>
        <w:spacing w:before="100" w:after="100" w:line="580" w:lineRule="atLeast"/>
        <w:ind w:firstLine="600"/>
        <w:rPr>
          <w:rFonts w:hint="default" w:eastAsia="Times New Roman"/>
          <w:b/>
          <w:color w:val="auto"/>
          <w:kern w:val="0"/>
          <w:sz w:val="32"/>
        </w:rPr>
      </w:pPr>
      <w:r>
        <w:rPr>
          <w:rFonts w:hint="eastAsia" w:ascii="楷体" w:hAnsi="楷体" w:eastAsia="楷体"/>
          <w:b/>
          <w:color w:val="auto"/>
          <w:kern w:val="0"/>
          <w:sz w:val="32"/>
        </w:rPr>
        <w:t>（十三）国有资产占用情况</w:t>
      </w:r>
    </w:p>
    <w:p>
      <w:pPr>
        <w:spacing w:before="100" w:after="100" w:line="580" w:lineRule="atLeast"/>
        <w:ind w:firstLine="600"/>
        <w:rPr>
          <w:rFonts w:hint="default" w:eastAsia="Times New Roman"/>
          <w:color w:val="auto"/>
          <w:kern w:val="0"/>
          <w:sz w:val="24"/>
        </w:rPr>
      </w:pPr>
      <w:r>
        <w:rPr>
          <w:rFonts w:hint="eastAsia" w:ascii="仿宋_GB2312" w:hAnsi="仿宋_GB2312" w:eastAsia="仿宋_GB2312"/>
          <w:color w:val="auto"/>
          <w:kern w:val="0"/>
          <w:sz w:val="32"/>
        </w:rPr>
        <w:t>截至2021年12月31日，本部门共有车辆1</w:t>
      </w:r>
      <w:r>
        <w:rPr>
          <w:rFonts w:hint="eastAsia" w:ascii="仿宋_GB2312" w:hAnsi="仿宋_GB2312" w:eastAsia="仿宋_GB2312"/>
          <w:color w:val="auto"/>
          <w:kern w:val="0"/>
          <w:sz w:val="32"/>
        </w:rPr>
        <w:t>辆，其中，副部（省）级及以上领导用车0</w:t>
      </w:r>
      <w:r>
        <w:rPr>
          <w:rFonts w:hint="eastAsia" w:ascii="仿宋_GB2312" w:hAnsi="仿宋_GB2312" w:eastAsia="仿宋_GB2312"/>
          <w:color w:val="auto"/>
          <w:kern w:val="0"/>
          <w:sz w:val="32"/>
        </w:rPr>
        <w:t>辆</w:t>
      </w:r>
      <w:r>
        <w:rPr>
          <w:rFonts w:hint="eastAsia" w:ascii="宋体" w:hAnsi="宋体"/>
          <w:color w:val="auto"/>
          <w:kern w:val="0"/>
          <w:sz w:val="32"/>
        </w:rPr>
        <w:t>、</w:t>
      </w:r>
      <w:r>
        <w:rPr>
          <w:rFonts w:hint="eastAsia" w:ascii="仿宋_GB2312" w:hAnsi="仿宋_GB2312" w:eastAsia="仿宋_GB2312"/>
          <w:color w:val="auto"/>
          <w:kern w:val="0"/>
          <w:sz w:val="32"/>
        </w:rPr>
        <w:t>主要领导干部用车0</w:t>
      </w:r>
      <w:r>
        <w:rPr>
          <w:rFonts w:hint="eastAsia" w:ascii="仿宋_GB2312" w:hAnsi="仿宋_GB2312" w:eastAsia="仿宋_GB2312"/>
          <w:color w:val="auto"/>
          <w:kern w:val="0"/>
          <w:sz w:val="32"/>
        </w:rPr>
        <w:t>辆、机要通信用车0</w:t>
      </w:r>
      <w:r>
        <w:rPr>
          <w:rFonts w:hint="eastAsia" w:ascii="仿宋_GB2312" w:hAnsi="仿宋_GB2312" w:eastAsia="仿宋_GB2312"/>
          <w:color w:val="auto"/>
          <w:kern w:val="0"/>
          <w:sz w:val="32"/>
        </w:rPr>
        <w:t>辆、应急保障用车0</w:t>
      </w:r>
      <w:r>
        <w:rPr>
          <w:rFonts w:hint="eastAsia" w:ascii="仿宋_GB2312" w:hAnsi="仿宋_GB2312" w:eastAsia="仿宋_GB2312"/>
          <w:color w:val="auto"/>
          <w:kern w:val="0"/>
          <w:sz w:val="32"/>
        </w:rPr>
        <w:t>辆、执法执勤用车0辆</w:t>
      </w:r>
      <w:r>
        <w:rPr>
          <w:rFonts w:hint="eastAsia" w:ascii="宋体" w:hAnsi="宋体"/>
          <w:color w:val="auto"/>
          <w:kern w:val="0"/>
          <w:sz w:val="32"/>
        </w:rPr>
        <w:t>、</w:t>
      </w:r>
      <w:r>
        <w:rPr>
          <w:rFonts w:hint="eastAsia" w:ascii="仿宋_GB2312" w:hAnsi="仿宋_GB2312" w:eastAsia="仿宋_GB2312"/>
          <w:color w:val="auto"/>
          <w:kern w:val="0"/>
          <w:sz w:val="32"/>
        </w:rPr>
        <w:t>特种专业技术用车0辆</w:t>
      </w:r>
      <w:r>
        <w:rPr>
          <w:rFonts w:hint="eastAsia" w:ascii="宋体" w:hAnsi="宋体"/>
          <w:color w:val="auto"/>
          <w:kern w:val="0"/>
          <w:sz w:val="32"/>
        </w:rPr>
        <w:t>、</w:t>
      </w:r>
      <w:r>
        <w:rPr>
          <w:rFonts w:hint="eastAsia" w:ascii="仿宋_GB2312" w:hAnsi="仿宋_GB2312" w:eastAsia="仿宋_GB2312"/>
          <w:color w:val="auto"/>
          <w:kern w:val="0"/>
          <w:sz w:val="32"/>
        </w:rPr>
        <w:t>离退休干部用车0辆</w:t>
      </w:r>
      <w:r>
        <w:rPr>
          <w:rFonts w:hint="eastAsia" w:ascii="宋体" w:hAnsi="宋体"/>
          <w:color w:val="auto"/>
          <w:kern w:val="0"/>
          <w:sz w:val="32"/>
        </w:rPr>
        <w:t>、</w:t>
      </w:r>
      <w:r>
        <w:rPr>
          <w:rFonts w:hint="eastAsia" w:ascii="仿宋_GB2312" w:hAnsi="仿宋_GB2312" w:eastAsia="仿宋_GB2312"/>
          <w:color w:val="auto"/>
          <w:kern w:val="0"/>
          <w:sz w:val="32"/>
        </w:rPr>
        <w:t>其他用车1</w:t>
      </w:r>
      <w:r>
        <w:rPr>
          <w:rFonts w:hint="eastAsia" w:ascii="仿宋_GB2312" w:hAnsi="仿宋_GB2312" w:eastAsia="仿宋_GB2312"/>
          <w:color w:val="auto"/>
          <w:kern w:val="0"/>
          <w:sz w:val="32"/>
        </w:rPr>
        <w:t>辆；单位价值50万元以上通用设备0</w:t>
      </w:r>
      <w:r>
        <w:rPr>
          <w:rFonts w:hint="eastAsia" w:ascii="仿宋_GB2312" w:hAnsi="仿宋_GB2312" w:eastAsia="仿宋_GB2312"/>
          <w:color w:val="auto"/>
          <w:kern w:val="0"/>
          <w:sz w:val="32"/>
        </w:rPr>
        <w:t>台（套），主要是……，比2020年增加0台（套），主要原因是</w:t>
      </w:r>
      <w:r>
        <w:rPr>
          <w:rFonts w:hint="eastAsia" w:ascii="仿宋_GB2312" w:hAnsi="仿宋_GB2312" w:eastAsia="仿宋_GB2312"/>
          <w:color w:val="auto"/>
          <w:kern w:val="0"/>
          <w:sz w:val="32"/>
          <w:lang w:val="en-US" w:eastAsia="zh-CN"/>
        </w:rPr>
        <w:t>本年度无车辆增加。</w:t>
      </w:r>
      <w:r>
        <w:rPr>
          <w:rFonts w:hint="eastAsia" w:ascii="仿宋_GB2312" w:hAnsi="仿宋_GB2312" w:eastAsia="仿宋_GB2312"/>
          <w:color w:val="auto"/>
          <w:kern w:val="0"/>
          <w:sz w:val="32"/>
        </w:rPr>
        <w:t>单位价值100万元以上专用设备0</w:t>
      </w:r>
      <w:r>
        <w:rPr>
          <w:rFonts w:hint="eastAsia" w:ascii="仿宋_GB2312" w:hAnsi="仿宋_GB2312" w:eastAsia="仿宋_GB2312"/>
          <w:color w:val="auto"/>
          <w:kern w:val="0"/>
          <w:sz w:val="32"/>
        </w:rPr>
        <w:t>台（套），主要是</w:t>
      </w:r>
      <w:r>
        <w:rPr>
          <w:rFonts w:hint="eastAsia" w:ascii="仿宋_GB2312" w:hAnsi="仿宋_GB2312" w:eastAsia="仿宋_GB2312"/>
          <w:color w:val="auto"/>
          <w:kern w:val="0"/>
          <w:sz w:val="32"/>
          <w:lang w:val="en-US" w:eastAsia="zh-CN"/>
        </w:rPr>
        <w:t>无</w:t>
      </w:r>
      <w:r>
        <w:rPr>
          <w:rFonts w:hint="eastAsia" w:ascii="仿宋_GB2312" w:hAnsi="仿宋_GB2312" w:eastAsia="仿宋_GB2312"/>
          <w:color w:val="auto"/>
          <w:kern w:val="0"/>
          <w:sz w:val="32"/>
        </w:rPr>
        <w:t>，比2020年增加0台（套），主要原因是</w:t>
      </w:r>
      <w:r>
        <w:rPr>
          <w:rFonts w:hint="eastAsia" w:ascii="仿宋_GB2312" w:hAnsi="仿宋_GB2312" w:eastAsia="仿宋_GB2312"/>
          <w:color w:val="auto"/>
          <w:kern w:val="0"/>
          <w:sz w:val="32"/>
          <w:lang w:val="en-US" w:eastAsia="zh-CN"/>
        </w:rPr>
        <w:t>本年度无增加</w:t>
      </w:r>
      <w:r>
        <w:rPr>
          <w:rFonts w:hint="eastAsia" w:ascii="仿宋_GB2312" w:hAnsi="仿宋_GB2312" w:eastAsia="仿宋_GB2312"/>
          <w:color w:val="auto"/>
          <w:kern w:val="0"/>
          <w:sz w:val="32"/>
        </w:rPr>
        <w:t>。</w:t>
      </w:r>
    </w:p>
    <w:p>
      <w:pPr>
        <w:spacing w:before="100" w:after="100" w:line="580" w:lineRule="atLeast"/>
        <w:ind w:firstLine="600"/>
        <w:rPr>
          <w:rFonts w:hint="default" w:eastAsia="Times New Roman"/>
          <w:b/>
          <w:color w:val="auto"/>
          <w:kern w:val="0"/>
          <w:sz w:val="32"/>
        </w:rPr>
      </w:pPr>
      <w:r>
        <w:rPr>
          <w:rFonts w:hint="eastAsia" w:ascii="仿宋_GB2312" w:hAnsi="仿宋_GB2312" w:eastAsia="仿宋_GB2312"/>
          <w:b/>
          <w:color w:val="auto"/>
          <w:kern w:val="0"/>
          <w:sz w:val="32"/>
        </w:rPr>
        <w:t>三、预算绩效评价工作开展情况</w:t>
      </w:r>
    </w:p>
    <w:p>
      <w:pPr>
        <w:spacing w:line="580" w:lineRule="exact"/>
        <w:ind w:firstLine="600"/>
        <w:rPr>
          <w:rFonts w:hint="default" w:eastAsia="Times New Roman"/>
          <w:color w:val="auto"/>
          <w:sz w:val="32"/>
        </w:rPr>
      </w:pPr>
      <w:r>
        <w:rPr>
          <w:rFonts w:hint="eastAsia" w:ascii="仿宋_GB2312" w:hAnsi="仿宋_GB2312" w:eastAsia="仿宋_GB2312"/>
          <w:color w:val="auto"/>
          <w:sz w:val="32"/>
        </w:rPr>
        <w:t>（一）预算绩效管理工作开展情况</w:t>
      </w:r>
    </w:p>
    <w:p>
      <w:pPr>
        <w:spacing w:line="580" w:lineRule="exact"/>
        <w:ind w:firstLine="600"/>
        <w:rPr>
          <w:rFonts w:hint="default" w:eastAsia="Times New Roman"/>
          <w:color w:val="auto"/>
          <w:sz w:val="32"/>
        </w:rPr>
      </w:pPr>
      <w:r>
        <w:rPr>
          <w:rFonts w:hint="eastAsia" w:ascii="仿宋_GB2312" w:hAnsi="仿宋_GB2312" w:eastAsia="仿宋_GB2312"/>
          <w:color w:val="auto"/>
          <w:sz w:val="32"/>
        </w:rPr>
        <w:t xml:space="preserve">根据预算绩效管理要求，我单位组织对2021年度一般公共预算项目支出全面开展绩效自评，其中，一级项目  </w:t>
      </w:r>
      <w:r>
        <w:rPr>
          <w:rFonts w:hint="eastAsia" w:ascii="仿宋_GB2312" w:hAnsi="仿宋_GB2312" w:eastAsia="仿宋_GB2312"/>
          <w:color w:val="auto"/>
          <w:sz w:val="32"/>
          <w:lang w:val="en-US" w:eastAsia="zh-CN"/>
        </w:rPr>
        <w:t>3</w:t>
      </w:r>
      <w:r>
        <w:rPr>
          <w:rFonts w:hint="eastAsia" w:ascii="仿宋_GB2312" w:hAnsi="仿宋_GB2312" w:eastAsia="仿宋_GB2312"/>
          <w:color w:val="auto"/>
          <w:sz w:val="32"/>
        </w:rPr>
        <w:t xml:space="preserve">个，二级项目  个，共涉及资金   </w:t>
      </w:r>
      <w:r>
        <w:rPr>
          <w:rFonts w:hint="eastAsia" w:ascii="仿宋_GB2312" w:hAnsi="仿宋_GB2312" w:eastAsia="仿宋_GB2312"/>
          <w:color w:val="auto"/>
          <w:sz w:val="32"/>
          <w:lang w:val="en-US" w:eastAsia="zh-CN"/>
        </w:rPr>
        <w:t>5</w:t>
      </w:r>
      <w:r>
        <w:rPr>
          <w:rFonts w:hint="eastAsia" w:ascii="仿宋_GB2312" w:hAnsi="仿宋_GB2312" w:eastAsia="仿宋_GB2312"/>
          <w:color w:val="auto"/>
          <w:sz w:val="32"/>
        </w:rPr>
        <w:t xml:space="preserve"> 万元，占一般公共预算项目支出总额的100%（必须达到100%）；</w:t>
      </w:r>
      <w:r>
        <w:rPr>
          <w:rFonts w:hint="eastAsia" w:ascii="仿宋_GB2312" w:hAnsi="仿宋_GB2312" w:eastAsia="仿宋_GB2312"/>
          <w:color w:val="auto"/>
          <w:sz w:val="32"/>
        </w:rPr>
        <w:t>政府性基金预算项目</w:t>
      </w:r>
      <w:r>
        <w:rPr>
          <w:rFonts w:hint="eastAsia" w:ascii="仿宋_GB2312" w:hAnsi="仿宋_GB2312" w:eastAsia="仿宋_GB2312"/>
          <w:color w:val="auto"/>
          <w:sz w:val="32"/>
          <w:lang w:val="en-US" w:eastAsia="zh-CN"/>
        </w:rPr>
        <w:t>0</w:t>
      </w:r>
      <w:r>
        <w:rPr>
          <w:rFonts w:hint="eastAsia" w:ascii="仿宋_GB2312" w:hAnsi="仿宋_GB2312" w:eastAsia="仿宋_GB2312"/>
          <w:color w:val="auto"/>
          <w:sz w:val="32"/>
        </w:rPr>
        <w:t>个，共涉及资金</w:t>
      </w:r>
      <w:r>
        <w:rPr>
          <w:rFonts w:hint="eastAsia" w:ascii="仿宋_GB2312" w:hAnsi="仿宋_GB2312" w:eastAsia="仿宋_GB2312"/>
          <w:color w:val="auto"/>
          <w:sz w:val="32"/>
          <w:lang w:val="en-US" w:eastAsia="zh-CN"/>
        </w:rPr>
        <w:t>0</w:t>
      </w:r>
      <w:r>
        <w:rPr>
          <w:rFonts w:hint="eastAsia" w:ascii="仿宋_GB2312" w:hAnsi="仿宋_GB2312" w:eastAsia="仿宋_GB2312"/>
          <w:color w:val="auto"/>
          <w:sz w:val="32"/>
        </w:rPr>
        <w:t xml:space="preserve">万元，占应纳入绩效自评的政府性基金预算项目支出总额的100%； </w:t>
      </w:r>
    </w:p>
    <w:p>
      <w:pPr>
        <w:spacing w:line="580" w:lineRule="exact"/>
        <w:ind w:firstLine="600"/>
        <w:rPr>
          <w:rFonts w:hint="default" w:eastAsia="Times New Roman"/>
          <w:color w:val="FF0000"/>
          <w:sz w:val="32"/>
        </w:rPr>
      </w:pPr>
      <w:r>
        <w:rPr>
          <w:rFonts w:hint="eastAsia" w:ascii="仿宋_GB2312" w:hAnsi="仿宋_GB2312" w:eastAsia="仿宋_GB2312"/>
          <w:color w:val="FF0000"/>
          <w:sz w:val="32"/>
        </w:rPr>
        <w:t>组</w:t>
      </w:r>
      <w:r>
        <w:rPr>
          <w:rFonts w:hint="eastAsia" w:ascii="仿宋_GB2312" w:hAnsi="仿宋_GB2312" w:eastAsia="仿宋_GB2312"/>
          <w:color w:val="auto"/>
          <w:sz w:val="32"/>
        </w:rPr>
        <w:t>织对</w:t>
      </w:r>
      <w:r>
        <w:rPr>
          <w:rFonts w:hint="default" w:eastAsia="Times New Roman"/>
          <w:color w:val="auto"/>
          <w:sz w:val="32"/>
        </w:rPr>
        <w:t>“</w:t>
      </w:r>
      <w:r>
        <w:rPr>
          <w:rFonts w:hint="eastAsia" w:ascii="仿宋_GB2312" w:hAnsi="仿宋_GB2312" w:eastAsia="仿宋_GB2312"/>
          <w:color w:val="auto"/>
          <w:sz w:val="32"/>
        </w:rPr>
        <w:t xml:space="preserve"> </w:t>
      </w:r>
      <w:r>
        <w:rPr>
          <w:rFonts w:hint="eastAsia" w:ascii="仿宋_GB2312" w:hAnsi="仿宋_GB2312" w:eastAsia="仿宋_GB2312"/>
          <w:color w:val="auto"/>
          <w:sz w:val="32"/>
          <w:lang w:val="en-US" w:eastAsia="zh-CN"/>
        </w:rPr>
        <w:t>统计年鉴月报</w:t>
      </w:r>
      <w:r>
        <w:rPr>
          <w:rFonts w:hint="eastAsia" w:ascii="仿宋_GB2312" w:hAnsi="仿宋_GB2312" w:eastAsia="仿宋_GB2312"/>
          <w:color w:val="auto"/>
          <w:sz w:val="32"/>
        </w:rPr>
        <w:t xml:space="preserve">项目 </w:t>
      </w:r>
      <w:r>
        <w:rPr>
          <w:rFonts w:hint="default" w:eastAsia="Times New Roman"/>
          <w:color w:val="auto"/>
          <w:sz w:val="32"/>
        </w:rPr>
        <w:t>”</w:t>
      </w:r>
      <w:r>
        <w:rPr>
          <w:rFonts w:hint="eastAsia" w:ascii="仿宋_GB2312" w:hAnsi="仿宋_GB2312" w:eastAsia="仿宋_GB2312"/>
          <w:color w:val="auto"/>
          <w:sz w:val="32"/>
        </w:rPr>
        <w:t>、</w:t>
      </w:r>
      <w:r>
        <w:rPr>
          <w:rFonts w:hint="default" w:eastAsia="Times New Roman"/>
          <w:color w:val="auto"/>
          <w:sz w:val="32"/>
        </w:rPr>
        <w:t>“</w:t>
      </w:r>
      <w:r>
        <w:rPr>
          <w:rFonts w:hint="eastAsia" w:ascii="仿宋_GB2312" w:hAnsi="仿宋_GB2312" w:eastAsia="仿宋_GB2312"/>
          <w:color w:val="auto"/>
          <w:sz w:val="32"/>
        </w:rPr>
        <w:t xml:space="preserve"> </w:t>
      </w:r>
      <w:r>
        <w:rPr>
          <w:rFonts w:hint="eastAsia" w:ascii="仿宋_GB2312" w:hAnsi="仿宋_GB2312" w:eastAsia="仿宋_GB2312"/>
          <w:color w:val="auto"/>
          <w:sz w:val="32"/>
          <w:lang w:val="en-US" w:eastAsia="zh-CN"/>
        </w:rPr>
        <w:t>人口抽样调查</w:t>
      </w:r>
      <w:r>
        <w:rPr>
          <w:rFonts w:hint="eastAsia" w:ascii="仿宋_GB2312" w:hAnsi="仿宋_GB2312" w:eastAsia="仿宋_GB2312"/>
          <w:color w:val="auto"/>
          <w:sz w:val="32"/>
        </w:rPr>
        <w:t xml:space="preserve">项目 </w:t>
      </w:r>
      <w:r>
        <w:rPr>
          <w:rFonts w:hint="default" w:eastAsia="Times New Roman"/>
          <w:color w:val="auto"/>
          <w:sz w:val="32"/>
        </w:rPr>
        <w:t>”</w:t>
      </w:r>
      <w:r>
        <w:rPr>
          <w:rFonts w:hint="eastAsia" w:ascii="仿宋_GB2312" w:hAnsi="仿宋_GB2312" w:eastAsia="仿宋_GB2312"/>
          <w:color w:val="auto"/>
          <w:sz w:val="32"/>
        </w:rPr>
        <w:t>、</w:t>
      </w:r>
      <w:r>
        <w:rPr>
          <w:rFonts w:hint="eastAsia" w:ascii="仿宋_GB2312" w:hAnsi="仿宋_GB2312" w:eastAsia="仿宋_GB2312"/>
          <w:color w:val="auto"/>
          <w:sz w:val="32"/>
          <w:lang w:val="en-US" w:eastAsia="zh-CN"/>
        </w:rPr>
        <w:t>2</w:t>
      </w:r>
      <w:r>
        <w:rPr>
          <w:rFonts w:hint="eastAsia" w:ascii="仿宋_GB2312" w:hAnsi="仿宋_GB2312" w:eastAsia="仿宋_GB2312"/>
          <w:color w:val="auto"/>
          <w:sz w:val="32"/>
        </w:rPr>
        <w:t xml:space="preserve"> 个项目开展了部门评价，涉及一般公共预算支出</w:t>
      </w:r>
      <w:r>
        <w:rPr>
          <w:rFonts w:hint="eastAsia" w:ascii="仿宋_GB2312" w:hAnsi="仿宋_GB2312" w:eastAsia="仿宋_GB2312"/>
          <w:color w:val="auto"/>
          <w:sz w:val="32"/>
          <w:lang w:val="en-US" w:eastAsia="zh-CN"/>
        </w:rPr>
        <w:t>0</w:t>
      </w:r>
      <w:r>
        <w:rPr>
          <w:rFonts w:hint="eastAsia" w:ascii="仿宋_GB2312" w:hAnsi="仿宋_GB2312" w:eastAsia="仿宋_GB2312"/>
          <w:color w:val="auto"/>
          <w:sz w:val="32"/>
        </w:rPr>
        <w:t>万元，政府性基金支出</w:t>
      </w:r>
      <w:r>
        <w:rPr>
          <w:rFonts w:hint="eastAsia" w:ascii="仿宋_GB2312" w:hAnsi="仿宋_GB2312" w:eastAsia="仿宋_GB2312"/>
          <w:color w:val="auto"/>
          <w:sz w:val="32"/>
          <w:lang w:val="en-US" w:eastAsia="zh-CN"/>
        </w:rPr>
        <w:t>0</w:t>
      </w:r>
      <w:r>
        <w:rPr>
          <w:rFonts w:hint="eastAsia" w:ascii="仿宋_GB2312" w:hAnsi="仿宋_GB2312" w:eastAsia="仿宋_GB2312"/>
          <w:color w:val="auto"/>
          <w:sz w:val="32"/>
        </w:rPr>
        <w:t>万元。</w:t>
      </w:r>
      <w:r>
        <w:rPr>
          <w:rFonts w:hint="eastAsia" w:ascii="仿宋_GB2312" w:eastAsia="仿宋_GB2312"/>
          <w:color w:val="auto"/>
          <w:sz w:val="32"/>
          <w:lang w:val="en-US" w:eastAsia="zh-CN"/>
        </w:rPr>
        <w:t>从评价情况来看，以上项目项目资金实行专款专用，资金拨付严格审批程序，根据项目</w:t>
      </w:r>
      <w:r>
        <w:rPr>
          <w:rFonts w:hint="eastAsia" w:ascii="仿宋_GB2312" w:eastAsia="仿宋_GB2312"/>
          <w:color w:val="000000"/>
          <w:sz w:val="32"/>
          <w:lang w:val="en-US" w:eastAsia="zh-CN"/>
        </w:rPr>
        <w:t>运行方案，细化任务，合理配置资源，建立项目控制管理机制，规避项目风险，确保项目质量，项目完成质量较好</w:t>
      </w:r>
    </w:p>
    <w:p>
      <w:pPr>
        <w:spacing w:line="580" w:lineRule="exact"/>
        <w:ind w:firstLine="600"/>
        <w:rPr>
          <w:rFonts w:hint="default" w:eastAsia="Times New Roman"/>
          <w:color w:val="auto"/>
          <w:sz w:val="32"/>
        </w:rPr>
      </w:pPr>
      <w:r>
        <w:rPr>
          <w:rFonts w:hint="eastAsia" w:ascii="仿宋_GB2312" w:hAnsi="仿宋_GB2312" w:eastAsia="仿宋_GB2312"/>
          <w:color w:val="auto"/>
          <w:sz w:val="32"/>
        </w:rPr>
        <w:t>（二）部门决算中项目绩效自评结果</w:t>
      </w:r>
    </w:p>
    <w:p>
      <w:pPr>
        <w:spacing w:line="580" w:lineRule="exact"/>
        <w:ind w:firstLine="600"/>
        <w:rPr>
          <w:rFonts w:hint="default" w:eastAsia="Times New Roman"/>
          <w:color w:val="auto"/>
          <w:sz w:val="32"/>
        </w:rPr>
      </w:pPr>
      <w:r>
        <w:rPr>
          <w:rFonts w:hint="eastAsia" w:ascii="仿宋_GB2312" w:hAnsi="仿宋_GB2312" w:eastAsia="仿宋_GB2312"/>
          <w:color w:val="auto"/>
          <w:sz w:val="32"/>
        </w:rPr>
        <w:t>我部门今年在在部门决算中反映</w:t>
      </w:r>
      <w:r>
        <w:rPr>
          <w:rFonts w:hint="default" w:eastAsia="Times New Roman"/>
          <w:color w:val="auto"/>
          <w:sz w:val="32"/>
        </w:rPr>
        <w:t>“</w:t>
      </w:r>
      <w:r>
        <w:rPr>
          <w:rFonts w:hint="eastAsia" w:ascii="仿宋_GB2312" w:hAnsi="仿宋_GB2312" w:eastAsia="仿宋_GB2312"/>
          <w:color w:val="auto"/>
          <w:sz w:val="32"/>
        </w:rPr>
        <w:t xml:space="preserve"> </w:t>
      </w:r>
      <w:r>
        <w:rPr>
          <w:rFonts w:hint="eastAsia" w:ascii="仿宋_GB2312" w:hAnsi="仿宋_GB2312" w:eastAsia="仿宋_GB2312"/>
          <w:color w:val="auto"/>
          <w:sz w:val="32"/>
          <w:lang w:val="en-US" w:eastAsia="zh-CN"/>
        </w:rPr>
        <w:t>人口抽样</w:t>
      </w:r>
      <w:r>
        <w:rPr>
          <w:rFonts w:hint="eastAsia" w:ascii="仿宋_GB2312" w:hAnsi="仿宋_GB2312" w:eastAsia="仿宋_GB2312"/>
          <w:color w:val="auto"/>
          <w:sz w:val="32"/>
        </w:rPr>
        <w:t xml:space="preserve">项目 </w:t>
      </w:r>
      <w:r>
        <w:rPr>
          <w:rFonts w:hint="default" w:eastAsia="Times New Roman"/>
          <w:color w:val="auto"/>
          <w:sz w:val="32"/>
        </w:rPr>
        <w:t>”</w:t>
      </w:r>
      <w:r>
        <w:rPr>
          <w:rFonts w:hint="eastAsia" w:ascii="仿宋_GB2312" w:hAnsi="仿宋_GB2312" w:eastAsia="仿宋_GB2312"/>
          <w:color w:val="auto"/>
          <w:sz w:val="32"/>
        </w:rPr>
        <w:t>、</w:t>
      </w:r>
      <w:r>
        <w:rPr>
          <w:rFonts w:hint="default" w:eastAsia="Times New Roman"/>
          <w:color w:val="auto"/>
          <w:sz w:val="32"/>
        </w:rPr>
        <w:t>“</w:t>
      </w:r>
      <w:r>
        <w:rPr>
          <w:rFonts w:hint="eastAsia" w:ascii="仿宋_GB2312" w:hAnsi="仿宋_GB2312" w:eastAsia="仿宋_GB2312"/>
          <w:color w:val="auto"/>
          <w:sz w:val="32"/>
        </w:rPr>
        <w:t xml:space="preserve"> </w:t>
      </w:r>
      <w:r>
        <w:rPr>
          <w:rFonts w:hint="eastAsia" w:ascii="仿宋_GB2312" w:hAnsi="仿宋_GB2312" w:eastAsia="仿宋_GB2312"/>
          <w:color w:val="auto"/>
          <w:sz w:val="32"/>
          <w:lang w:val="en-US" w:eastAsia="zh-CN"/>
        </w:rPr>
        <w:t>统计年鉴</w:t>
      </w:r>
      <w:r>
        <w:rPr>
          <w:rFonts w:hint="eastAsia" w:ascii="仿宋_GB2312" w:hAnsi="仿宋_GB2312" w:eastAsia="仿宋_GB2312"/>
          <w:color w:val="auto"/>
          <w:sz w:val="32"/>
        </w:rPr>
        <w:t xml:space="preserve">项目 </w:t>
      </w:r>
      <w:r>
        <w:rPr>
          <w:rFonts w:hint="default" w:eastAsia="Times New Roman"/>
          <w:color w:val="auto"/>
          <w:sz w:val="32"/>
        </w:rPr>
        <w:t>”</w:t>
      </w:r>
      <w:r>
        <w:rPr>
          <w:rFonts w:hint="eastAsia" w:ascii="仿宋_GB2312" w:hAnsi="仿宋_GB2312" w:eastAsia="仿宋_GB2312"/>
          <w:color w:val="auto"/>
          <w:sz w:val="32"/>
          <w:lang w:val="en-US" w:eastAsia="zh-CN"/>
        </w:rPr>
        <w:t>2</w:t>
      </w:r>
      <w:r>
        <w:rPr>
          <w:rFonts w:hint="eastAsia" w:ascii="仿宋_GB2312" w:hAnsi="仿宋_GB2312" w:eastAsia="仿宋_GB2312"/>
          <w:color w:val="auto"/>
          <w:sz w:val="32"/>
        </w:rPr>
        <w:t>个一般公共预算项目，共</w:t>
      </w:r>
      <w:r>
        <w:rPr>
          <w:rFonts w:hint="eastAsia" w:ascii="仿宋_GB2312" w:hAnsi="仿宋_GB2312" w:eastAsia="仿宋_GB2312"/>
          <w:color w:val="auto"/>
          <w:sz w:val="32"/>
          <w:lang w:val="en-US" w:eastAsia="zh-CN"/>
        </w:rPr>
        <w:t>2</w:t>
      </w:r>
      <w:r>
        <w:rPr>
          <w:rFonts w:hint="eastAsia" w:ascii="仿宋_GB2312" w:hAnsi="仿宋_GB2312" w:eastAsia="仿宋_GB2312"/>
          <w:color w:val="auto"/>
          <w:sz w:val="32"/>
        </w:rPr>
        <w:t>个项目的绩效自评结果。</w:t>
      </w:r>
    </w:p>
    <w:p>
      <w:pPr>
        <w:autoSpaceDE w:val="0"/>
        <w:autoSpaceDN w:val="0"/>
        <w:adjustRightInd w:val="0"/>
        <w:jc w:val="left"/>
        <w:rPr>
          <w:rFonts w:hint="eastAsia" w:ascii="仿宋_GB2312" w:hAnsi="仿宋_GB2312" w:eastAsia="仿宋_GB2312"/>
          <w:color w:val="auto"/>
          <w:sz w:val="32"/>
          <w:lang w:val="en-US" w:eastAsia="zh-CN"/>
        </w:rPr>
      </w:pPr>
      <w:r>
        <w:rPr>
          <w:rFonts w:hint="eastAsia" w:ascii="仿宋_GB2312" w:hAnsi="仿宋_GB2312" w:eastAsia="仿宋_GB2312"/>
          <w:color w:val="auto"/>
          <w:sz w:val="32"/>
        </w:rPr>
        <w:t>1.</w:t>
      </w:r>
      <w:r>
        <w:rPr>
          <w:rFonts w:hint="eastAsia" w:ascii="仿宋_GB2312" w:hAnsi="仿宋_GB2312" w:eastAsia="仿宋_GB2312"/>
          <w:color w:val="auto"/>
          <w:sz w:val="32"/>
          <w:lang w:val="en-US" w:eastAsia="zh-CN"/>
        </w:rPr>
        <w:t>人口抽样</w:t>
      </w:r>
      <w:r>
        <w:rPr>
          <w:rFonts w:hint="eastAsia" w:ascii="仿宋_GB2312" w:hAnsi="仿宋_GB2312" w:eastAsia="仿宋_GB2312"/>
          <w:color w:val="auto"/>
          <w:sz w:val="32"/>
        </w:rPr>
        <w:t>项目自评综述：根据年初设定的绩效目标，项目自评得分</w:t>
      </w:r>
      <w:r>
        <w:rPr>
          <w:rFonts w:hint="eastAsia" w:ascii="仿宋_GB2312" w:hAnsi="仿宋_GB2312" w:eastAsia="仿宋_GB2312"/>
          <w:color w:val="auto"/>
          <w:sz w:val="32"/>
          <w:lang w:val="en-US" w:eastAsia="zh-CN"/>
        </w:rPr>
        <w:t>90</w:t>
      </w:r>
      <w:r>
        <w:rPr>
          <w:rFonts w:hint="eastAsia" w:ascii="仿宋_GB2312" w:hAnsi="仿宋_GB2312" w:eastAsia="仿宋_GB2312"/>
          <w:color w:val="auto"/>
          <w:sz w:val="32"/>
        </w:rPr>
        <w:t>分。全年预算数为</w:t>
      </w:r>
      <w:r>
        <w:rPr>
          <w:rFonts w:hint="eastAsia" w:ascii="仿宋_GB2312" w:hAnsi="仿宋_GB2312" w:eastAsia="仿宋_GB2312"/>
          <w:color w:val="auto"/>
          <w:sz w:val="32"/>
          <w:lang w:val="en-US" w:eastAsia="zh-CN"/>
        </w:rPr>
        <w:t>2</w:t>
      </w:r>
      <w:r>
        <w:rPr>
          <w:rFonts w:hint="eastAsia" w:ascii="仿宋_GB2312" w:hAnsi="仿宋_GB2312" w:eastAsia="仿宋_GB2312"/>
          <w:color w:val="auto"/>
          <w:sz w:val="32"/>
        </w:rPr>
        <w:t>万元，执行数为</w:t>
      </w:r>
      <w:r>
        <w:rPr>
          <w:rFonts w:hint="eastAsia" w:ascii="仿宋_GB2312" w:hAnsi="仿宋_GB2312" w:eastAsia="仿宋_GB2312"/>
          <w:color w:val="auto"/>
          <w:sz w:val="32"/>
          <w:lang w:val="en-US" w:eastAsia="zh-CN"/>
        </w:rPr>
        <w:t>0</w:t>
      </w:r>
      <w:r>
        <w:rPr>
          <w:rFonts w:hint="eastAsia" w:ascii="仿宋_GB2312" w:hAnsi="仿宋_GB2312" w:eastAsia="仿宋_GB2312"/>
          <w:color w:val="auto"/>
          <w:sz w:val="32"/>
        </w:rPr>
        <w:t>万元，完成预算的</w:t>
      </w:r>
      <w:r>
        <w:rPr>
          <w:rFonts w:hint="eastAsia" w:ascii="仿宋_GB2312" w:hAnsi="仿宋_GB2312" w:eastAsia="仿宋_GB2312"/>
          <w:color w:val="auto"/>
          <w:sz w:val="32"/>
          <w:lang w:val="en-US" w:eastAsia="zh-CN"/>
        </w:rPr>
        <w:t>0</w:t>
      </w:r>
      <w:r>
        <w:rPr>
          <w:rFonts w:hint="eastAsia" w:ascii="仿宋_GB2312" w:hAnsi="仿宋_GB2312" w:eastAsia="仿宋_GB2312"/>
          <w:color w:val="auto"/>
          <w:sz w:val="32"/>
        </w:rPr>
        <w:t>%。</w:t>
      </w:r>
      <w:r>
        <w:rPr>
          <w:rFonts w:hint="eastAsia" w:ascii="仿宋_GB2312" w:hAnsi="仿宋_GB2312" w:eastAsia="仿宋_GB2312"/>
          <w:color w:val="auto"/>
          <w:sz w:val="32"/>
          <w:lang w:val="en-US" w:eastAsia="zh-CN"/>
        </w:rPr>
        <w:t>资金没有拨付，但是项目进行了实施，</w:t>
      </w:r>
      <w:r>
        <w:rPr>
          <w:rFonts w:hint="eastAsia" w:ascii="仿宋_GB2312" w:hAnsi="仿宋_GB2312" w:eastAsia="仿宋_GB2312"/>
          <w:color w:val="auto"/>
          <w:sz w:val="32"/>
        </w:rPr>
        <w:t>项目绩效目标完成情况：</w:t>
      </w:r>
      <w:r>
        <w:rPr>
          <w:rFonts w:hint="eastAsia" w:ascii="仿宋_GB2312" w:hAnsi="仿宋_GB2312" w:eastAsia="仿宋_GB2312"/>
          <w:color w:val="auto"/>
          <w:sz w:val="32"/>
          <w:lang w:val="en-US" w:eastAsia="zh-CN"/>
        </w:rPr>
        <w:t>完成情况良好，扩大调查小区，涉及4000余户，为国民经济和社会发展规划提供科学准确统计信息支持。以后要逐步完善样本量覆盖范围，提高准确性。</w:t>
      </w:r>
    </w:p>
    <w:p>
      <w:pPr>
        <w:spacing w:line="580" w:lineRule="exact"/>
        <w:ind w:firstLine="600"/>
        <w:rPr>
          <w:rFonts w:hint="default" w:eastAsia="Times New Roman"/>
          <w:color w:val="auto"/>
          <w:sz w:val="32"/>
        </w:rPr>
      </w:pPr>
    </w:p>
    <w:p>
      <w:pPr>
        <w:autoSpaceDE w:val="0"/>
        <w:autoSpaceDN w:val="0"/>
        <w:adjustRightInd w:val="0"/>
        <w:jc w:val="left"/>
        <w:rPr>
          <w:rFonts w:hint="eastAsia" w:ascii="仿宋_GB2312" w:hAnsi="仿宋_GB2312" w:eastAsia="仿宋_GB2312"/>
          <w:color w:val="auto"/>
          <w:sz w:val="32"/>
          <w:lang w:val="en-US" w:eastAsia="zh-CN"/>
        </w:rPr>
      </w:pPr>
      <w:r>
        <w:rPr>
          <w:rFonts w:hint="eastAsia" w:ascii="仿宋_GB2312" w:hAnsi="仿宋_GB2312" w:eastAsia="仿宋_GB2312"/>
          <w:color w:val="auto"/>
          <w:sz w:val="32"/>
        </w:rPr>
        <w:t>2.</w:t>
      </w:r>
      <w:r>
        <w:rPr>
          <w:rFonts w:hint="eastAsia" w:ascii="仿宋_GB2312" w:hAnsi="仿宋_GB2312" w:eastAsia="仿宋_GB2312"/>
          <w:color w:val="auto"/>
          <w:sz w:val="32"/>
          <w:lang w:val="en-US" w:eastAsia="zh-CN"/>
        </w:rPr>
        <w:t>统计年鉴</w:t>
      </w:r>
      <w:r>
        <w:rPr>
          <w:rFonts w:hint="eastAsia" w:ascii="仿宋_GB2312" w:hAnsi="仿宋_GB2312" w:eastAsia="仿宋_GB2312"/>
          <w:color w:val="auto"/>
          <w:sz w:val="32"/>
        </w:rPr>
        <w:t>项目自评综述：根据年初设定的绩效目标，项目自评得分</w:t>
      </w:r>
      <w:r>
        <w:rPr>
          <w:rFonts w:hint="eastAsia" w:ascii="仿宋_GB2312" w:hAnsi="仿宋_GB2312" w:eastAsia="仿宋_GB2312"/>
          <w:color w:val="auto"/>
          <w:sz w:val="32"/>
          <w:lang w:val="en-US" w:eastAsia="zh-CN"/>
        </w:rPr>
        <w:t>90</w:t>
      </w:r>
      <w:r>
        <w:rPr>
          <w:rFonts w:hint="eastAsia" w:ascii="仿宋_GB2312" w:hAnsi="仿宋_GB2312" w:eastAsia="仿宋_GB2312"/>
          <w:color w:val="auto"/>
          <w:sz w:val="32"/>
        </w:rPr>
        <w:t>分。全年预算数为</w:t>
      </w:r>
      <w:r>
        <w:rPr>
          <w:rFonts w:hint="eastAsia" w:ascii="仿宋_GB2312" w:hAnsi="仿宋_GB2312" w:eastAsia="仿宋_GB2312"/>
          <w:color w:val="auto"/>
          <w:sz w:val="32"/>
          <w:lang w:val="en-US" w:eastAsia="zh-CN"/>
        </w:rPr>
        <w:t>1</w:t>
      </w:r>
      <w:r>
        <w:rPr>
          <w:rFonts w:hint="eastAsia" w:ascii="仿宋_GB2312" w:hAnsi="仿宋_GB2312" w:eastAsia="仿宋_GB2312"/>
          <w:color w:val="auto"/>
          <w:sz w:val="32"/>
        </w:rPr>
        <w:t>万元，执行数为</w:t>
      </w:r>
      <w:r>
        <w:rPr>
          <w:rFonts w:hint="eastAsia" w:ascii="仿宋_GB2312" w:hAnsi="仿宋_GB2312" w:eastAsia="仿宋_GB2312"/>
          <w:color w:val="auto"/>
          <w:sz w:val="32"/>
          <w:lang w:val="en-US" w:eastAsia="zh-CN"/>
        </w:rPr>
        <w:t>0</w:t>
      </w:r>
      <w:r>
        <w:rPr>
          <w:rFonts w:hint="eastAsia" w:ascii="仿宋_GB2312" w:hAnsi="仿宋_GB2312" w:eastAsia="仿宋_GB2312"/>
          <w:color w:val="auto"/>
          <w:sz w:val="32"/>
        </w:rPr>
        <w:t>万元，完成预算的</w:t>
      </w:r>
      <w:r>
        <w:rPr>
          <w:rFonts w:hint="eastAsia" w:ascii="仿宋_GB2312" w:hAnsi="仿宋_GB2312" w:eastAsia="仿宋_GB2312"/>
          <w:color w:val="auto"/>
          <w:sz w:val="32"/>
          <w:lang w:val="en-US" w:eastAsia="zh-CN"/>
        </w:rPr>
        <w:t>0</w:t>
      </w:r>
      <w:r>
        <w:rPr>
          <w:rFonts w:hint="eastAsia" w:ascii="仿宋_GB2312" w:hAnsi="仿宋_GB2312" w:eastAsia="仿宋_GB2312"/>
          <w:color w:val="auto"/>
          <w:sz w:val="32"/>
        </w:rPr>
        <w:t>%。</w:t>
      </w:r>
      <w:r>
        <w:rPr>
          <w:rFonts w:hint="eastAsia" w:ascii="仿宋_GB2312" w:hAnsi="仿宋_GB2312" w:eastAsia="仿宋_GB2312"/>
          <w:color w:val="auto"/>
          <w:sz w:val="32"/>
          <w:lang w:val="en-US" w:eastAsia="zh-CN"/>
        </w:rPr>
        <w:t>资金没有拨付，但是项目进行了实施，按时保质完成了统计年鉴和统计月报编制印刷工作为领导决策提供了依据，便于查找数据。</w:t>
      </w:r>
    </w:p>
    <w:p>
      <w:pPr>
        <w:spacing w:line="580" w:lineRule="exact"/>
        <w:ind w:firstLine="600"/>
        <w:rPr>
          <w:rFonts w:hint="default" w:eastAsia="Times New Roman"/>
          <w:color w:val="auto"/>
          <w:sz w:val="32"/>
        </w:rPr>
      </w:pPr>
    </w:p>
    <w:tbl>
      <w:tblPr>
        <w:tblStyle w:val="2"/>
        <w:tblW w:w="960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029"/>
        <w:gridCol w:w="1010"/>
        <w:gridCol w:w="19"/>
        <w:gridCol w:w="1166"/>
        <w:gridCol w:w="2"/>
        <w:gridCol w:w="889"/>
        <w:gridCol w:w="1029"/>
        <w:gridCol w:w="1028"/>
        <w:gridCol w:w="1"/>
        <w:gridCol w:w="1029"/>
        <w:gridCol w:w="1028"/>
        <w:gridCol w:w="137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jc w:val="center"/>
        </w:trPr>
        <w:tc>
          <w:tcPr>
            <w:tcW w:w="9600" w:type="dxa"/>
            <w:gridSpan w:val="12"/>
            <w:tcBorders>
              <w:top w:val="nil"/>
              <w:left w:val="nil"/>
              <w:bottom w:val="nil"/>
              <w:right w:val="nil"/>
              <w:tl2br w:val="nil"/>
              <w:tr2bl w:val="nil"/>
            </w:tcBorders>
            <w:vAlign w:val="top"/>
          </w:tcPr>
          <w:p>
            <w:pPr>
              <w:autoSpaceDE w:val="0"/>
              <w:autoSpaceDN w:val="0"/>
              <w:adjustRightInd w:val="0"/>
              <w:jc w:val="center"/>
              <w:rPr>
                <w:rFonts w:hint="default" w:eastAsia="Times New Roman"/>
                <w:sz w:val="32"/>
              </w:rPr>
            </w:pPr>
            <w:r>
              <w:rPr>
                <w:rFonts w:hint="eastAsia" w:ascii="宋体"/>
                <w:color w:val="000000"/>
                <w:kern w:val="0"/>
                <w:sz w:val="24"/>
              </w:rPr>
              <w:t>项目支出绩效自评表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0" w:hRule="atLeast"/>
          <w:jc w:val="center"/>
        </w:trPr>
        <w:tc>
          <w:tcPr>
            <w:tcW w:w="9600" w:type="dxa"/>
            <w:gridSpan w:val="12"/>
            <w:tcBorders>
              <w:top w:val="nil"/>
              <w:left w:val="nil"/>
              <w:bottom w:val="single" w:color="auto" w:sz="6" w:space="0"/>
              <w:right w:val="nil"/>
              <w:tl2br w:val="nil"/>
              <w:tr2bl w:val="nil"/>
            </w:tcBorders>
            <w:vAlign w:val="top"/>
          </w:tcPr>
          <w:p>
            <w:pPr>
              <w:autoSpaceDE w:val="0"/>
              <w:autoSpaceDN w:val="0"/>
              <w:adjustRightInd w:val="0"/>
              <w:jc w:val="center"/>
              <w:rPr>
                <w:rFonts w:hint="default" w:eastAsia="Times New Roman"/>
                <w:sz w:val="32"/>
              </w:rPr>
            </w:pPr>
            <w:r>
              <w:rPr>
                <w:rFonts w:hint="eastAsia" w:ascii="宋体"/>
                <w:color w:val="000000"/>
                <w:kern w:val="0"/>
                <w:sz w:val="20"/>
              </w:rPr>
              <w:t xml:space="preserve">（ </w:t>
            </w:r>
            <w:r>
              <w:rPr>
                <w:rFonts w:hint="eastAsia" w:ascii="宋体"/>
                <w:color w:val="000000"/>
                <w:kern w:val="0"/>
                <w:sz w:val="20"/>
                <w:lang w:eastAsia="zh-CN"/>
              </w:rPr>
              <w:t>2021</w:t>
            </w:r>
            <w:r>
              <w:rPr>
                <w:rFonts w:hint="eastAsia" w:ascii="宋体"/>
                <w:color w:val="000000"/>
                <w:kern w:val="0"/>
                <w:sz w:val="20"/>
              </w:rPr>
              <w:t xml:space="preserve"> 年度）</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1" w:hRule="atLeast"/>
          <w:jc w:val="center"/>
        </w:trPr>
        <w:tc>
          <w:tcPr>
            <w:tcW w:w="2039"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color w:val="000000"/>
                <w:kern w:val="0"/>
                <w:sz w:val="21"/>
              </w:rPr>
            </w:pPr>
            <w:r>
              <w:rPr>
                <w:rFonts w:hint="eastAsia" w:ascii="宋体"/>
                <w:color w:val="000000"/>
                <w:kern w:val="0"/>
                <w:sz w:val="21"/>
              </w:rPr>
              <w:t>项目名称</w:t>
            </w:r>
          </w:p>
        </w:tc>
        <w:tc>
          <w:tcPr>
            <w:tcW w:w="3105" w:type="dxa"/>
            <w:gridSpan w:val="5"/>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21"/>
                <w:lang w:val="en-US"/>
              </w:rPr>
            </w:pPr>
            <w:r>
              <w:rPr>
                <w:rFonts w:hint="eastAsia" w:ascii="仿宋_GB2312" w:eastAsia="仿宋_GB2312"/>
                <w:color w:val="000000"/>
                <w:sz w:val="32"/>
                <w:lang w:val="en-US" w:eastAsia="zh-CN"/>
              </w:rPr>
              <w:t>人口抽样调查项目</w:t>
            </w:r>
          </w:p>
        </w:tc>
        <w:tc>
          <w:tcPr>
            <w:tcW w:w="1028"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color w:val="000000"/>
                <w:kern w:val="0"/>
                <w:sz w:val="13"/>
              </w:rPr>
            </w:pPr>
            <w:r>
              <w:rPr>
                <w:rFonts w:hint="eastAsia" w:ascii="宋体"/>
                <w:color w:val="000000"/>
                <w:kern w:val="0"/>
                <w:sz w:val="13"/>
              </w:rPr>
              <w:t>项目负责人及电话</w:t>
            </w:r>
          </w:p>
        </w:tc>
        <w:tc>
          <w:tcPr>
            <w:tcW w:w="3428" w:type="dxa"/>
            <w:gridSpan w:val="4"/>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eastAsia"/>
                <w:sz w:val="21"/>
                <w:lang w:val="en-US" w:eastAsia="zh-CN"/>
              </w:rPr>
            </w:pPr>
            <w:r>
              <w:rPr>
                <w:rFonts w:hint="eastAsia"/>
                <w:sz w:val="21"/>
                <w:lang w:val="en-US" w:eastAsia="zh-CN"/>
              </w:rPr>
              <w:t>马凤武</w:t>
            </w:r>
          </w:p>
          <w:p>
            <w:pPr>
              <w:autoSpaceDE w:val="0"/>
              <w:autoSpaceDN w:val="0"/>
              <w:adjustRightInd w:val="0"/>
              <w:jc w:val="center"/>
              <w:rPr>
                <w:rFonts w:hint="default"/>
                <w:sz w:val="21"/>
                <w:lang w:val="en-US" w:eastAsia="zh-CN"/>
              </w:rPr>
            </w:pPr>
            <w:r>
              <w:rPr>
                <w:rFonts w:hint="eastAsia"/>
                <w:sz w:val="21"/>
                <w:lang w:val="en-US" w:eastAsia="zh-CN"/>
              </w:rPr>
              <w:t>0470-4626322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1" w:hRule="atLeast"/>
          <w:jc w:val="center"/>
        </w:trPr>
        <w:tc>
          <w:tcPr>
            <w:tcW w:w="2039"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color w:val="000000"/>
                <w:kern w:val="0"/>
                <w:sz w:val="21"/>
              </w:rPr>
            </w:pPr>
            <w:r>
              <w:rPr>
                <w:rFonts w:hint="eastAsia" w:ascii="宋体"/>
                <w:color w:val="000000"/>
                <w:kern w:val="0"/>
                <w:sz w:val="21"/>
              </w:rPr>
              <w:t>主管部门</w:t>
            </w:r>
          </w:p>
        </w:tc>
        <w:tc>
          <w:tcPr>
            <w:tcW w:w="3105" w:type="dxa"/>
            <w:gridSpan w:val="5"/>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21"/>
                <w:lang w:val="en-US" w:eastAsia="zh-CN"/>
              </w:rPr>
            </w:pPr>
            <w:r>
              <w:rPr>
                <w:rFonts w:hint="eastAsia"/>
                <w:sz w:val="21"/>
                <w:lang w:val="en-US" w:eastAsia="zh-CN"/>
              </w:rPr>
              <w:t>莫力达瓦达斡尔族自治旗人民政府</w:t>
            </w:r>
          </w:p>
        </w:tc>
        <w:tc>
          <w:tcPr>
            <w:tcW w:w="1028"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color w:val="000000"/>
                <w:kern w:val="0"/>
                <w:sz w:val="13"/>
              </w:rPr>
            </w:pPr>
            <w:r>
              <w:rPr>
                <w:rFonts w:hint="eastAsia" w:ascii="宋体"/>
                <w:color w:val="000000"/>
                <w:kern w:val="0"/>
                <w:sz w:val="13"/>
              </w:rPr>
              <w:t>实施单位</w:t>
            </w:r>
          </w:p>
        </w:tc>
        <w:tc>
          <w:tcPr>
            <w:tcW w:w="3428" w:type="dxa"/>
            <w:gridSpan w:val="4"/>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32"/>
                <w:lang w:val="en-US" w:eastAsia="zh-CN"/>
              </w:rPr>
            </w:pPr>
            <w:r>
              <w:rPr>
                <w:rFonts w:hint="eastAsia"/>
                <w:sz w:val="18"/>
                <w:lang w:val="en-US" w:eastAsia="zh-CN"/>
              </w:rPr>
              <w:t>莫力达瓦达斡尔族自治旗统计局</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1" w:hRule="atLeast"/>
          <w:jc w:val="center"/>
        </w:trPr>
        <w:tc>
          <w:tcPr>
            <w:tcW w:w="2039" w:type="dxa"/>
            <w:gridSpan w:val="2"/>
            <w:vMerge w:val="restart"/>
            <w:tcBorders>
              <w:top w:val="single" w:color="auto" w:sz="6" w:space="0"/>
              <w:left w:val="single" w:color="auto" w:sz="6" w:space="0"/>
              <w:bottom w:val="nil"/>
              <w:right w:val="single" w:color="auto" w:sz="6" w:space="0"/>
              <w:tl2br w:val="nil"/>
              <w:tr2bl w:val="nil"/>
            </w:tcBorders>
            <w:vAlign w:val="center"/>
          </w:tcPr>
          <w:p>
            <w:pPr>
              <w:autoSpaceDE w:val="0"/>
              <w:autoSpaceDN w:val="0"/>
              <w:adjustRightInd w:val="0"/>
              <w:jc w:val="center"/>
              <w:rPr>
                <w:rFonts w:hint="default" w:eastAsia="Times New Roman"/>
                <w:sz w:val="32"/>
              </w:rPr>
            </w:pPr>
            <w:r>
              <w:rPr>
                <w:rFonts w:hint="eastAsia" w:ascii="宋体"/>
                <w:color w:val="000000"/>
                <w:kern w:val="0"/>
                <w:sz w:val="13"/>
              </w:rPr>
              <w:t>项目预算执行情况</w:t>
            </w:r>
            <w:r>
              <w:rPr>
                <w:rFonts w:hint="default"/>
                <w:color w:val="000000"/>
                <w:kern w:val="0"/>
                <w:sz w:val="13"/>
              </w:rPr>
              <w:t xml:space="preserve"> </w:t>
            </w:r>
            <w:r>
              <w:rPr>
                <w:rFonts w:hint="eastAsia" w:ascii="宋体"/>
                <w:color w:val="000000"/>
                <w:kern w:val="0"/>
                <w:sz w:val="13"/>
              </w:rPr>
              <w:t>（万元）</w:t>
            </w:r>
          </w:p>
        </w:tc>
        <w:tc>
          <w:tcPr>
            <w:tcW w:w="1185"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1920" w:type="dxa"/>
            <w:gridSpan w:val="3"/>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color w:val="000000"/>
                <w:kern w:val="0"/>
                <w:sz w:val="13"/>
              </w:rPr>
            </w:pPr>
            <w:r>
              <w:rPr>
                <w:rFonts w:hint="eastAsia" w:ascii="宋体"/>
                <w:color w:val="000000"/>
                <w:kern w:val="0"/>
                <w:sz w:val="13"/>
              </w:rPr>
              <w:t>全年预算数（A）</w:t>
            </w:r>
          </w:p>
        </w:tc>
        <w:tc>
          <w:tcPr>
            <w:tcW w:w="1028"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color w:val="000000"/>
                <w:kern w:val="0"/>
                <w:sz w:val="13"/>
              </w:rPr>
            </w:pPr>
            <w:r>
              <w:rPr>
                <w:rFonts w:hint="eastAsia" w:ascii="宋体"/>
                <w:color w:val="000000"/>
                <w:kern w:val="0"/>
                <w:sz w:val="13"/>
              </w:rPr>
              <w:t>全年执行数（B）</w:t>
            </w:r>
          </w:p>
        </w:tc>
        <w:tc>
          <w:tcPr>
            <w:tcW w:w="1030"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color w:val="000000"/>
                <w:kern w:val="0"/>
                <w:sz w:val="13"/>
              </w:rPr>
            </w:pPr>
            <w:r>
              <w:rPr>
                <w:rFonts w:hint="eastAsia" w:ascii="宋体"/>
                <w:color w:val="000000"/>
                <w:kern w:val="0"/>
                <w:sz w:val="13"/>
              </w:rPr>
              <w:t>分值</w:t>
            </w:r>
          </w:p>
        </w:tc>
        <w:tc>
          <w:tcPr>
            <w:tcW w:w="1028"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color w:val="000000"/>
                <w:kern w:val="0"/>
                <w:sz w:val="13"/>
              </w:rPr>
            </w:pPr>
            <w:r>
              <w:rPr>
                <w:rFonts w:hint="eastAsia" w:ascii="宋体"/>
                <w:color w:val="000000"/>
                <w:kern w:val="0"/>
                <w:sz w:val="13"/>
              </w:rPr>
              <w:t>执行率（B/A)</w:t>
            </w:r>
          </w:p>
        </w:tc>
        <w:tc>
          <w:tcPr>
            <w:tcW w:w="1370"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color w:val="000000"/>
                <w:kern w:val="0"/>
                <w:sz w:val="13"/>
              </w:rPr>
            </w:pPr>
            <w:r>
              <w:rPr>
                <w:rFonts w:hint="eastAsia" w:ascii="宋体"/>
                <w:color w:val="000000"/>
                <w:kern w:val="0"/>
                <w:sz w:val="13"/>
              </w:rPr>
              <w:t>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1" w:hRule="atLeast"/>
          <w:jc w:val="center"/>
        </w:trPr>
        <w:tc>
          <w:tcPr>
            <w:tcW w:w="2039" w:type="dxa"/>
            <w:gridSpan w:val="2"/>
            <w:vMerge w:val="continue"/>
            <w:tcBorders>
              <w:top w:val="nil"/>
              <w:left w:val="single" w:color="auto" w:sz="6" w:space="0"/>
              <w:bottom w:val="nil"/>
              <w:right w:val="single" w:color="auto" w:sz="6" w:space="0"/>
              <w:tl2br w:val="nil"/>
              <w:tr2bl w:val="nil"/>
            </w:tcBorders>
            <w:vAlign w:val="center"/>
          </w:tcPr>
          <w:p>
            <w:pPr>
              <w:autoSpaceDE w:val="0"/>
              <w:autoSpaceDN w:val="0"/>
              <w:adjustRightInd w:val="0"/>
              <w:jc w:val="left"/>
              <w:rPr>
                <w:rFonts w:hint="default" w:eastAsia="Times New Roman"/>
                <w:color w:val="000000"/>
                <w:kern w:val="0"/>
                <w:sz w:val="13"/>
              </w:rPr>
            </w:pPr>
          </w:p>
        </w:tc>
        <w:tc>
          <w:tcPr>
            <w:tcW w:w="1185"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left"/>
              <w:rPr>
                <w:rFonts w:hint="default" w:eastAsia="Times New Roman"/>
                <w:color w:val="000000"/>
                <w:kern w:val="0"/>
                <w:sz w:val="13"/>
              </w:rPr>
            </w:pPr>
            <w:r>
              <w:rPr>
                <w:rFonts w:hint="eastAsia" w:ascii="宋体"/>
                <w:color w:val="000000"/>
                <w:kern w:val="0"/>
                <w:sz w:val="13"/>
              </w:rPr>
              <w:t>年度资金总额：</w:t>
            </w:r>
          </w:p>
        </w:tc>
        <w:tc>
          <w:tcPr>
            <w:tcW w:w="1920" w:type="dxa"/>
            <w:gridSpan w:val="3"/>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32"/>
                <w:lang w:val="en-US" w:eastAsia="zh-CN"/>
              </w:rPr>
            </w:pPr>
            <w:r>
              <w:rPr>
                <w:rFonts w:hint="eastAsia"/>
                <w:sz w:val="32"/>
                <w:lang w:val="en-US" w:eastAsia="zh-CN"/>
              </w:rPr>
              <w:t>2</w:t>
            </w:r>
          </w:p>
        </w:tc>
        <w:tc>
          <w:tcPr>
            <w:tcW w:w="1028"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21"/>
                <w:lang w:val="en-US" w:eastAsia="zh-CN"/>
              </w:rPr>
            </w:pPr>
            <w:r>
              <w:rPr>
                <w:rFonts w:hint="eastAsia"/>
                <w:sz w:val="21"/>
                <w:lang w:val="en-US" w:eastAsia="zh-CN"/>
              </w:rPr>
              <w:t>0</w:t>
            </w:r>
          </w:p>
        </w:tc>
        <w:tc>
          <w:tcPr>
            <w:tcW w:w="1030"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color w:val="000000"/>
                <w:kern w:val="0"/>
                <w:sz w:val="13"/>
              </w:rPr>
            </w:pPr>
            <w:r>
              <w:rPr>
                <w:rFonts w:hint="eastAsia" w:ascii="宋体"/>
                <w:color w:val="000000"/>
                <w:kern w:val="0"/>
                <w:sz w:val="13"/>
              </w:rPr>
              <w:t>10</w:t>
            </w:r>
          </w:p>
        </w:tc>
        <w:tc>
          <w:tcPr>
            <w:tcW w:w="1028"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color w:val="000000"/>
                <w:kern w:val="0"/>
                <w:sz w:val="13"/>
                <w:lang w:val="en-US" w:eastAsia="zh-CN"/>
              </w:rPr>
            </w:pPr>
            <w:r>
              <w:rPr>
                <w:rFonts w:hint="eastAsia"/>
                <w:color w:val="000000"/>
                <w:kern w:val="0"/>
                <w:sz w:val="13"/>
                <w:lang w:val="en-US" w:eastAsia="zh-CN"/>
              </w:rPr>
              <w:t>0%</w:t>
            </w:r>
          </w:p>
        </w:tc>
        <w:tc>
          <w:tcPr>
            <w:tcW w:w="1370"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color w:val="000000"/>
                <w:kern w:val="0"/>
                <w:sz w:val="13"/>
                <w:lang w:val="en-US" w:eastAsia="zh-CN"/>
              </w:rPr>
            </w:pPr>
            <w:r>
              <w:rPr>
                <w:rFonts w:hint="eastAsia"/>
                <w:color w:val="000000"/>
                <w:kern w:val="0"/>
                <w:sz w:val="13"/>
                <w:lang w:val="en-US" w:eastAsia="zh-CN"/>
              </w:rPr>
              <w:t>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1" w:hRule="atLeast"/>
          <w:jc w:val="center"/>
        </w:trPr>
        <w:tc>
          <w:tcPr>
            <w:tcW w:w="2039" w:type="dxa"/>
            <w:gridSpan w:val="2"/>
            <w:vMerge w:val="continue"/>
            <w:tcBorders>
              <w:top w:val="nil"/>
              <w:left w:val="single" w:color="auto" w:sz="6" w:space="0"/>
              <w:bottom w:val="nil"/>
              <w:right w:val="single" w:color="auto" w:sz="6" w:space="0"/>
              <w:tl2br w:val="nil"/>
              <w:tr2bl w:val="nil"/>
            </w:tcBorders>
            <w:vAlign w:val="center"/>
          </w:tcPr>
          <w:p>
            <w:pPr>
              <w:autoSpaceDE w:val="0"/>
              <w:autoSpaceDN w:val="0"/>
              <w:adjustRightInd w:val="0"/>
              <w:jc w:val="left"/>
              <w:rPr>
                <w:rFonts w:hint="default" w:eastAsia="Times New Roman"/>
                <w:color w:val="000000"/>
                <w:kern w:val="0"/>
                <w:sz w:val="13"/>
              </w:rPr>
            </w:pPr>
          </w:p>
        </w:tc>
        <w:tc>
          <w:tcPr>
            <w:tcW w:w="1185"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left"/>
              <w:rPr>
                <w:rFonts w:hint="default" w:eastAsia="Times New Roman"/>
                <w:color w:val="000000"/>
                <w:kern w:val="0"/>
                <w:sz w:val="13"/>
              </w:rPr>
            </w:pPr>
            <w:r>
              <w:rPr>
                <w:rFonts w:hint="eastAsia" w:ascii="宋体"/>
                <w:color w:val="000000"/>
                <w:kern w:val="0"/>
                <w:sz w:val="13"/>
              </w:rPr>
              <w:t>其中：财政拨款</w:t>
            </w:r>
          </w:p>
        </w:tc>
        <w:tc>
          <w:tcPr>
            <w:tcW w:w="1920" w:type="dxa"/>
            <w:gridSpan w:val="3"/>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32"/>
                <w:lang w:val="en-US" w:eastAsia="zh-CN"/>
              </w:rPr>
            </w:pPr>
            <w:r>
              <w:rPr>
                <w:rFonts w:hint="eastAsia"/>
                <w:sz w:val="32"/>
                <w:lang w:val="en-US" w:eastAsia="zh-CN"/>
              </w:rPr>
              <w:t>2</w:t>
            </w:r>
          </w:p>
        </w:tc>
        <w:tc>
          <w:tcPr>
            <w:tcW w:w="1028"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21"/>
                <w:lang w:val="en-US" w:eastAsia="zh-CN"/>
              </w:rPr>
            </w:pPr>
            <w:r>
              <w:rPr>
                <w:rFonts w:hint="eastAsia"/>
                <w:sz w:val="21"/>
                <w:lang w:val="en-US" w:eastAsia="zh-CN"/>
              </w:rPr>
              <w:t>0</w:t>
            </w:r>
          </w:p>
        </w:tc>
        <w:tc>
          <w:tcPr>
            <w:tcW w:w="1030"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color w:val="000000"/>
                <w:kern w:val="0"/>
                <w:sz w:val="13"/>
              </w:rPr>
            </w:pPr>
            <w:r>
              <w:rPr>
                <w:rFonts w:hint="default"/>
                <w:color w:val="000000"/>
                <w:kern w:val="0"/>
                <w:sz w:val="13"/>
              </w:rPr>
              <w:t>-</w:t>
            </w:r>
          </w:p>
        </w:tc>
        <w:tc>
          <w:tcPr>
            <w:tcW w:w="1028"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rPr>
                <w:rFonts w:hint="default"/>
                <w:color w:val="000000"/>
                <w:kern w:val="0"/>
                <w:sz w:val="13"/>
                <w:lang w:val="en-US" w:eastAsia="zh-CN"/>
              </w:rPr>
            </w:pPr>
            <w:r>
              <w:rPr>
                <w:rFonts w:hint="eastAsia"/>
                <w:color w:val="000000"/>
                <w:kern w:val="0"/>
                <w:sz w:val="13"/>
                <w:lang w:val="en-US" w:eastAsia="zh-CN"/>
              </w:rPr>
              <w:t>0%</w:t>
            </w:r>
          </w:p>
        </w:tc>
        <w:tc>
          <w:tcPr>
            <w:tcW w:w="1370"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color w:val="000000"/>
                <w:kern w:val="0"/>
                <w:sz w:val="13"/>
              </w:rPr>
            </w:pPr>
            <w:r>
              <w:rPr>
                <w:rFonts w:hint="eastAsia"/>
                <w:color w:val="000000"/>
                <w:kern w:val="0"/>
                <w:sz w:val="13"/>
                <w:lang w:val="en-US" w:eastAsia="zh-CN"/>
              </w:rPr>
              <w:t>0</w:t>
            </w:r>
            <w:r>
              <w:rPr>
                <w:rFonts w:hint="default"/>
                <w:color w:val="000000"/>
                <w:kern w:val="0"/>
                <w:sz w:val="13"/>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1" w:hRule="atLeast"/>
          <w:jc w:val="center"/>
        </w:trPr>
        <w:tc>
          <w:tcPr>
            <w:tcW w:w="2039" w:type="dxa"/>
            <w:gridSpan w:val="2"/>
            <w:vMerge w:val="continue"/>
            <w:tcBorders>
              <w:top w:val="nil"/>
              <w:left w:val="single" w:color="auto" w:sz="6" w:space="0"/>
              <w:bottom w:val="single" w:color="auto" w:sz="6" w:space="0"/>
              <w:right w:val="single" w:color="auto" w:sz="6" w:space="0"/>
              <w:tl2br w:val="nil"/>
              <w:tr2bl w:val="nil"/>
            </w:tcBorders>
            <w:vAlign w:val="center"/>
          </w:tcPr>
          <w:p>
            <w:pPr>
              <w:autoSpaceDE w:val="0"/>
              <w:autoSpaceDN w:val="0"/>
              <w:adjustRightInd w:val="0"/>
              <w:jc w:val="left"/>
              <w:rPr>
                <w:rFonts w:hint="default" w:eastAsia="Times New Roman"/>
                <w:color w:val="000000"/>
                <w:kern w:val="0"/>
                <w:sz w:val="13"/>
              </w:rPr>
            </w:pPr>
          </w:p>
        </w:tc>
        <w:tc>
          <w:tcPr>
            <w:tcW w:w="1185"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left"/>
              <w:rPr>
                <w:rFonts w:hint="default" w:eastAsia="Times New Roman"/>
                <w:color w:val="000000"/>
                <w:kern w:val="0"/>
                <w:sz w:val="13"/>
              </w:rPr>
            </w:pPr>
            <w:r>
              <w:rPr>
                <w:rFonts w:hint="eastAsia" w:ascii="宋体"/>
                <w:color w:val="000000"/>
                <w:kern w:val="0"/>
                <w:sz w:val="13"/>
              </w:rPr>
              <w:t>其他资金</w:t>
            </w:r>
          </w:p>
        </w:tc>
        <w:tc>
          <w:tcPr>
            <w:tcW w:w="1920" w:type="dxa"/>
            <w:gridSpan w:val="3"/>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1028"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1030"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color w:val="000000"/>
                <w:kern w:val="0"/>
                <w:sz w:val="13"/>
              </w:rPr>
            </w:pPr>
            <w:r>
              <w:rPr>
                <w:rFonts w:hint="default"/>
                <w:color w:val="000000"/>
                <w:kern w:val="0"/>
                <w:sz w:val="13"/>
              </w:rPr>
              <w:t>-</w:t>
            </w:r>
          </w:p>
        </w:tc>
        <w:tc>
          <w:tcPr>
            <w:tcW w:w="1028"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color w:val="000000"/>
                <w:kern w:val="0"/>
                <w:sz w:val="13"/>
              </w:rPr>
            </w:pPr>
          </w:p>
        </w:tc>
        <w:tc>
          <w:tcPr>
            <w:tcW w:w="1370"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color w:val="000000"/>
                <w:kern w:val="0"/>
                <w:sz w:val="13"/>
              </w:rPr>
            </w:pPr>
            <w:r>
              <w:rPr>
                <w:rFonts w:hint="default"/>
                <w:color w:val="000000"/>
                <w:kern w:val="0"/>
                <w:sz w:val="13"/>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7" w:hRule="atLeast"/>
          <w:jc w:val="center"/>
        </w:trPr>
        <w:tc>
          <w:tcPr>
            <w:tcW w:w="1029" w:type="dxa"/>
            <w:vMerge w:val="restart"/>
            <w:tcBorders>
              <w:top w:val="single" w:color="auto" w:sz="6" w:space="0"/>
              <w:left w:val="single" w:color="auto" w:sz="6" w:space="0"/>
              <w:bottom w:val="nil"/>
              <w:right w:val="single" w:color="auto" w:sz="6" w:space="0"/>
              <w:tl2br w:val="nil"/>
              <w:tr2bl w:val="nil"/>
            </w:tcBorders>
            <w:vAlign w:val="center"/>
          </w:tcPr>
          <w:p>
            <w:pPr>
              <w:autoSpaceDE w:val="0"/>
              <w:autoSpaceDN w:val="0"/>
              <w:adjustRightInd w:val="0"/>
              <w:jc w:val="center"/>
              <w:rPr>
                <w:rFonts w:hint="default" w:eastAsia="Times New Roman"/>
                <w:sz w:val="32"/>
              </w:rPr>
            </w:pPr>
            <w:r>
              <w:rPr>
                <w:rFonts w:hint="eastAsia" w:ascii="宋体"/>
                <w:color w:val="000000"/>
                <w:kern w:val="0"/>
                <w:sz w:val="13"/>
              </w:rPr>
              <w:t>年度总体目标完成情况</w:t>
            </w:r>
          </w:p>
        </w:tc>
        <w:tc>
          <w:tcPr>
            <w:tcW w:w="4115" w:type="dxa"/>
            <w:gridSpan w:val="6"/>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color w:val="000000"/>
                <w:kern w:val="0"/>
                <w:sz w:val="13"/>
              </w:rPr>
            </w:pPr>
            <w:r>
              <w:rPr>
                <w:rFonts w:hint="eastAsia" w:ascii="宋体"/>
                <w:color w:val="000000"/>
                <w:kern w:val="0"/>
                <w:sz w:val="13"/>
              </w:rPr>
              <w:t>预期目标</w:t>
            </w:r>
          </w:p>
        </w:tc>
        <w:tc>
          <w:tcPr>
            <w:tcW w:w="4456" w:type="dxa"/>
            <w:gridSpan w:val="5"/>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color w:val="000000"/>
                <w:kern w:val="0"/>
                <w:sz w:val="13"/>
              </w:rPr>
            </w:pPr>
            <w:r>
              <w:rPr>
                <w:rFonts w:hint="eastAsia" w:ascii="宋体"/>
                <w:color w:val="000000"/>
                <w:kern w:val="0"/>
                <w:sz w:val="13"/>
              </w:rPr>
              <w:t>目标实际完成情况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80" w:hRule="atLeast"/>
          <w:jc w:val="center"/>
        </w:trPr>
        <w:tc>
          <w:tcPr>
            <w:tcW w:w="1029" w:type="dxa"/>
            <w:vMerge w:val="continue"/>
            <w:tcBorders>
              <w:top w:val="nil"/>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4115" w:type="dxa"/>
            <w:gridSpan w:val="6"/>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rPr>
                <w:rFonts w:hint="default"/>
                <w:sz w:val="15"/>
                <w:lang w:val="en-US" w:eastAsia="zh-CN"/>
              </w:rPr>
            </w:pPr>
            <w:r>
              <w:rPr>
                <w:rFonts w:hint="eastAsia"/>
                <w:sz w:val="15"/>
                <w:lang w:val="en-US" w:eastAsia="zh-CN"/>
              </w:rPr>
              <w:t>了解我国人口在数量、素质、结构分布及居住等方面的变化情况，为制定国民经济和社会发展规划提供科学在准确的统计信息支持。</w:t>
            </w:r>
          </w:p>
          <w:p>
            <w:pPr>
              <w:autoSpaceDE w:val="0"/>
              <w:autoSpaceDN w:val="0"/>
              <w:adjustRightInd w:val="0"/>
              <w:jc w:val="center"/>
              <w:rPr>
                <w:rFonts w:hint="default" w:eastAsia="Times New Roman"/>
                <w:sz w:val="15"/>
              </w:rPr>
            </w:pPr>
          </w:p>
          <w:p>
            <w:pPr>
              <w:autoSpaceDE w:val="0"/>
              <w:autoSpaceDN w:val="0"/>
              <w:adjustRightInd w:val="0"/>
              <w:jc w:val="center"/>
              <w:rPr>
                <w:rFonts w:hint="default" w:eastAsia="Times New Roman"/>
                <w:sz w:val="15"/>
              </w:rPr>
            </w:pPr>
          </w:p>
        </w:tc>
        <w:tc>
          <w:tcPr>
            <w:tcW w:w="4456" w:type="dxa"/>
            <w:gridSpan w:val="5"/>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32"/>
                <w:lang w:val="en-US" w:eastAsia="zh-CN"/>
              </w:rPr>
            </w:pPr>
            <w:r>
              <w:rPr>
                <w:rFonts w:hint="default" w:eastAsia="Times New Roman"/>
                <w:sz w:val="15"/>
                <w:lang w:val="en-US" w:eastAsia="zh-CN"/>
              </w:rPr>
              <w:t>完成情况良好，增加了样本量，数据更加的准确，调查101个小区。</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1" w:hRule="atLeast"/>
          <w:jc w:val="center"/>
        </w:trPr>
        <w:tc>
          <w:tcPr>
            <w:tcW w:w="1029" w:type="dxa"/>
            <w:vMerge w:val="restart"/>
            <w:tcBorders>
              <w:top w:val="single" w:color="auto" w:sz="6" w:space="0"/>
              <w:left w:val="single" w:color="auto" w:sz="6" w:space="0"/>
              <w:bottom w:val="nil"/>
              <w:right w:val="single" w:color="auto" w:sz="6" w:space="0"/>
              <w:tl2br w:val="nil"/>
              <w:tr2bl w:val="nil"/>
            </w:tcBorders>
            <w:vAlign w:val="center"/>
          </w:tcPr>
          <w:p>
            <w:pPr>
              <w:autoSpaceDE w:val="0"/>
              <w:autoSpaceDN w:val="0"/>
              <w:adjustRightInd w:val="0"/>
              <w:jc w:val="center"/>
              <w:rPr>
                <w:rFonts w:hint="default" w:eastAsia="Times New Roman"/>
                <w:sz w:val="32"/>
              </w:rPr>
            </w:pPr>
            <w:r>
              <w:rPr>
                <w:rFonts w:hint="eastAsia" w:ascii="宋体"/>
                <w:color w:val="000000"/>
                <w:kern w:val="0"/>
                <w:sz w:val="13"/>
              </w:rPr>
              <w:t>绩效指标</w:t>
            </w:r>
          </w:p>
        </w:tc>
        <w:tc>
          <w:tcPr>
            <w:tcW w:w="1029"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32"/>
              </w:rPr>
            </w:pPr>
            <w:r>
              <w:rPr>
                <w:rFonts w:hint="eastAsia" w:ascii="宋体"/>
                <w:color w:val="000000"/>
                <w:kern w:val="0"/>
                <w:sz w:val="13"/>
              </w:rPr>
              <w:t>一级指标</w:t>
            </w:r>
          </w:p>
        </w:tc>
        <w:tc>
          <w:tcPr>
            <w:tcW w:w="1168"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32"/>
              </w:rPr>
            </w:pPr>
            <w:r>
              <w:rPr>
                <w:rFonts w:hint="eastAsia" w:ascii="宋体"/>
                <w:color w:val="000000"/>
                <w:kern w:val="0"/>
                <w:sz w:val="13"/>
              </w:rPr>
              <w:t>二级指标</w:t>
            </w:r>
          </w:p>
        </w:tc>
        <w:tc>
          <w:tcPr>
            <w:tcW w:w="88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color w:val="000000"/>
                <w:kern w:val="0"/>
                <w:sz w:val="13"/>
              </w:rPr>
            </w:pPr>
            <w:r>
              <w:rPr>
                <w:rFonts w:hint="eastAsia" w:ascii="宋体"/>
                <w:color w:val="000000"/>
                <w:kern w:val="0"/>
                <w:sz w:val="13"/>
              </w:rPr>
              <w:t>三级指标</w:t>
            </w:r>
          </w:p>
        </w:tc>
        <w:tc>
          <w:tcPr>
            <w:tcW w:w="102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32"/>
              </w:rPr>
            </w:pPr>
            <w:r>
              <w:rPr>
                <w:rFonts w:hint="eastAsia" w:ascii="宋体"/>
                <w:color w:val="000000"/>
                <w:kern w:val="0"/>
                <w:sz w:val="13"/>
              </w:rPr>
              <w:t>分值</w:t>
            </w:r>
          </w:p>
        </w:tc>
        <w:tc>
          <w:tcPr>
            <w:tcW w:w="1029"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color w:val="000000"/>
                <w:kern w:val="0"/>
                <w:sz w:val="13"/>
              </w:rPr>
            </w:pPr>
            <w:r>
              <w:rPr>
                <w:rFonts w:hint="eastAsia" w:ascii="宋体"/>
                <w:color w:val="000000"/>
                <w:kern w:val="0"/>
                <w:sz w:val="13"/>
              </w:rPr>
              <w:t>预期指标值</w:t>
            </w:r>
          </w:p>
        </w:tc>
        <w:tc>
          <w:tcPr>
            <w:tcW w:w="102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color w:val="000000"/>
                <w:kern w:val="0"/>
                <w:sz w:val="13"/>
              </w:rPr>
            </w:pPr>
            <w:r>
              <w:rPr>
                <w:rFonts w:hint="eastAsia" w:ascii="宋体"/>
                <w:color w:val="000000"/>
                <w:kern w:val="0"/>
                <w:sz w:val="13"/>
              </w:rPr>
              <w:t>实际完成指标值</w:t>
            </w:r>
          </w:p>
        </w:tc>
        <w:tc>
          <w:tcPr>
            <w:tcW w:w="1028"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color w:val="000000"/>
                <w:kern w:val="0"/>
                <w:sz w:val="13"/>
              </w:rPr>
            </w:pPr>
            <w:r>
              <w:rPr>
                <w:rFonts w:hint="eastAsia" w:ascii="宋体"/>
                <w:color w:val="000000"/>
                <w:kern w:val="0"/>
                <w:sz w:val="13"/>
              </w:rPr>
              <w:t>得分</w:t>
            </w:r>
          </w:p>
        </w:tc>
        <w:tc>
          <w:tcPr>
            <w:tcW w:w="1370"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color w:val="000000"/>
                <w:kern w:val="0"/>
                <w:sz w:val="13"/>
              </w:rPr>
            </w:pPr>
            <w:r>
              <w:rPr>
                <w:rFonts w:hint="eastAsia" w:ascii="宋体"/>
                <w:color w:val="000000"/>
                <w:kern w:val="0"/>
                <w:sz w:val="13"/>
              </w:rPr>
              <w:t>未完成原因及拟采取的改进措施</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1" w:hRule="atLeast"/>
          <w:jc w:val="center"/>
        </w:trPr>
        <w:tc>
          <w:tcPr>
            <w:tcW w:w="1029" w:type="dxa"/>
            <w:vMerge w:val="continue"/>
            <w:tcBorders>
              <w:top w:val="nil"/>
              <w:left w:val="single" w:color="auto" w:sz="6" w:space="0"/>
              <w:bottom w:val="nil"/>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1029" w:type="dxa"/>
            <w:gridSpan w:val="2"/>
            <w:vMerge w:val="restart"/>
            <w:tcBorders>
              <w:top w:val="single" w:color="auto" w:sz="6" w:space="0"/>
              <w:left w:val="single" w:color="auto" w:sz="6" w:space="0"/>
              <w:bottom w:val="nil"/>
              <w:right w:val="single" w:color="auto" w:sz="6" w:space="0"/>
              <w:tl2br w:val="nil"/>
              <w:tr2bl w:val="nil"/>
            </w:tcBorders>
            <w:vAlign w:val="center"/>
          </w:tcPr>
          <w:p>
            <w:pPr>
              <w:autoSpaceDE w:val="0"/>
              <w:autoSpaceDN w:val="0"/>
              <w:adjustRightInd w:val="0"/>
              <w:jc w:val="center"/>
              <w:rPr>
                <w:rFonts w:hint="default" w:eastAsia="Times New Roman"/>
                <w:color w:val="000000"/>
                <w:kern w:val="0"/>
                <w:sz w:val="13"/>
              </w:rPr>
            </w:pPr>
            <w:r>
              <w:rPr>
                <w:rFonts w:hint="eastAsia" w:ascii="宋体"/>
                <w:color w:val="000000"/>
                <w:kern w:val="0"/>
                <w:sz w:val="13"/>
              </w:rPr>
              <w:t>产出指标</w:t>
            </w:r>
            <w:r>
              <w:rPr>
                <w:rFonts w:hint="default"/>
                <w:color w:val="000000"/>
                <w:kern w:val="0"/>
                <w:sz w:val="13"/>
              </w:rPr>
              <w:t xml:space="preserve"> </w:t>
            </w:r>
            <w:r>
              <w:rPr>
                <w:rFonts w:hint="eastAsia" w:ascii="宋体"/>
                <w:color w:val="000000"/>
                <w:kern w:val="0"/>
                <w:sz w:val="13"/>
              </w:rPr>
              <w:t>(50分)</w:t>
            </w:r>
          </w:p>
        </w:tc>
        <w:tc>
          <w:tcPr>
            <w:tcW w:w="1168" w:type="dxa"/>
            <w:gridSpan w:val="2"/>
            <w:vMerge w:val="restart"/>
            <w:tcBorders>
              <w:top w:val="single" w:color="auto" w:sz="6" w:space="0"/>
              <w:left w:val="single" w:color="auto" w:sz="6" w:space="0"/>
              <w:bottom w:val="nil"/>
              <w:right w:val="single" w:color="auto" w:sz="6" w:space="0"/>
              <w:tl2br w:val="nil"/>
              <w:tr2bl w:val="nil"/>
            </w:tcBorders>
            <w:vAlign w:val="center"/>
          </w:tcPr>
          <w:p>
            <w:pPr>
              <w:autoSpaceDE w:val="0"/>
              <w:autoSpaceDN w:val="0"/>
              <w:adjustRightInd w:val="0"/>
              <w:jc w:val="center"/>
              <w:rPr>
                <w:rFonts w:hint="default" w:eastAsia="Times New Roman"/>
                <w:sz w:val="32"/>
              </w:rPr>
            </w:pPr>
            <w:r>
              <w:rPr>
                <w:rFonts w:hint="eastAsia" w:ascii="宋体"/>
                <w:color w:val="000000"/>
                <w:kern w:val="0"/>
                <w:sz w:val="13"/>
              </w:rPr>
              <w:t>数量指标</w:t>
            </w:r>
          </w:p>
        </w:tc>
        <w:tc>
          <w:tcPr>
            <w:tcW w:w="889" w:type="dxa"/>
            <w:tcBorders>
              <w:top w:val="single" w:color="auto" w:sz="6" w:space="0"/>
              <w:left w:val="single" w:color="auto" w:sz="6" w:space="0"/>
              <w:bottom w:val="single" w:color="auto" w:sz="6" w:space="0"/>
              <w:right w:val="single" w:color="auto" w:sz="6" w:space="0"/>
              <w:tl2br w:val="nil"/>
              <w:tr2bl w:val="nil"/>
            </w:tcBorders>
            <w:vAlign w:val="top"/>
          </w:tcPr>
          <w:p>
            <w:pPr>
              <w:autoSpaceDE w:val="0"/>
              <w:autoSpaceDN w:val="0"/>
              <w:adjustRightInd w:val="0"/>
              <w:jc w:val="center"/>
              <w:rPr>
                <w:rFonts w:hint="default" w:eastAsia="Times New Roman"/>
                <w:sz w:val="15"/>
                <w:lang w:val="en-US" w:eastAsia="zh-CN"/>
              </w:rPr>
            </w:pPr>
            <w:r>
              <w:rPr>
                <w:rFonts w:hint="default" w:eastAsia="Times New Roman"/>
                <w:sz w:val="15"/>
                <w:lang w:val="en-US" w:eastAsia="zh-CN"/>
              </w:rPr>
              <w:t>调查小区数量</w:t>
            </w:r>
          </w:p>
        </w:tc>
        <w:tc>
          <w:tcPr>
            <w:tcW w:w="102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15"/>
                <w:lang w:val="en-US" w:eastAsia="zh-CN"/>
              </w:rPr>
            </w:pPr>
            <w:r>
              <w:rPr>
                <w:rFonts w:hint="eastAsia"/>
                <w:sz w:val="15"/>
                <w:lang w:val="en-US" w:eastAsia="zh-CN"/>
              </w:rPr>
              <w:t>10</w:t>
            </w:r>
          </w:p>
        </w:tc>
        <w:tc>
          <w:tcPr>
            <w:tcW w:w="1029"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15"/>
                <w:lang w:val="en-US" w:eastAsia="zh-CN"/>
              </w:rPr>
            </w:pPr>
            <w:r>
              <w:rPr>
                <w:rFonts w:hint="eastAsia"/>
                <w:sz w:val="15"/>
                <w:lang w:val="en-US" w:eastAsia="zh-CN"/>
              </w:rPr>
              <w:t>101</w:t>
            </w:r>
          </w:p>
        </w:tc>
        <w:tc>
          <w:tcPr>
            <w:tcW w:w="102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15"/>
                <w:lang w:val="en-US" w:eastAsia="zh-CN"/>
              </w:rPr>
            </w:pPr>
            <w:r>
              <w:rPr>
                <w:rFonts w:hint="eastAsia"/>
                <w:sz w:val="15"/>
                <w:lang w:val="en-US" w:eastAsia="zh-CN"/>
              </w:rPr>
              <w:t>101</w:t>
            </w:r>
          </w:p>
        </w:tc>
        <w:tc>
          <w:tcPr>
            <w:tcW w:w="1028"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15"/>
                <w:lang w:val="en-US" w:eastAsia="zh-CN"/>
              </w:rPr>
            </w:pPr>
            <w:r>
              <w:rPr>
                <w:rFonts w:hint="eastAsia"/>
                <w:sz w:val="15"/>
                <w:lang w:val="en-US" w:eastAsia="zh-CN"/>
              </w:rPr>
              <w:t>10</w:t>
            </w:r>
          </w:p>
        </w:tc>
        <w:tc>
          <w:tcPr>
            <w:tcW w:w="1370"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15"/>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29" w:hRule="atLeast"/>
          <w:jc w:val="center"/>
        </w:trPr>
        <w:tc>
          <w:tcPr>
            <w:tcW w:w="1029" w:type="dxa"/>
            <w:vMerge w:val="continue"/>
            <w:tcBorders>
              <w:top w:val="nil"/>
              <w:left w:val="single" w:color="auto" w:sz="6" w:space="0"/>
              <w:bottom w:val="nil"/>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1029" w:type="dxa"/>
            <w:gridSpan w:val="2"/>
            <w:vMerge w:val="continue"/>
            <w:tcBorders>
              <w:top w:val="nil"/>
              <w:left w:val="single" w:color="auto" w:sz="6" w:space="0"/>
              <w:bottom w:val="nil"/>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1168" w:type="dxa"/>
            <w:gridSpan w:val="2"/>
            <w:vMerge w:val="continue"/>
            <w:tcBorders>
              <w:top w:val="nil"/>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88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rPr>
                <w:rFonts w:hint="default" w:eastAsia="Times New Roman"/>
                <w:sz w:val="15"/>
                <w:lang w:val="en-US" w:eastAsia="zh-CN"/>
              </w:rPr>
            </w:pPr>
            <w:r>
              <w:rPr>
                <w:rFonts w:hint="default" w:eastAsia="Times New Roman"/>
                <w:sz w:val="15"/>
                <w:lang w:val="en-US" w:eastAsia="zh-CN"/>
              </w:rPr>
              <w:t>调查户数</w:t>
            </w:r>
          </w:p>
        </w:tc>
        <w:tc>
          <w:tcPr>
            <w:tcW w:w="102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15"/>
                <w:lang w:val="en-US" w:eastAsia="zh-CN"/>
              </w:rPr>
            </w:pPr>
            <w:r>
              <w:rPr>
                <w:rFonts w:hint="eastAsia"/>
                <w:sz w:val="15"/>
                <w:lang w:val="en-US" w:eastAsia="zh-CN"/>
              </w:rPr>
              <w:t>5</w:t>
            </w:r>
          </w:p>
        </w:tc>
        <w:tc>
          <w:tcPr>
            <w:tcW w:w="1029"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15"/>
                <w:lang w:val="en-US" w:eastAsia="zh-CN"/>
              </w:rPr>
            </w:pPr>
            <w:r>
              <w:rPr>
                <w:rFonts w:hint="eastAsia"/>
                <w:sz w:val="15"/>
                <w:lang w:val="en-US" w:eastAsia="zh-CN"/>
              </w:rPr>
              <w:t>4000</w:t>
            </w:r>
          </w:p>
        </w:tc>
        <w:tc>
          <w:tcPr>
            <w:tcW w:w="102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15"/>
                <w:lang w:val="en-US" w:eastAsia="zh-CN"/>
              </w:rPr>
            </w:pPr>
            <w:r>
              <w:rPr>
                <w:rFonts w:hint="eastAsia"/>
                <w:sz w:val="15"/>
                <w:lang w:val="en-US" w:eastAsia="zh-CN"/>
              </w:rPr>
              <w:t>4000</w:t>
            </w:r>
          </w:p>
        </w:tc>
        <w:tc>
          <w:tcPr>
            <w:tcW w:w="1028"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15"/>
                <w:lang w:val="en-US" w:eastAsia="zh-CN"/>
              </w:rPr>
            </w:pPr>
            <w:r>
              <w:rPr>
                <w:rFonts w:hint="eastAsia"/>
                <w:sz w:val="15"/>
                <w:lang w:val="en-US" w:eastAsia="zh-CN"/>
              </w:rPr>
              <w:t>5</w:t>
            </w:r>
          </w:p>
        </w:tc>
        <w:tc>
          <w:tcPr>
            <w:tcW w:w="1370"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15"/>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1029" w:type="dxa"/>
            <w:vMerge w:val="continue"/>
            <w:tcBorders>
              <w:top w:val="nil"/>
              <w:left w:val="single" w:color="auto" w:sz="6" w:space="0"/>
              <w:bottom w:val="nil"/>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1029" w:type="dxa"/>
            <w:gridSpan w:val="2"/>
            <w:vMerge w:val="continue"/>
            <w:tcBorders>
              <w:top w:val="nil"/>
              <w:left w:val="single" w:color="auto" w:sz="6" w:space="0"/>
              <w:bottom w:val="nil"/>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1168" w:type="dxa"/>
            <w:gridSpan w:val="2"/>
            <w:vMerge w:val="restart"/>
            <w:tcBorders>
              <w:top w:val="single" w:color="auto" w:sz="6" w:space="0"/>
              <w:left w:val="single" w:color="auto" w:sz="6" w:space="0"/>
              <w:bottom w:val="nil"/>
              <w:right w:val="single" w:color="auto" w:sz="6" w:space="0"/>
              <w:tl2br w:val="nil"/>
              <w:tr2bl w:val="nil"/>
            </w:tcBorders>
            <w:vAlign w:val="center"/>
          </w:tcPr>
          <w:p>
            <w:pPr>
              <w:autoSpaceDE w:val="0"/>
              <w:autoSpaceDN w:val="0"/>
              <w:adjustRightInd w:val="0"/>
              <w:jc w:val="center"/>
              <w:rPr>
                <w:rFonts w:hint="default" w:eastAsia="Times New Roman"/>
                <w:color w:val="000000"/>
                <w:kern w:val="0"/>
                <w:sz w:val="13"/>
              </w:rPr>
            </w:pPr>
            <w:r>
              <w:rPr>
                <w:rFonts w:hint="eastAsia" w:ascii="宋体"/>
                <w:color w:val="000000"/>
                <w:kern w:val="0"/>
                <w:sz w:val="13"/>
              </w:rPr>
              <w:t>质量指标</w:t>
            </w:r>
          </w:p>
        </w:tc>
        <w:tc>
          <w:tcPr>
            <w:tcW w:w="88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rPr>
                <w:rFonts w:hint="eastAsia"/>
                <w:sz w:val="15"/>
                <w:lang w:val="en-US" w:eastAsia="zh-CN"/>
              </w:rPr>
            </w:pPr>
            <w:r>
              <w:rPr>
                <w:rFonts w:hint="eastAsia"/>
                <w:sz w:val="15"/>
                <w:lang w:val="en-US" w:eastAsia="zh-CN"/>
              </w:rPr>
              <w:t>调查覆盖率</w:t>
            </w:r>
          </w:p>
        </w:tc>
        <w:tc>
          <w:tcPr>
            <w:tcW w:w="102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15"/>
                <w:lang w:val="en-US" w:eastAsia="zh-CN"/>
              </w:rPr>
            </w:pPr>
            <w:r>
              <w:rPr>
                <w:rFonts w:hint="eastAsia"/>
                <w:sz w:val="15"/>
                <w:lang w:val="en-US" w:eastAsia="zh-CN"/>
              </w:rPr>
              <w:t>5</w:t>
            </w:r>
          </w:p>
        </w:tc>
        <w:tc>
          <w:tcPr>
            <w:tcW w:w="1029"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15"/>
                <w:lang w:val="en-US" w:eastAsia="zh-CN"/>
              </w:rPr>
            </w:pPr>
            <w:r>
              <w:rPr>
                <w:rFonts w:hint="eastAsia" w:ascii="宋体"/>
                <w:color w:val="000000"/>
                <w:kern w:val="0"/>
                <w:sz w:val="13"/>
                <w:lang w:val="en-US" w:eastAsia="zh-CN"/>
              </w:rPr>
              <w:t>100%</w:t>
            </w:r>
          </w:p>
        </w:tc>
        <w:tc>
          <w:tcPr>
            <w:tcW w:w="102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15"/>
                <w:lang w:val="en-US" w:eastAsia="zh-CN"/>
              </w:rPr>
            </w:pPr>
            <w:r>
              <w:rPr>
                <w:rFonts w:hint="eastAsia"/>
                <w:sz w:val="15"/>
                <w:lang w:val="en-US" w:eastAsia="zh-CN"/>
              </w:rPr>
              <w:t>100%</w:t>
            </w:r>
          </w:p>
        </w:tc>
        <w:tc>
          <w:tcPr>
            <w:tcW w:w="1028"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15"/>
                <w:lang w:val="en-US" w:eastAsia="zh-CN"/>
              </w:rPr>
            </w:pPr>
            <w:r>
              <w:rPr>
                <w:rFonts w:hint="eastAsia"/>
                <w:sz w:val="15"/>
                <w:lang w:val="en-US" w:eastAsia="zh-CN"/>
              </w:rPr>
              <w:t>5</w:t>
            </w:r>
          </w:p>
        </w:tc>
        <w:tc>
          <w:tcPr>
            <w:tcW w:w="1370"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15"/>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79" w:hRule="atLeast"/>
          <w:jc w:val="center"/>
        </w:trPr>
        <w:tc>
          <w:tcPr>
            <w:tcW w:w="1029" w:type="dxa"/>
            <w:vMerge w:val="continue"/>
            <w:tcBorders>
              <w:top w:val="nil"/>
              <w:left w:val="single" w:color="auto" w:sz="6" w:space="0"/>
              <w:bottom w:val="nil"/>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1029" w:type="dxa"/>
            <w:gridSpan w:val="2"/>
            <w:vMerge w:val="continue"/>
            <w:tcBorders>
              <w:top w:val="nil"/>
              <w:left w:val="single" w:color="auto" w:sz="6" w:space="0"/>
              <w:bottom w:val="nil"/>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1168" w:type="dxa"/>
            <w:gridSpan w:val="2"/>
            <w:vMerge w:val="continue"/>
            <w:tcBorders>
              <w:top w:val="nil"/>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88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eastAsia"/>
                <w:sz w:val="15"/>
                <w:lang w:val="en-US" w:eastAsia="zh-CN"/>
              </w:rPr>
            </w:pPr>
            <w:r>
              <w:rPr>
                <w:rFonts w:hint="eastAsia"/>
                <w:sz w:val="15"/>
                <w:lang w:val="en-US" w:eastAsia="zh-CN"/>
              </w:rPr>
              <w:t>计划调查完成率</w:t>
            </w:r>
          </w:p>
        </w:tc>
        <w:tc>
          <w:tcPr>
            <w:tcW w:w="102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15"/>
                <w:lang w:val="en-US" w:eastAsia="zh-CN"/>
              </w:rPr>
            </w:pPr>
            <w:r>
              <w:rPr>
                <w:rFonts w:hint="eastAsia"/>
                <w:sz w:val="15"/>
                <w:lang w:val="en-US" w:eastAsia="zh-CN"/>
              </w:rPr>
              <w:t>10</w:t>
            </w:r>
          </w:p>
        </w:tc>
        <w:tc>
          <w:tcPr>
            <w:tcW w:w="1029"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15"/>
              </w:rPr>
            </w:pPr>
            <w:r>
              <w:rPr>
                <w:rFonts w:hint="eastAsia" w:ascii="宋体"/>
                <w:color w:val="000000"/>
                <w:kern w:val="0"/>
                <w:sz w:val="13"/>
                <w:lang w:val="en-US" w:eastAsia="zh-CN"/>
              </w:rPr>
              <w:t>100%</w:t>
            </w:r>
          </w:p>
        </w:tc>
        <w:tc>
          <w:tcPr>
            <w:tcW w:w="102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15"/>
              </w:rPr>
            </w:pPr>
            <w:r>
              <w:rPr>
                <w:rFonts w:hint="eastAsia" w:ascii="宋体"/>
                <w:color w:val="000000"/>
                <w:kern w:val="0"/>
                <w:sz w:val="13"/>
                <w:lang w:val="en-US" w:eastAsia="zh-CN"/>
              </w:rPr>
              <w:t>100%</w:t>
            </w:r>
          </w:p>
        </w:tc>
        <w:tc>
          <w:tcPr>
            <w:tcW w:w="1028"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15"/>
                <w:lang w:val="en-US" w:eastAsia="zh-CN"/>
              </w:rPr>
            </w:pPr>
            <w:r>
              <w:rPr>
                <w:rFonts w:hint="eastAsia"/>
                <w:sz w:val="15"/>
                <w:lang w:val="en-US" w:eastAsia="zh-CN"/>
              </w:rPr>
              <w:t>10</w:t>
            </w:r>
          </w:p>
        </w:tc>
        <w:tc>
          <w:tcPr>
            <w:tcW w:w="1370"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15"/>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1029" w:type="dxa"/>
            <w:vMerge w:val="continue"/>
            <w:tcBorders>
              <w:top w:val="nil"/>
              <w:left w:val="single" w:color="auto" w:sz="6" w:space="0"/>
              <w:bottom w:val="nil"/>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1029" w:type="dxa"/>
            <w:gridSpan w:val="2"/>
            <w:vMerge w:val="continue"/>
            <w:tcBorders>
              <w:top w:val="nil"/>
              <w:left w:val="single" w:color="auto" w:sz="6" w:space="0"/>
              <w:bottom w:val="nil"/>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1168" w:type="dxa"/>
            <w:gridSpan w:val="2"/>
            <w:vMerge w:val="restart"/>
            <w:tcBorders>
              <w:top w:val="single" w:color="auto" w:sz="6" w:space="0"/>
              <w:left w:val="single" w:color="auto" w:sz="6" w:space="0"/>
              <w:bottom w:val="nil"/>
              <w:right w:val="single" w:color="auto" w:sz="6" w:space="0"/>
              <w:tl2br w:val="nil"/>
              <w:tr2bl w:val="nil"/>
            </w:tcBorders>
            <w:vAlign w:val="center"/>
          </w:tcPr>
          <w:p>
            <w:pPr>
              <w:autoSpaceDE w:val="0"/>
              <w:autoSpaceDN w:val="0"/>
              <w:adjustRightInd w:val="0"/>
              <w:jc w:val="center"/>
              <w:rPr>
                <w:rFonts w:hint="default" w:eastAsia="Times New Roman"/>
                <w:color w:val="000000"/>
                <w:kern w:val="0"/>
                <w:sz w:val="13"/>
              </w:rPr>
            </w:pPr>
            <w:r>
              <w:rPr>
                <w:rFonts w:hint="eastAsia" w:ascii="宋体"/>
                <w:color w:val="000000"/>
                <w:kern w:val="0"/>
                <w:sz w:val="13"/>
              </w:rPr>
              <w:t>时效指标</w:t>
            </w:r>
          </w:p>
        </w:tc>
        <w:tc>
          <w:tcPr>
            <w:tcW w:w="88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15"/>
                <w:lang w:val="en-US" w:eastAsia="zh-CN"/>
              </w:rPr>
            </w:pPr>
            <w:r>
              <w:rPr>
                <w:rFonts w:hint="eastAsia"/>
                <w:sz w:val="15"/>
                <w:lang w:val="en-US" w:eastAsia="zh-CN"/>
              </w:rPr>
              <w:t>批计划调查完成时间</w:t>
            </w:r>
          </w:p>
        </w:tc>
        <w:tc>
          <w:tcPr>
            <w:tcW w:w="102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15"/>
                <w:lang w:val="en-US" w:eastAsia="zh-CN"/>
              </w:rPr>
            </w:pPr>
            <w:r>
              <w:rPr>
                <w:rFonts w:hint="eastAsia"/>
                <w:sz w:val="15"/>
                <w:lang w:val="en-US" w:eastAsia="zh-CN"/>
              </w:rPr>
              <w:t>5</w:t>
            </w:r>
          </w:p>
        </w:tc>
        <w:tc>
          <w:tcPr>
            <w:tcW w:w="1029"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15"/>
                <w:lang w:val="en-US" w:eastAsia="zh-CN"/>
              </w:rPr>
            </w:pPr>
            <w:r>
              <w:rPr>
                <w:rFonts w:hint="eastAsia"/>
                <w:sz w:val="15"/>
                <w:lang w:val="en-US" w:eastAsia="zh-CN"/>
              </w:rPr>
              <w:t>截止日之前</w:t>
            </w:r>
          </w:p>
        </w:tc>
        <w:tc>
          <w:tcPr>
            <w:tcW w:w="102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15"/>
                <w:lang w:val="en-US" w:eastAsia="zh-CN"/>
              </w:rPr>
            </w:pPr>
            <w:r>
              <w:rPr>
                <w:rFonts w:hint="eastAsia"/>
                <w:sz w:val="15"/>
                <w:lang w:val="en-US" w:eastAsia="zh-CN"/>
              </w:rPr>
              <w:t>截止日之前</w:t>
            </w:r>
          </w:p>
        </w:tc>
        <w:tc>
          <w:tcPr>
            <w:tcW w:w="1028"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15"/>
                <w:lang w:val="en-US" w:eastAsia="zh-CN"/>
              </w:rPr>
            </w:pPr>
            <w:r>
              <w:rPr>
                <w:rFonts w:hint="eastAsia"/>
                <w:sz w:val="15"/>
                <w:lang w:val="en-US" w:eastAsia="zh-CN"/>
              </w:rPr>
              <w:t>5</w:t>
            </w:r>
          </w:p>
        </w:tc>
        <w:tc>
          <w:tcPr>
            <w:tcW w:w="1370"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15"/>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1" w:hRule="atLeast"/>
          <w:jc w:val="center"/>
        </w:trPr>
        <w:tc>
          <w:tcPr>
            <w:tcW w:w="1029" w:type="dxa"/>
            <w:vMerge w:val="continue"/>
            <w:tcBorders>
              <w:top w:val="nil"/>
              <w:left w:val="single" w:color="auto" w:sz="6" w:space="0"/>
              <w:bottom w:val="nil"/>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1029" w:type="dxa"/>
            <w:gridSpan w:val="2"/>
            <w:vMerge w:val="continue"/>
            <w:tcBorders>
              <w:top w:val="nil"/>
              <w:left w:val="single" w:color="auto" w:sz="6" w:space="0"/>
              <w:bottom w:val="nil"/>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1168" w:type="dxa"/>
            <w:gridSpan w:val="2"/>
            <w:vMerge w:val="continue"/>
            <w:tcBorders>
              <w:top w:val="nil"/>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88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eastAsia"/>
                <w:sz w:val="32"/>
                <w:lang w:val="en-US" w:eastAsia="zh-CN"/>
              </w:rPr>
            </w:pPr>
            <w:r>
              <w:rPr>
                <w:rFonts w:hint="eastAsia"/>
                <w:sz w:val="18"/>
                <w:lang w:val="en-US" w:eastAsia="zh-CN"/>
              </w:rPr>
              <w:t>核实人员变化情况及时率</w:t>
            </w:r>
          </w:p>
        </w:tc>
        <w:tc>
          <w:tcPr>
            <w:tcW w:w="102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eastAsia"/>
                <w:sz w:val="32"/>
                <w:lang w:val="en-US" w:eastAsia="zh-CN"/>
              </w:rPr>
            </w:pPr>
            <w:r>
              <w:rPr>
                <w:rFonts w:hint="eastAsia"/>
                <w:sz w:val="32"/>
                <w:lang w:val="en-US" w:eastAsia="zh-CN"/>
              </w:rPr>
              <w:t>5</w:t>
            </w:r>
          </w:p>
        </w:tc>
        <w:tc>
          <w:tcPr>
            <w:tcW w:w="1029"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eastAsia"/>
                <w:sz w:val="15"/>
                <w:lang w:val="en-US" w:eastAsia="zh-CN"/>
              </w:rPr>
            </w:pPr>
            <w:r>
              <w:rPr>
                <w:rFonts w:hint="eastAsia"/>
                <w:sz w:val="15"/>
                <w:lang w:val="en-US" w:eastAsia="zh-CN"/>
              </w:rPr>
              <w:t>100%</w:t>
            </w:r>
          </w:p>
        </w:tc>
        <w:tc>
          <w:tcPr>
            <w:tcW w:w="102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eastAsia"/>
                <w:sz w:val="15"/>
                <w:lang w:val="en-US" w:eastAsia="zh-CN"/>
              </w:rPr>
            </w:pPr>
            <w:r>
              <w:rPr>
                <w:rFonts w:hint="eastAsia"/>
                <w:sz w:val="15"/>
                <w:lang w:val="en-US" w:eastAsia="zh-CN"/>
              </w:rPr>
              <w:t>100%</w:t>
            </w:r>
          </w:p>
        </w:tc>
        <w:tc>
          <w:tcPr>
            <w:tcW w:w="1028"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eastAsia"/>
                <w:sz w:val="15"/>
                <w:lang w:val="en-US" w:eastAsia="zh-CN"/>
              </w:rPr>
            </w:pPr>
            <w:r>
              <w:rPr>
                <w:rFonts w:hint="eastAsia"/>
                <w:sz w:val="15"/>
                <w:lang w:val="en-US" w:eastAsia="zh-CN"/>
              </w:rPr>
              <w:t>5</w:t>
            </w:r>
          </w:p>
        </w:tc>
        <w:tc>
          <w:tcPr>
            <w:tcW w:w="1370"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15"/>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1" w:hRule="atLeast"/>
          <w:jc w:val="center"/>
        </w:trPr>
        <w:tc>
          <w:tcPr>
            <w:tcW w:w="1029" w:type="dxa"/>
            <w:vMerge w:val="continue"/>
            <w:tcBorders>
              <w:top w:val="nil"/>
              <w:left w:val="single" w:color="auto" w:sz="6" w:space="0"/>
              <w:bottom w:val="nil"/>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1029" w:type="dxa"/>
            <w:gridSpan w:val="2"/>
            <w:vMerge w:val="continue"/>
            <w:tcBorders>
              <w:top w:val="nil"/>
              <w:left w:val="single" w:color="auto" w:sz="6" w:space="0"/>
              <w:bottom w:val="nil"/>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1168" w:type="dxa"/>
            <w:gridSpan w:val="2"/>
            <w:vMerge w:val="restart"/>
            <w:tcBorders>
              <w:top w:val="single" w:color="auto" w:sz="6" w:space="0"/>
              <w:left w:val="single" w:color="auto" w:sz="6" w:space="0"/>
              <w:bottom w:val="nil"/>
              <w:right w:val="single" w:color="auto" w:sz="6" w:space="0"/>
              <w:tl2br w:val="nil"/>
              <w:tr2bl w:val="nil"/>
            </w:tcBorders>
            <w:vAlign w:val="center"/>
          </w:tcPr>
          <w:p>
            <w:pPr>
              <w:autoSpaceDE w:val="0"/>
              <w:autoSpaceDN w:val="0"/>
              <w:adjustRightInd w:val="0"/>
              <w:jc w:val="center"/>
              <w:rPr>
                <w:rFonts w:hint="default" w:eastAsia="Times New Roman"/>
                <w:color w:val="000000"/>
                <w:kern w:val="0"/>
                <w:sz w:val="13"/>
              </w:rPr>
            </w:pPr>
            <w:r>
              <w:rPr>
                <w:rFonts w:hint="eastAsia" w:ascii="宋体"/>
                <w:color w:val="000000"/>
                <w:kern w:val="0"/>
                <w:sz w:val="13"/>
              </w:rPr>
              <w:t>成本指标</w:t>
            </w:r>
          </w:p>
        </w:tc>
        <w:tc>
          <w:tcPr>
            <w:tcW w:w="88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eastAsia"/>
                <w:sz w:val="32"/>
                <w:lang w:val="en-US" w:eastAsia="zh-CN"/>
              </w:rPr>
            </w:pPr>
            <w:r>
              <w:rPr>
                <w:rFonts w:hint="eastAsia"/>
                <w:sz w:val="16"/>
                <w:lang w:val="en-US" w:eastAsia="zh-CN"/>
              </w:rPr>
              <w:t>开展统计调查全年业务经费</w:t>
            </w:r>
          </w:p>
        </w:tc>
        <w:tc>
          <w:tcPr>
            <w:tcW w:w="102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eastAsia"/>
                <w:sz w:val="32"/>
                <w:lang w:val="en-US" w:eastAsia="zh-CN"/>
              </w:rPr>
            </w:pPr>
            <w:r>
              <w:rPr>
                <w:rFonts w:hint="eastAsia"/>
                <w:sz w:val="32"/>
                <w:lang w:val="en-US" w:eastAsia="zh-CN"/>
              </w:rPr>
              <w:t>5</w:t>
            </w:r>
          </w:p>
        </w:tc>
        <w:tc>
          <w:tcPr>
            <w:tcW w:w="1029"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eastAsia"/>
                <w:sz w:val="15"/>
                <w:lang w:val="en-US" w:eastAsia="zh-CN"/>
              </w:rPr>
            </w:pPr>
            <w:r>
              <w:rPr>
                <w:rFonts w:hint="eastAsia"/>
                <w:sz w:val="15"/>
                <w:lang w:val="en-US" w:eastAsia="zh-CN"/>
              </w:rPr>
              <w:t>&lt;2万元</w:t>
            </w:r>
          </w:p>
        </w:tc>
        <w:tc>
          <w:tcPr>
            <w:tcW w:w="102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rPr>
                <w:rFonts w:hint="eastAsia"/>
                <w:sz w:val="15"/>
                <w:lang w:eastAsia="zh-CN"/>
              </w:rPr>
            </w:pPr>
            <w:r>
              <w:rPr>
                <w:rFonts w:hint="eastAsia"/>
                <w:sz w:val="15"/>
                <w:lang w:val="en-US" w:eastAsia="zh-CN"/>
              </w:rPr>
              <w:t>&lt;2万元</w:t>
            </w:r>
          </w:p>
        </w:tc>
        <w:tc>
          <w:tcPr>
            <w:tcW w:w="1028"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eastAsia"/>
                <w:sz w:val="15"/>
                <w:lang w:val="en-US" w:eastAsia="zh-CN"/>
              </w:rPr>
            </w:pPr>
            <w:r>
              <w:rPr>
                <w:rFonts w:hint="eastAsia"/>
                <w:sz w:val="15"/>
                <w:lang w:val="en-US" w:eastAsia="zh-CN"/>
              </w:rPr>
              <w:t>5</w:t>
            </w:r>
          </w:p>
        </w:tc>
        <w:tc>
          <w:tcPr>
            <w:tcW w:w="1370"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15"/>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1" w:hRule="atLeast"/>
          <w:jc w:val="center"/>
        </w:trPr>
        <w:tc>
          <w:tcPr>
            <w:tcW w:w="1029" w:type="dxa"/>
            <w:vMerge w:val="continue"/>
            <w:tcBorders>
              <w:top w:val="nil"/>
              <w:left w:val="single" w:color="auto" w:sz="6" w:space="0"/>
              <w:bottom w:val="nil"/>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1029" w:type="dxa"/>
            <w:gridSpan w:val="2"/>
            <w:vMerge w:val="continue"/>
            <w:tcBorders>
              <w:top w:val="nil"/>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1168" w:type="dxa"/>
            <w:gridSpan w:val="2"/>
            <w:vMerge w:val="continue"/>
            <w:tcBorders>
              <w:top w:val="nil"/>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88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eastAsia"/>
                <w:sz w:val="32"/>
                <w:lang w:val="en-US" w:eastAsia="zh-CN"/>
              </w:rPr>
            </w:pPr>
            <w:r>
              <w:rPr>
                <w:rFonts w:hint="eastAsia"/>
                <w:sz w:val="21"/>
                <w:lang w:val="en-US" w:eastAsia="zh-CN"/>
              </w:rPr>
              <w:t>人口抽样培训费</w:t>
            </w:r>
          </w:p>
        </w:tc>
        <w:tc>
          <w:tcPr>
            <w:tcW w:w="102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eastAsia"/>
                <w:sz w:val="32"/>
                <w:lang w:val="en-US" w:eastAsia="zh-CN"/>
              </w:rPr>
            </w:pPr>
            <w:r>
              <w:rPr>
                <w:rFonts w:hint="eastAsia"/>
                <w:sz w:val="32"/>
                <w:lang w:val="en-US" w:eastAsia="zh-CN"/>
              </w:rPr>
              <w:t>5</w:t>
            </w:r>
          </w:p>
        </w:tc>
        <w:tc>
          <w:tcPr>
            <w:tcW w:w="1029"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eastAsia"/>
                <w:sz w:val="15"/>
                <w:lang w:val="en-US" w:eastAsia="zh-CN"/>
              </w:rPr>
            </w:pPr>
            <w:r>
              <w:rPr>
                <w:rFonts w:hint="eastAsia"/>
                <w:sz w:val="15"/>
                <w:lang w:val="en-US" w:eastAsia="zh-CN"/>
              </w:rPr>
              <w:t>&lt;01万元</w:t>
            </w:r>
          </w:p>
        </w:tc>
        <w:tc>
          <w:tcPr>
            <w:tcW w:w="102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eastAsia"/>
                <w:sz w:val="15"/>
                <w:lang w:val="en-US" w:eastAsia="zh-CN"/>
              </w:rPr>
            </w:pPr>
            <w:r>
              <w:rPr>
                <w:rFonts w:hint="eastAsia"/>
                <w:sz w:val="15"/>
                <w:lang w:val="en-US" w:eastAsia="zh-CN"/>
              </w:rPr>
              <w:t>&lt;0.1万元</w:t>
            </w:r>
          </w:p>
        </w:tc>
        <w:tc>
          <w:tcPr>
            <w:tcW w:w="1028"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eastAsia"/>
                <w:sz w:val="15"/>
                <w:lang w:val="en-US" w:eastAsia="zh-CN"/>
              </w:rPr>
            </w:pPr>
            <w:r>
              <w:rPr>
                <w:rFonts w:hint="eastAsia"/>
                <w:sz w:val="15"/>
                <w:lang w:val="en-US" w:eastAsia="zh-CN"/>
              </w:rPr>
              <w:t>5</w:t>
            </w:r>
          </w:p>
        </w:tc>
        <w:tc>
          <w:tcPr>
            <w:tcW w:w="1370"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15"/>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29" w:hRule="atLeast"/>
          <w:jc w:val="center"/>
        </w:trPr>
        <w:tc>
          <w:tcPr>
            <w:tcW w:w="1029" w:type="dxa"/>
            <w:vMerge w:val="continue"/>
            <w:tcBorders>
              <w:top w:val="nil"/>
              <w:left w:val="single" w:color="auto" w:sz="6" w:space="0"/>
              <w:bottom w:val="nil"/>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1029" w:type="dxa"/>
            <w:gridSpan w:val="2"/>
            <w:vMerge w:val="restart"/>
            <w:tcBorders>
              <w:top w:val="single" w:color="auto" w:sz="6" w:space="0"/>
              <w:left w:val="single" w:color="auto" w:sz="6" w:space="0"/>
              <w:bottom w:val="nil"/>
              <w:right w:val="single" w:color="auto" w:sz="6" w:space="0"/>
              <w:tl2br w:val="nil"/>
              <w:tr2bl w:val="nil"/>
            </w:tcBorders>
            <w:vAlign w:val="center"/>
          </w:tcPr>
          <w:p>
            <w:pPr>
              <w:autoSpaceDE w:val="0"/>
              <w:autoSpaceDN w:val="0"/>
              <w:adjustRightInd w:val="0"/>
              <w:jc w:val="center"/>
              <w:rPr>
                <w:rFonts w:hint="default" w:eastAsia="Times New Roman"/>
                <w:color w:val="000000"/>
                <w:kern w:val="0"/>
                <w:sz w:val="13"/>
              </w:rPr>
            </w:pPr>
            <w:r>
              <w:rPr>
                <w:rFonts w:hint="eastAsia" w:ascii="宋体"/>
                <w:color w:val="000000"/>
                <w:kern w:val="0"/>
                <w:sz w:val="13"/>
                <w:lang w:val="en-US" w:eastAsia="zh-CN"/>
              </w:rPr>
              <w:t>4</w:t>
            </w:r>
            <w:r>
              <w:rPr>
                <w:rFonts w:hint="eastAsia" w:ascii="宋体"/>
                <w:color w:val="000000"/>
                <w:kern w:val="0"/>
                <w:sz w:val="13"/>
              </w:rPr>
              <w:t>0分)</w:t>
            </w:r>
            <w:r>
              <w:rPr>
                <w:rFonts w:hint="default"/>
                <w:color w:val="000000"/>
                <w:kern w:val="0"/>
                <w:sz w:val="13"/>
              </w:rPr>
              <w:t xml:space="preserve"> </w:t>
            </w:r>
            <w:r>
              <w:rPr>
                <w:rFonts w:hint="eastAsia" w:ascii="宋体"/>
                <w:color w:val="000000"/>
                <w:kern w:val="0"/>
                <w:sz w:val="13"/>
              </w:rPr>
              <w:t>效益指标</w:t>
            </w:r>
          </w:p>
        </w:tc>
        <w:tc>
          <w:tcPr>
            <w:tcW w:w="1168"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eastAsia"/>
                <w:color w:val="000000"/>
                <w:kern w:val="0"/>
                <w:sz w:val="13"/>
                <w:lang w:val="en-US" w:eastAsia="zh-CN"/>
              </w:rPr>
            </w:pPr>
            <w:r>
              <w:rPr>
                <w:rFonts w:hint="eastAsia"/>
                <w:color w:val="000000"/>
                <w:kern w:val="0"/>
                <w:sz w:val="13"/>
                <w:lang w:val="en-US" w:eastAsia="zh-CN"/>
              </w:rPr>
              <w:t>可持续影响指标</w:t>
            </w:r>
          </w:p>
        </w:tc>
        <w:tc>
          <w:tcPr>
            <w:tcW w:w="88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15"/>
                <w:lang w:val="en-US" w:eastAsia="zh-CN"/>
              </w:rPr>
            </w:pPr>
            <w:r>
              <w:rPr>
                <w:rFonts w:hint="eastAsia"/>
                <w:sz w:val="15"/>
                <w:lang w:val="en-US" w:eastAsia="zh-CN"/>
              </w:rPr>
              <w:t>对数据进行持续更新，保证数据时效性</w:t>
            </w:r>
          </w:p>
        </w:tc>
        <w:tc>
          <w:tcPr>
            <w:tcW w:w="102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32"/>
                <w:lang w:val="en-US" w:eastAsia="zh-CN"/>
              </w:rPr>
            </w:pPr>
            <w:r>
              <w:rPr>
                <w:rFonts w:hint="eastAsia"/>
                <w:sz w:val="15"/>
                <w:lang w:val="en-US" w:eastAsia="zh-CN"/>
              </w:rPr>
              <w:t>15</w:t>
            </w:r>
          </w:p>
        </w:tc>
        <w:tc>
          <w:tcPr>
            <w:tcW w:w="1029"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eastAsia"/>
                <w:sz w:val="15"/>
                <w:lang w:val="en-US" w:eastAsia="zh-CN"/>
              </w:rPr>
            </w:pPr>
            <w:r>
              <w:rPr>
                <w:rFonts w:hint="eastAsia"/>
                <w:sz w:val="15"/>
                <w:lang w:val="en-US" w:eastAsia="zh-CN"/>
              </w:rPr>
              <w:t>优良中低差</w:t>
            </w:r>
          </w:p>
        </w:tc>
        <w:tc>
          <w:tcPr>
            <w:tcW w:w="102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eastAsia"/>
                <w:sz w:val="15"/>
                <w:lang w:eastAsia="zh-CN"/>
              </w:rPr>
            </w:pPr>
            <w:r>
              <w:rPr>
                <w:rFonts w:hint="eastAsia"/>
                <w:sz w:val="15"/>
                <w:lang w:val="en-US" w:eastAsia="zh-CN"/>
              </w:rPr>
              <w:t>优</w:t>
            </w:r>
          </w:p>
        </w:tc>
        <w:tc>
          <w:tcPr>
            <w:tcW w:w="1028"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15"/>
                <w:lang w:val="en-US" w:eastAsia="zh-CN"/>
              </w:rPr>
            </w:pPr>
            <w:r>
              <w:rPr>
                <w:rFonts w:hint="eastAsia"/>
                <w:sz w:val="15"/>
                <w:lang w:val="en-US" w:eastAsia="zh-CN"/>
              </w:rPr>
              <w:t>15</w:t>
            </w:r>
          </w:p>
        </w:tc>
        <w:tc>
          <w:tcPr>
            <w:tcW w:w="1370"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15"/>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28" w:hRule="atLeast"/>
          <w:jc w:val="center"/>
        </w:trPr>
        <w:tc>
          <w:tcPr>
            <w:tcW w:w="1029" w:type="dxa"/>
            <w:vMerge w:val="continue"/>
            <w:tcBorders>
              <w:top w:val="nil"/>
              <w:left w:val="single" w:color="auto" w:sz="6" w:space="0"/>
              <w:bottom w:val="nil"/>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1029" w:type="dxa"/>
            <w:gridSpan w:val="2"/>
            <w:vMerge w:val="continue"/>
            <w:tcBorders>
              <w:top w:val="nil"/>
              <w:left w:val="single" w:color="auto" w:sz="6" w:space="0"/>
              <w:bottom w:val="nil"/>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1168"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color w:val="000000"/>
                <w:kern w:val="0"/>
                <w:sz w:val="13"/>
              </w:rPr>
            </w:pPr>
            <w:r>
              <w:rPr>
                <w:rFonts w:hint="eastAsia" w:ascii="宋体"/>
                <w:color w:val="000000"/>
                <w:kern w:val="0"/>
                <w:sz w:val="13"/>
              </w:rPr>
              <w:t>社会效益指标</w:t>
            </w:r>
          </w:p>
        </w:tc>
        <w:tc>
          <w:tcPr>
            <w:tcW w:w="88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15"/>
                <w:lang w:val="en-US" w:eastAsia="zh-CN"/>
              </w:rPr>
            </w:pPr>
            <w:r>
              <w:rPr>
                <w:rFonts w:hint="eastAsia"/>
                <w:sz w:val="15"/>
                <w:lang w:val="en-US" w:eastAsia="zh-CN"/>
              </w:rPr>
              <w:t>通过调查，为县域经济发展提供数据支撑</w:t>
            </w:r>
          </w:p>
        </w:tc>
        <w:tc>
          <w:tcPr>
            <w:tcW w:w="102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32"/>
                <w:lang w:val="en-US" w:eastAsia="zh-CN"/>
              </w:rPr>
            </w:pPr>
            <w:r>
              <w:rPr>
                <w:rFonts w:hint="eastAsia"/>
                <w:sz w:val="32"/>
                <w:lang w:val="en-US" w:eastAsia="zh-CN"/>
              </w:rPr>
              <w:t>15</w:t>
            </w:r>
          </w:p>
        </w:tc>
        <w:tc>
          <w:tcPr>
            <w:tcW w:w="1029"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15"/>
                <w:lang w:val="en-US" w:eastAsia="zh-CN"/>
              </w:rPr>
            </w:pPr>
            <w:r>
              <w:rPr>
                <w:rFonts w:hint="eastAsia"/>
                <w:sz w:val="15"/>
                <w:lang w:val="en-US" w:eastAsia="zh-CN"/>
              </w:rPr>
              <w:t>优良中低差</w:t>
            </w:r>
          </w:p>
        </w:tc>
        <w:tc>
          <w:tcPr>
            <w:tcW w:w="102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eastAsia"/>
                <w:sz w:val="15"/>
                <w:lang w:val="en-US" w:eastAsia="zh-CN"/>
              </w:rPr>
            </w:pPr>
            <w:r>
              <w:rPr>
                <w:rFonts w:hint="eastAsia"/>
                <w:sz w:val="15"/>
                <w:lang w:val="en-US" w:eastAsia="zh-CN"/>
              </w:rPr>
              <w:t>优</w:t>
            </w:r>
          </w:p>
        </w:tc>
        <w:tc>
          <w:tcPr>
            <w:tcW w:w="1028"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15"/>
                <w:lang w:val="en-US" w:eastAsia="zh-CN"/>
              </w:rPr>
            </w:pPr>
            <w:r>
              <w:rPr>
                <w:rFonts w:hint="eastAsia"/>
                <w:sz w:val="15"/>
                <w:lang w:val="en-US" w:eastAsia="zh-CN"/>
              </w:rPr>
              <w:t>15</w:t>
            </w:r>
          </w:p>
        </w:tc>
        <w:tc>
          <w:tcPr>
            <w:tcW w:w="1370"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15"/>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1" w:hRule="atLeast"/>
          <w:jc w:val="center"/>
        </w:trPr>
        <w:tc>
          <w:tcPr>
            <w:tcW w:w="1029" w:type="dxa"/>
            <w:vMerge w:val="continue"/>
            <w:tcBorders>
              <w:top w:val="nil"/>
              <w:left w:val="single" w:color="auto" w:sz="6" w:space="0"/>
              <w:bottom w:val="nil"/>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1029" w:type="dxa"/>
            <w:gridSpan w:val="2"/>
            <w:vMerge w:val="continue"/>
            <w:tcBorders>
              <w:top w:val="nil"/>
              <w:left w:val="single" w:color="auto" w:sz="6" w:space="0"/>
              <w:bottom w:val="nil"/>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1168"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color w:val="000000"/>
                <w:kern w:val="0"/>
                <w:sz w:val="13"/>
              </w:rPr>
            </w:pPr>
            <w:r>
              <w:rPr>
                <w:rFonts w:hint="eastAsia" w:ascii="宋体"/>
                <w:color w:val="000000"/>
                <w:kern w:val="0"/>
                <w:sz w:val="13"/>
              </w:rPr>
              <w:t>生态效益指标</w:t>
            </w:r>
          </w:p>
        </w:tc>
        <w:tc>
          <w:tcPr>
            <w:tcW w:w="88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102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1029"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15"/>
              </w:rPr>
            </w:pPr>
          </w:p>
        </w:tc>
        <w:tc>
          <w:tcPr>
            <w:tcW w:w="102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15"/>
              </w:rPr>
            </w:pPr>
          </w:p>
        </w:tc>
        <w:tc>
          <w:tcPr>
            <w:tcW w:w="1028"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15"/>
              </w:rPr>
            </w:pPr>
          </w:p>
        </w:tc>
        <w:tc>
          <w:tcPr>
            <w:tcW w:w="1370"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15"/>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79" w:hRule="atLeast"/>
          <w:jc w:val="center"/>
        </w:trPr>
        <w:tc>
          <w:tcPr>
            <w:tcW w:w="1029" w:type="dxa"/>
            <w:vMerge w:val="continue"/>
            <w:tcBorders>
              <w:top w:val="nil"/>
              <w:left w:val="single" w:color="auto" w:sz="6" w:space="0"/>
              <w:bottom w:val="nil"/>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1029" w:type="dxa"/>
            <w:gridSpan w:val="2"/>
            <w:vMerge w:val="continue"/>
            <w:tcBorders>
              <w:top w:val="nil"/>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1168"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rPr>
                <w:rFonts w:hint="eastAsia"/>
                <w:color w:val="000000"/>
                <w:kern w:val="0"/>
                <w:sz w:val="13"/>
                <w:lang w:val="en-US" w:eastAsia="zh-CN"/>
              </w:rPr>
            </w:pPr>
            <w:r>
              <w:rPr>
                <w:rFonts w:hint="eastAsia"/>
                <w:color w:val="000000"/>
                <w:kern w:val="0"/>
                <w:sz w:val="13"/>
                <w:lang w:val="en-US" w:eastAsia="zh-CN"/>
              </w:rPr>
              <w:t>经济效益</w:t>
            </w:r>
          </w:p>
        </w:tc>
        <w:tc>
          <w:tcPr>
            <w:tcW w:w="88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15"/>
                <w:lang w:val="en-US" w:eastAsia="zh-CN"/>
              </w:rPr>
            </w:pPr>
          </w:p>
        </w:tc>
        <w:tc>
          <w:tcPr>
            <w:tcW w:w="102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32"/>
                <w:lang w:val="en-US" w:eastAsia="zh-CN"/>
              </w:rPr>
            </w:pPr>
          </w:p>
        </w:tc>
        <w:tc>
          <w:tcPr>
            <w:tcW w:w="1029"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rPr>
                <w:rFonts w:hint="default" w:eastAsia="Times New Roman"/>
                <w:sz w:val="15"/>
              </w:rPr>
            </w:pPr>
          </w:p>
        </w:tc>
        <w:tc>
          <w:tcPr>
            <w:tcW w:w="102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rPr>
                <w:rFonts w:hint="default" w:eastAsia="Times New Roman"/>
                <w:sz w:val="15"/>
              </w:rPr>
            </w:pPr>
          </w:p>
        </w:tc>
        <w:tc>
          <w:tcPr>
            <w:tcW w:w="1028"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15"/>
                <w:lang w:val="en-US" w:eastAsia="zh-CN"/>
              </w:rPr>
            </w:pPr>
          </w:p>
        </w:tc>
        <w:tc>
          <w:tcPr>
            <w:tcW w:w="1370"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15"/>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1" w:hRule="atLeast"/>
          <w:jc w:val="center"/>
        </w:trPr>
        <w:tc>
          <w:tcPr>
            <w:tcW w:w="1029" w:type="dxa"/>
            <w:vMerge w:val="continue"/>
            <w:tcBorders>
              <w:top w:val="nil"/>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1029"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color w:val="000000"/>
                <w:kern w:val="0"/>
                <w:sz w:val="13"/>
              </w:rPr>
            </w:pPr>
            <w:r>
              <w:rPr>
                <w:rFonts w:hint="eastAsia" w:ascii="宋体"/>
                <w:color w:val="000000"/>
                <w:kern w:val="0"/>
                <w:sz w:val="13"/>
              </w:rPr>
              <w:t>满意度指标(10分)</w:t>
            </w:r>
          </w:p>
        </w:tc>
        <w:tc>
          <w:tcPr>
            <w:tcW w:w="1168"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color w:val="000000"/>
                <w:kern w:val="0"/>
                <w:sz w:val="13"/>
              </w:rPr>
            </w:pPr>
            <w:r>
              <w:rPr>
                <w:rFonts w:hint="eastAsia" w:ascii="宋体"/>
                <w:color w:val="000000"/>
                <w:kern w:val="0"/>
                <w:sz w:val="13"/>
              </w:rPr>
              <w:t>服务对象满意度指标</w:t>
            </w:r>
          </w:p>
        </w:tc>
        <w:tc>
          <w:tcPr>
            <w:tcW w:w="88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eastAsia"/>
                <w:sz w:val="15"/>
                <w:lang w:val="en-US" w:eastAsia="zh-CN"/>
              </w:rPr>
            </w:pPr>
            <w:r>
              <w:rPr>
                <w:rFonts w:hint="eastAsia"/>
                <w:sz w:val="15"/>
                <w:lang w:val="en-US" w:eastAsia="zh-CN"/>
              </w:rPr>
              <w:t>使用数据人员满意度</w:t>
            </w:r>
          </w:p>
        </w:tc>
        <w:tc>
          <w:tcPr>
            <w:tcW w:w="102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32"/>
                <w:lang w:val="en-US" w:eastAsia="zh-CN"/>
              </w:rPr>
            </w:pPr>
            <w:r>
              <w:rPr>
                <w:rFonts w:hint="eastAsia" w:ascii="宋体"/>
                <w:color w:val="000000"/>
                <w:kern w:val="0"/>
                <w:sz w:val="13"/>
                <w:lang w:val="en-US" w:eastAsia="zh-CN"/>
              </w:rPr>
              <w:t>10</w:t>
            </w:r>
          </w:p>
        </w:tc>
        <w:tc>
          <w:tcPr>
            <w:tcW w:w="1029"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rPr>
                <w:rFonts w:hint="eastAsia"/>
                <w:sz w:val="15"/>
                <w:lang w:val="en-US" w:eastAsia="zh-CN"/>
              </w:rPr>
            </w:pPr>
            <w:r>
              <w:rPr>
                <w:rFonts w:hint="eastAsia"/>
                <w:sz w:val="16"/>
                <w:lang w:val="en-US" w:eastAsia="zh-CN"/>
              </w:rPr>
              <w:t>&gt;</w:t>
            </w:r>
            <w:r>
              <w:rPr>
                <w:rFonts w:hint="eastAsia"/>
                <w:sz w:val="15"/>
                <w:lang w:val="en-US" w:eastAsia="zh-CN"/>
              </w:rPr>
              <w:t>90%</w:t>
            </w:r>
          </w:p>
        </w:tc>
        <w:tc>
          <w:tcPr>
            <w:tcW w:w="102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eastAsia"/>
                <w:sz w:val="15"/>
                <w:lang w:val="en-US" w:eastAsia="zh-CN"/>
              </w:rPr>
            </w:pPr>
            <w:r>
              <w:rPr>
                <w:rFonts w:hint="eastAsia"/>
                <w:sz w:val="16"/>
                <w:lang w:val="en-US" w:eastAsia="zh-CN"/>
              </w:rPr>
              <w:t>&gt;</w:t>
            </w:r>
            <w:r>
              <w:rPr>
                <w:rFonts w:hint="eastAsia"/>
                <w:sz w:val="15"/>
                <w:lang w:val="en-US" w:eastAsia="zh-CN"/>
              </w:rPr>
              <w:t>90%</w:t>
            </w:r>
          </w:p>
        </w:tc>
        <w:tc>
          <w:tcPr>
            <w:tcW w:w="1028"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15"/>
                <w:lang w:val="en-US" w:eastAsia="zh-CN"/>
              </w:rPr>
            </w:pPr>
            <w:r>
              <w:rPr>
                <w:rFonts w:hint="eastAsia"/>
                <w:sz w:val="15"/>
                <w:lang w:val="en-US" w:eastAsia="zh-CN"/>
              </w:rPr>
              <w:t>10</w:t>
            </w:r>
          </w:p>
        </w:tc>
        <w:tc>
          <w:tcPr>
            <w:tcW w:w="1370"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15"/>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1" w:hRule="atLeast"/>
          <w:jc w:val="center"/>
        </w:trPr>
        <w:tc>
          <w:tcPr>
            <w:tcW w:w="4115" w:type="dxa"/>
            <w:gridSpan w:val="6"/>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color w:val="000000"/>
                <w:kern w:val="0"/>
                <w:sz w:val="13"/>
              </w:rPr>
            </w:pPr>
            <w:r>
              <w:rPr>
                <w:rFonts w:hint="eastAsia" w:ascii="宋体"/>
                <w:color w:val="000000"/>
                <w:kern w:val="0"/>
                <w:sz w:val="13"/>
              </w:rPr>
              <w:t>总分</w:t>
            </w:r>
          </w:p>
        </w:tc>
        <w:tc>
          <w:tcPr>
            <w:tcW w:w="102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32"/>
                <w:lang w:val="en-US" w:eastAsia="zh-CN"/>
              </w:rPr>
            </w:pPr>
            <w:r>
              <w:rPr>
                <w:rFonts w:hint="eastAsia"/>
                <w:sz w:val="32"/>
                <w:lang w:val="en-US" w:eastAsia="zh-CN"/>
              </w:rPr>
              <w:t>90</w:t>
            </w:r>
          </w:p>
        </w:tc>
        <w:tc>
          <w:tcPr>
            <w:tcW w:w="2058" w:type="dxa"/>
            <w:gridSpan w:val="3"/>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1028"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32"/>
                <w:lang w:val="en-US" w:eastAsia="zh-CN"/>
              </w:rPr>
            </w:pPr>
            <w:r>
              <w:rPr>
                <w:rFonts w:hint="eastAsia"/>
                <w:sz w:val="32"/>
                <w:lang w:val="en-US" w:eastAsia="zh-CN"/>
              </w:rPr>
              <w:t>90</w:t>
            </w:r>
          </w:p>
        </w:tc>
        <w:tc>
          <w:tcPr>
            <w:tcW w:w="1370"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3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1" w:hRule="atLeast"/>
          <w:jc w:val="center"/>
        </w:trPr>
        <w:tc>
          <w:tcPr>
            <w:tcW w:w="9600" w:type="dxa"/>
            <w:gridSpan w:val="12"/>
            <w:tcBorders>
              <w:top w:val="nil"/>
              <w:left w:val="nil"/>
              <w:bottom w:val="nil"/>
              <w:right w:val="nil"/>
              <w:tl2br w:val="nil"/>
              <w:tr2bl w:val="nil"/>
            </w:tcBorders>
            <w:vAlign w:val="top"/>
          </w:tcPr>
          <w:p>
            <w:pPr>
              <w:autoSpaceDE w:val="0"/>
              <w:autoSpaceDN w:val="0"/>
              <w:adjustRightInd w:val="0"/>
              <w:jc w:val="center"/>
              <w:rPr>
                <w:rFonts w:hint="default" w:eastAsia="Times New Roman"/>
                <w:sz w:val="32"/>
              </w:rPr>
            </w:pPr>
            <w:r>
              <w:rPr>
                <w:rFonts w:hint="eastAsia" w:ascii="宋体"/>
                <w:color w:val="000000"/>
                <w:kern w:val="0"/>
                <w:sz w:val="24"/>
              </w:rPr>
              <w:t>项目支出绩效自评表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0" w:hRule="atLeast"/>
          <w:jc w:val="center"/>
        </w:trPr>
        <w:tc>
          <w:tcPr>
            <w:tcW w:w="9600" w:type="dxa"/>
            <w:gridSpan w:val="12"/>
            <w:tcBorders>
              <w:top w:val="nil"/>
              <w:left w:val="nil"/>
              <w:bottom w:val="single" w:color="auto" w:sz="6" w:space="0"/>
              <w:right w:val="nil"/>
              <w:tl2br w:val="nil"/>
              <w:tr2bl w:val="nil"/>
            </w:tcBorders>
            <w:vAlign w:val="top"/>
          </w:tcPr>
          <w:p>
            <w:pPr>
              <w:autoSpaceDE w:val="0"/>
              <w:autoSpaceDN w:val="0"/>
              <w:adjustRightInd w:val="0"/>
              <w:jc w:val="center"/>
              <w:rPr>
                <w:rFonts w:hint="default" w:eastAsia="Times New Roman"/>
                <w:sz w:val="32"/>
              </w:rPr>
            </w:pPr>
            <w:r>
              <w:rPr>
                <w:rFonts w:hint="eastAsia" w:ascii="宋体"/>
                <w:color w:val="000000"/>
                <w:kern w:val="0"/>
                <w:sz w:val="20"/>
              </w:rPr>
              <w:t xml:space="preserve">（ </w:t>
            </w:r>
            <w:r>
              <w:rPr>
                <w:rFonts w:hint="eastAsia" w:ascii="宋体"/>
                <w:color w:val="000000"/>
                <w:kern w:val="0"/>
                <w:sz w:val="20"/>
                <w:lang w:eastAsia="zh-CN"/>
              </w:rPr>
              <w:t>2021</w:t>
            </w:r>
            <w:r>
              <w:rPr>
                <w:rFonts w:hint="eastAsia" w:ascii="宋体"/>
                <w:color w:val="000000"/>
                <w:kern w:val="0"/>
                <w:sz w:val="20"/>
              </w:rPr>
              <w:t xml:space="preserve"> 年度）</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29" w:hRule="atLeast"/>
          <w:jc w:val="center"/>
        </w:trPr>
        <w:tc>
          <w:tcPr>
            <w:tcW w:w="2039"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color w:val="000000"/>
                <w:kern w:val="0"/>
                <w:sz w:val="21"/>
              </w:rPr>
            </w:pPr>
            <w:r>
              <w:rPr>
                <w:rFonts w:hint="eastAsia" w:ascii="宋体"/>
                <w:color w:val="000000"/>
                <w:kern w:val="0"/>
                <w:sz w:val="21"/>
              </w:rPr>
              <w:t>项目名称</w:t>
            </w:r>
          </w:p>
        </w:tc>
        <w:tc>
          <w:tcPr>
            <w:tcW w:w="3105" w:type="dxa"/>
            <w:gridSpan w:val="5"/>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rPr>
                <w:rFonts w:hint="eastAsia"/>
                <w:sz w:val="21"/>
                <w:lang w:val="en-US" w:eastAsia="zh-CN"/>
              </w:rPr>
            </w:pPr>
            <w:r>
              <w:rPr>
                <w:rFonts w:hint="eastAsia"/>
                <w:sz w:val="21"/>
                <w:lang w:val="en-US" w:eastAsia="zh-CN"/>
              </w:rPr>
              <w:t>统计年鉴月报印刷经费</w:t>
            </w:r>
          </w:p>
        </w:tc>
        <w:tc>
          <w:tcPr>
            <w:tcW w:w="1028"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color w:val="000000"/>
                <w:kern w:val="0"/>
                <w:sz w:val="13"/>
              </w:rPr>
            </w:pPr>
            <w:r>
              <w:rPr>
                <w:rFonts w:hint="eastAsia" w:ascii="宋体"/>
                <w:color w:val="000000"/>
                <w:kern w:val="0"/>
                <w:sz w:val="13"/>
              </w:rPr>
              <w:t>项目负责人及电话</w:t>
            </w:r>
          </w:p>
        </w:tc>
        <w:tc>
          <w:tcPr>
            <w:tcW w:w="3428" w:type="dxa"/>
            <w:gridSpan w:val="4"/>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21"/>
                <w:lang w:val="en-US" w:eastAsia="zh-CN"/>
              </w:rPr>
            </w:pPr>
            <w:r>
              <w:rPr>
                <w:rFonts w:hint="eastAsia"/>
                <w:sz w:val="21"/>
                <w:lang w:val="en-US" w:eastAsia="zh-CN"/>
              </w:rPr>
              <w:t>张洋</w:t>
            </w:r>
          </w:p>
          <w:p>
            <w:pPr>
              <w:autoSpaceDE w:val="0"/>
              <w:autoSpaceDN w:val="0"/>
              <w:adjustRightInd w:val="0"/>
              <w:jc w:val="center"/>
              <w:rPr>
                <w:rFonts w:hint="default"/>
                <w:sz w:val="21"/>
                <w:lang w:val="en-US" w:eastAsia="zh-CN"/>
              </w:rPr>
            </w:pPr>
            <w:r>
              <w:rPr>
                <w:rFonts w:hint="eastAsia"/>
                <w:sz w:val="21"/>
                <w:lang w:val="en-US" w:eastAsia="zh-CN"/>
              </w:rPr>
              <w:t>0470-4686903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1" w:hRule="atLeast"/>
          <w:jc w:val="center"/>
        </w:trPr>
        <w:tc>
          <w:tcPr>
            <w:tcW w:w="2039"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color w:val="000000"/>
                <w:kern w:val="0"/>
                <w:sz w:val="21"/>
              </w:rPr>
            </w:pPr>
            <w:r>
              <w:rPr>
                <w:rFonts w:hint="eastAsia" w:ascii="宋体"/>
                <w:color w:val="000000"/>
                <w:kern w:val="0"/>
                <w:sz w:val="21"/>
              </w:rPr>
              <w:t>主管部门</w:t>
            </w:r>
          </w:p>
        </w:tc>
        <w:tc>
          <w:tcPr>
            <w:tcW w:w="3105" w:type="dxa"/>
            <w:gridSpan w:val="5"/>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21"/>
                <w:lang w:val="en-US" w:eastAsia="zh-CN"/>
              </w:rPr>
            </w:pPr>
            <w:r>
              <w:rPr>
                <w:rFonts w:hint="eastAsia"/>
                <w:sz w:val="21"/>
                <w:lang w:val="en-US" w:eastAsia="zh-CN"/>
              </w:rPr>
              <w:t>莫力达瓦达斡尔族自治旗人民政府</w:t>
            </w:r>
          </w:p>
        </w:tc>
        <w:tc>
          <w:tcPr>
            <w:tcW w:w="1028"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color w:val="000000"/>
                <w:kern w:val="0"/>
                <w:sz w:val="13"/>
              </w:rPr>
            </w:pPr>
            <w:r>
              <w:rPr>
                <w:rFonts w:hint="eastAsia" w:ascii="宋体"/>
                <w:color w:val="000000"/>
                <w:kern w:val="0"/>
                <w:sz w:val="13"/>
              </w:rPr>
              <w:t>实施单位</w:t>
            </w:r>
          </w:p>
        </w:tc>
        <w:tc>
          <w:tcPr>
            <w:tcW w:w="3428" w:type="dxa"/>
            <w:gridSpan w:val="4"/>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32"/>
                <w:lang w:val="en-US" w:eastAsia="zh-CN"/>
              </w:rPr>
            </w:pPr>
            <w:r>
              <w:rPr>
                <w:rFonts w:hint="eastAsia"/>
                <w:sz w:val="18"/>
                <w:lang w:val="en-US" w:eastAsia="zh-CN"/>
              </w:rPr>
              <w:t>莫力达瓦达斡尔族自治旗统计局</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1" w:hRule="atLeast"/>
          <w:jc w:val="center"/>
        </w:trPr>
        <w:tc>
          <w:tcPr>
            <w:tcW w:w="2039" w:type="dxa"/>
            <w:gridSpan w:val="2"/>
            <w:vMerge w:val="restart"/>
            <w:tcBorders>
              <w:top w:val="single" w:color="auto" w:sz="6" w:space="0"/>
              <w:left w:val="single" w:color="auto" w:sz="6" w:space="0"/>
              <w:bottom w:val="nil"/>
              <w:right w:val="single" w:color="auto" w:sz="6" w:space="0"/>
              <w:tl2br w:val="nil"/>
              <w:tr2bl w:val="nil"/>
            </w:tcBorders>
            <w:vAlign w:val="center"/>
          </w:tcPr>
          <w:p>
            <w:pPr>
              <w:autoSpaceDE w:val="0"/>
              <w:autoSpaceDN w:val="0"/>
              <w:adjustRightInd w:val="0"/>
              <w:jc w:val="center"/>
              <w:rPr>
                <w:rFonts w:hint="default" w:eastAsia="Times New Roman"/>
                <w:sz w:val="32"/>
              </w:rPr>
            </w:pPr>
            <w:r>
              <w:rPr>
                <w:rFonts w:hint="eastAsia" w:ascii="宋体"/>
                <w:color w:val="000000"/>
                <w:kern w:val="0"/>
                <w:sz w:val="13"/>
              </w:rPr>
              <w:t>项目预算执行情况</w:t>
            </w:r>
            <w:r>
              <w:rPr>
                <w:rFonts w:hint="default"/>
                <w:color w:val="000000"/>
                <w:kern w:val="0"/>
                <w:sz w:val="13"/>
              </w:rPr>
              <w:t xml:space="preserve"> </w:t>
            </w:r>
            <w:r>
              <w:rPr>
                <w:rFonts w:hint="eastAsia" w:ascii="宋体"/>
                <w:color w:val="000000"/>
                <w:kern w:val="0"/>
                <w:sz w:val="13"/>
              </w:rPr>
              <w:t>（万元）</w:t>
            </w:r>
          </w:p>
        </w:tc>
        <w:tc>
          <w:tcPr>
            <w:tcW w:w="1185"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1920" w:type="dxa"/>
            <w:gridSpan w:val="3"/>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color w:val="000000"/>
                <w:kern w:val="0"/>
                <w:sz w:val="13"/>
              </w:rPr>
            </w:pPr>
            <w:r>
              <w:rPr>
                <w:rFonts w:hint="eastAsia" w:ascii="宋体"/>
                <w:color w:val="000000"/>
                <w:kern w:val="0"/>
                <w:sz w:val="13"/>
              </w:rPr>
              <w:t>全年预算数（A）</w:t>
            </w:r>
          </w:p>
        </w:tc>
        <w:tc>
          <w:tcPr>
            <w:tcW w:w="1028"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color w:val="000000"/>
                <w:kern w:val="0"/>
                <w:sz w:val="13"/>
              </w:rPr>
            </w:pPr>
            <w:r>
              <w:rPr>
                <w:rFonts w:hint="eastAsia" w:ascii="宋体"/>
                <w:color w:val="000000"/>
                <w:kern w:val="0"/>
                <w:sz w:val="13"/>
              </w:rPr>
              <w:t>全年执行数（B）</w:t>
            </w:r>
          </w:p>
        </w:tc>
        <w:tc>
          <w:tcPr>
            <w:tcW w:w="1030"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color w:val="000000"/>
                <w:kern w:val="0"/>
                <w:sz w:val="13"/>
              </w:rPr>
            </w:pPr>
            <w:r>
              <w:rPr>
                <w:rFonts w:hint="eastAsia" w:ascii="宋体"/>
                <w:color w:val="000000"/>
                <w:kern w:val="0"/>
                <w:sz w:val="13"/>
              </w:rPr>
              <w:t>分值</w:t>
            </w:r>
          </w:p>
        </w:tc>
        <w:tc>
          <w:tcPr>
            <w:tcW w:w="1028"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color w:val="000000"/>
                <w:kern w:val="0"/>
                <w:sz w:val="13"/>
              </w:rPr>
            </w:pPr>
            <w:r>
              <w:rPr>
                <w:rFonts w:hint="eastAsia" w:ascii="宋体"/>
                <w:color w:val="000000"/>
                <w:kern w:val="0"/>
                <w:sz w:val="13"/>
              </w:rPr>
              <w:t>执行率（B/A)</w:t>
            </w:r>
          </w:p>
        </w:tc>
        <w:tc>
          <w:tcPr>
            <w:tcW w:w="1370"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color w:val="000000"/>
                <w:kern w:val="0"/>
                <w:sz w:val="13"/>
              </w:rPr>
            </w:pPr>
            <w:r>
              <w:rPr>
                <w:rFonts w:hint="eastAsia" w:ascii="宋体"/>
                <w:color w:val="000000"/>
                <w:kern w:val="0"/>
                <w:sz w:val="13"/>
              </w:rPr>
              <w:t>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1" w:hRule="atLeast"/>
          <w:jc w:val="center"/>
        </w:trPr>
        <w:tc>
          <w:tcPr>
            <w:tcW w:w="2039" w:type="dxa"/>
            <w:gridSpan w:val="2"/>
            <w:vMerge w:val="continue"/>
            <w:tcBorders>
              <w:top w:val="nil"/>
              <w:left w:val="single" w:color="auto" w:sz="6" w:space="0"/>
              <w:bottom w:val="nil"/>
              <w:right w:val="single" w:color="auto" w:sz="6" w:space="0"/>
              <w:tl2br w:val="nil"/>
              <w:tr2bl w:val="nil"/>
            </w:tcBorders>
            <w:vAlign w:val="center"/>
          </w:tcPr>
          <w:p>
            <w:pPr>
              <w:autoSpaceDE w:val="0"/>
              <w:autoSpaceDN w:val="0"/>
              <w:adjustRightInd w:val="0"/>
              <w:jc w:val="left"/>
              <w:rPr>
                <w:rFonts w:hint="default" w:eastAsia="Times New Roman"/>
                <w:color w:val="000000"/>
                <w:kern w:val="0"/>
                <w:sz w:val="13"/>
              </w:rPr>
            </w:pPr>
          </w:p>
        </w:tc>
        <w:tc>
          <w:tcPr>
            <w:tcW w:w="1185"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left"/>
              <w:rPr>
                <w:rFonts w:hint="default" w:eastAsia="Times New Roman"/>
                <w:color w:val="000000"/>
                <w:kern w:val="0"/>
                <w:sz w:val="13"/>
              </w:rPr>
            </w:pPr>
            <w:r>
              <w:rPr>
                <w:rFonts w:hint="eastAsia" w:ascii="宋体"/>
                <w:color w:val="000000"/>
                <w:kern w:val="0"/>
                <w:sz w:val="13"/>
              </w:rPr>
              <w:t>年度资金总额：</w:t>
            </w:r>
          </w:p>
        </w:tc>
        <w:tc>
          <w:tcPr>
            <w:tcW w:w="1920" w:type="dxa"/>
            <w:gridSpan w:val="3"/>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32"/>
                <w:lang w:val="en-US" w:eastAsia="zh-CN"/>
              </w:rPr>
            </w:pPr>
            <w:r>
              <w:rPr>
                <w:rFonts w:hint="eastAsia"/>
                <w:sz w:val="32"/>
                <w:lang w:val="en-US" w:eastAsia="zh-CN"/>
              </w:rPr>
              <w:t>1</w:t>
            </w:r>
          </w:p>
        </w:tc>
        <w:tc>
          <w:tcPr>
            <w:tcW w:w="1028"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21"/>
                <w:lang w:val="en-US" w:eastAsia="zh-CN"/>
              </w:rPr>
            </w:pPr>
            <w:r>
              <w:rPr>
                <w:rFonts w:hint="eastAsia"/>
                <w:sz w:val="21"/>
                <w:lang w:val="en-US" w:eastAsia="zh-CN"/>
              </w:rPr>
              <w:t>0</w:t>
            </w:r>
          </w:p>
        </w:tc>
        <w:tc>
          <w:tcPr>
            <w:tcW w:w="1030"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color w:val="000000"/>
                <w:kern w:val="0"/>
                <w:sz w:val="13"/>
              </w:rPr>
            </w:pPr>
            <w:r>
              <w:rPr>
                <w:rFonts w:hint="eastAsia" w:ascii="宋体"/>
                <w:color w:val="000000"/>
                <w:kern w:val="0"/>
                <w:sz w:val="13"/>
              </w:rPr>
              <w:t>10</w:t>
            </w:r>
          </w:p>
        </w:tc>
        <w:tc>
          <w:tcPr>
            <w:tcW w:w="1028"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color w:val="000000"/>
                <w:kern w:val="0"/>
                <w:sz w:val="13"/>
                <w:lang w:val="en-US" w:eastAsia="zh-CN"/>
              </w:rPr>
            </w:pPr>
            <w:r>
              <w:rPr>
                <w:rFonts w:hint="eastAsia"/>
                <w:color w:val="000000"/>
                <w:kern w:val="0"/>
                <w:sz w:val="13"/>
                <w:lang w:val="en-US" w:eastAsia="zh-CN"/>
              </w:rPr>
              <w:t>0%</w:t>
            </w:r>
          </w:p>
        </w:tc>
        <w:tc>
          <w:tcPr>
            <w:tcW w:w="1370"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color w:val="000000"/>
                <w:kern w:val="0"/>
                <w:sz w:val="13"/>
                <w:lang w:val="en-US" w:eastAsia="zh-CN"/>
              </w:rPr>
            </w:pPr>
            <w:r>
              <w:rPr>
                <w:rFonts w:hint="eastAsia"/>
                <w:color w:val="000000"/>
                <w:kern w:val="0"/>
                <w:sz w:val="13"/>
                <w:lang w:val="en-US" w:eastAsia="zh-CN"/>
              </w:rPr>
              <w:t>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2039" w:type="dxa"/>
            <w:gridSpan w:val="2"/>
            <w:vMerge w:val="continue"/>
            <w:tcBorders>
              <w:top w:val="nil"/>
              <w:left w:val="single" w:color="auto" w:sz="6" w:space="0"/>
              <w:bottom w:val="nil"/>
              <w:right w:val="single" w:color="auto" w:sz="6" w:space="0"/>
              <w:tl2br w:val="nil"/>
              <w:tr2bl w:val="nil"/>
            </w:tcBorders>
            <w:vAlign w:val="center"/>
          </w:tcPr>
          <w:p>
            <w:pPr>
              <w:autoSpaceDE w:val="0"/>
              <w:autoSpaceDN w:val="0"/>
              <w:adjustRightInd w:val="0"/>
              <w:jc w:val="left"/>
              <w:rPr>
                <w:rFonts w:hint="default" w:eastAsia="Times New Roman"/>
                <w:color w:val="000000"/>
                <w:kern w:val="0"/>
                <w:sz w:val="13"/>
              </w:rPr>
            </w:pPr>
          </w:p>
        </w:tc>
        <w:tc>
          <w:tcPr>
            <w:tcW w:w="1185"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left"/>
              <w:rPr>
                <w:rFonts w:hint="default" w:eastAsia="Times New Roman"/>
                <w:color w:val="000000"/>
                <w:kern w:val="0"/>
                <w:sz w:val="13"/>
              </w:rPr>
            </w:pPr>
            <w:r>
              <w:rPr>
                <w:rFonts w:hint="eastAsia" w:ascii="宋体"/>
                <w:color w:val="000000"/>
                <w:kern w:val="0"/>
                <w:sz w:val="13"/>
              </w:rPr>
              <w:t>其中：财政拨款</w:t>
            </w:r>
          </w:p>
        </w:tc>
        <w:tc>
          <w:tcPr>
            <w:tcW w:w="1920" w:type="dxa"/>
            <w:gridSpan w:val="3"/>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32"/>
                <w:lang w:val="en-US" w:eastAsia="zh-CN"/>
              </w:rPr>
            </w:pPr>
            <w:r>
              <w:rPr>
                <w:rFonts w:hint="eastAsia"/>
                <w:sz w:val="32"/>
                <w:lang w:val="en-US" w:eastAsia="zh-CN"/>
              </w:rPr>
              <w:t>1</w:t>
            </w:r>
          </w:p>
        </w:tc>
        <w:tc>
          <w:tcPr>
            <w:tcW w:w="1028"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21"/>
                <w:lang w:val="en-US" w:eastAsia="zh-CN"/>
              </w:rPr>
            </w:pPr>
            <w:r>
              <w:rPr>
                <w:rFonts w:hint="eastAsia"/>
                <w:sz w:val="21"/>
                <w:lang w:val="en-US" w:eastAsia="zh-CN"/>
              </w:rPr>
              <w:t>0</w:t>
            </w:r>
          </w:p>
        </w:tc>
        <w:tc>
          <w:tcPr>
            <w:tcW w:w="1030"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color w:val="000000"/>
                <w:kern w:val="0"/>
                <w:sz w:val="13"/>
              </w:rPr>
            </w:pPr>
            <w:r>
              <w:rPr>
                <w:rFonts w:hint="default"/>
                <w:color w:val="000000"/>
                <w:kern w:val="0"/>
                <w:sz w:val="13"/>
              </w:rPr>
              <w:t>-</w:t>
            </w:r>
          </w:p>
        </w:tc>
        <w:tc>
          <w:tcPr>
            <w:tcW w:w="1028"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color w:val="000000"/>
                <w:kern w:val="0"/>
                <w:sz w:val="13"/>
                <w:lang w:val="en-US" w:eastAsia="zh-CN"/>
              </w:rPr>
            </w:pPr>
            <w:r>
              <w:rPr>
                <w:rFonts w:hint="eastAsia"/>
                <w:color w:val="000000"/>
                <w:kern w:val="0"/>
                <w:sz w:val="13"/>
                <w:lang w:val="en-US" w:eastAsia="zh-CN"/>
              </w:rPr>
              <w:t>0%</w:t>
            </w:r>
          </w:p>
        </w:tc>
        <w:tc>
          <w:tcPr>
            <w:tcW w:w="1370"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color w:val="000000"/>
                <w:kern w:val="0"/>
                <w:sz w:val="13"/>
              </w:rPr>
            </w:pPr>
            <w:r>
              <w:rPr>
                <w:rFonts w:hint="default"/>
                <w:color w:val="000000"/>
                <w:kern w:val="0"/>
                <w:sz w:val="13"/>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1" w:hRule="atLeast"/>
          <w:jc w:val="center"/>
        </w:trPr>
        <w:tc>
          <w:tcPr>
            <w:tcW w:w="2039" w:type="dxa"/>
            <w:gridSpan w:val="2"/>
            <w:vMerge w:val="continue"/>
            <w:tcBorders>
              <w:top w:val="nil"/>
              <w:left w:val="single" w:color="auto" w:sz="6" w:space="0"/>
              <w:bottom w:val="single" w:color="auto" w:sz="6" w:space="0"/>
              <w:right w:val="single" w:color="auto" w:sz="6" w:space="0"/>
              <w:tl2br w:val="nil"/>
              <w:tr2bl w:val="nil"/>
            </w:tcBorders>
            <w:vAlign w:val="center"/>
          </w:tcPr>
          <w:p>
            <w:pPr>
              <w:autoSpaceDE w:val="0"/>
              <w:autoSpaceDN w:val="0"/>
              <w:adjustRightInd w:val="0"/>
              <w:jc w:val="left"/>
              <w:rPr>
                <w:rFonts w:hint="default" w:eastAsia="Times New Roman"/>
                <w:color w:val="000000"/>
                <w:kern w:val="0"/>
                <w:sz w:val="13"/>
              </w:rPr>
            </w:pPr>
          </w:p>
        </w:tc>
        <w:tc>
          <w:tcPr>
            <w:tcW w:w="1185"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left"/>
              <w:rPr>
                <w:rFonts w:hint="default" w:eastAsia="Times New Roman"/>
                <w:color w:val="000000"/>
                <w:kern w:val="0"/>
                <w:sz w:val="13"/>
              </w:rPr>
            </w:pPr>
            <w:r>
              <w:rPr>
                <w:rFonts w:hint="eastAsia" w:ascii="宋体"/>
                <w:color w:val="000000"/>
                <w:kern w:val="0"/>
                <w:sz w:val="13"/>
              </w:rPr>
              <w:t>其他资金</w:t>
            </w:r>
          </w:p>
        </w:tc>
        <w:tc>
          <w:tcPr>
            <w:tcW w:w="1920" w:type="dxa"/>
            <w:gridSpan w:val="3"/>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1028"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1030"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color w:val="000000"/>
                <w:kern w:val="0"/>
                <w:sz w:val="13"/>
              </w:rPr>
            </w:pPr>
            <w:r>
              <w:rPr>
                <w:rFonts w:hint="default"/>
                <w:color w:val="000000"/>
                <w:kern w:val="0"/>
                <w:sz w:val="13"/>
              </w:rPr>
              <w:t>-</w:t>
            </w:r>
          </w:p>
        </w:tc>
        <w:tc>
          <w:tcPr>
            <w:tcW w:w="1028"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color w:val="000000"/>
                <w:kern w:val="0"/>
                <w:sz w:val="13"/>
              </w:rPr>
            </w:pPr>
          </w:p>
        </w:tc>
        <w:tc>
          <w:tcPr>
            <w:tcW w:w="1370"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color w:val="000000"/>
                <w:kern w:val="0"/>
                <w:sz w:val="13"/>
              </w:rPr>
            </w:pPr>
            <w:r>
              <w:rPr>
                <w:rFonts w:hint="default"/>
                <w:color w:val="000000"/>
                <w:kern w:val="0"/>
                <w:sz w:val="13"/>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1029" w:type="dxa"/>
            <w:vMerge w:val="restart"/>
            <w:tcBorders>
              <w:top w:val="single" w:color="auto" w:sz="6" w:space="0"/>
              <w:left w:val="single" w:color="auto" w:sz="6" w:space="0"/>
              <w:bottom w:val="nil"/>
              <w:right w:val="single" w:color="auto" w:sz="6" w:space="0"/>
              <w:tl2br w:val="nil"/>
              <w:tr2bl w:val="nil"/>
            </w:tcBorders>
            <w:vAlign w:val="center"/>
          </w:tcPr>
          <w:p>
            <w:pPr>
              <w:autoSpaceDE w:val="0"/>
              <w:autoSpaceDN w:val="0"/>
              <w:adjustRightInd w:val="0"/>
              <w:jc w:val="center"/>
              <w:rPr>
                <w:rFonts w:hint="default" w:eastAsia="Times New Roman"/>
                <w:sz w:val="32"/>
              </w:rPr>
            </w:pPr>
            <w:r>
              <w:rPr>
                <w:rFonts w:hint="eastAsia" w:ascii="宋体"/>
                <w:color w:val="000000"/>
                <w:kern w:val="0"/>
                <w:sz w:val="13"/>
              </w:rPr>
              <w:t>年度总体目标完成情况</w:t>
            </w:r>
          </w:p>
        </w:tc>
        <w:tc>
          <w:tcPr>
            <w:tcW w:w="4115" w:type="dxa"/>
            <w:gridSpan w:val="6"/>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color w:val="000000"/>
                <w:kern w:val="0"/>
                <w:sz w:val="13"/>
              </w:rPr>
            </w:pPr>
            <w:r>
              <w:rPr>
                <w:rFonts w:hint="eastAsia" w:ascii="宋体"/>
                <w:color w:val="000000"/>
                <w:kern w:val="0"/>
                <w:sz w:val="13"/>
              </w:rPr>
              <w:t>预期目标</w:t>
            </w:r>
          </w:p>
        </w:tc>
        <w:tc>
          <w:tcPr>
            <w:tcW w:w="4456" w:type="dxa"/>
            <w:gridSpan w:val="5"/>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color w:val="000000"/>
                <w:kern w:val="0"/>
                <w:sz w:val="13"/>
              </w:rPr>
            </w:pPr>
            <w:r>
              <w:rPr>
                <w:rFonts w:hint="eastAsia" w:ascii="宋体"/>
                <w:color w:val="000000"/>
                <w:kern w:val="0"/>
                <w:sz w:val="13"/>
              </w:rPr>
              <w:t>目标实际完成情况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03" w:hRule="atLeast"/>
          <w:jc w:val="center"/>
        </w:trPr>
        <w:tc>
          <w:tcPr>
            <w:tcW w:w="1029" w:type="dxa"/>
            <w:vMerge w:val="continue"/>
            <w:tcBorders>
              <w:top w:val="nil"/>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4115" w:type="dxa"/>
            <w:gridSpan w:val="6"/>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rPr>
                <w:rFonts w:hint="default"/>
                <w:sz w:val="15"/>
                <w:lang w:val="en-US" w:eastAsia="zh-CN"/>
              </w:rPr>
            </w:pPr>
            <w:r>
              <w:rPr>
                <w:rFonts w:hint="eastAsia"/>
                <w:sz w:val="15"/>
                <w:lang w:val="en-US" w:eastAsia="zh-CN"/>
              </w:rPr>
              <w:t>为领导机关科学决策提供重要线索和依据。给政府领导旗委提供预警信息。</w:t>
            </w:r>
          </w:p>
        </w:tc>
        <w:tc>
          <w:tcPr>
            <w:tcW w:w="4456" w:type="dxa"/>
            <w:gridSpan w:val="5"/>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32"/>
                <w:lang w:val="en-US" w:eastAsia="zh-CN"/>
              </w:rPr>
            </w:pPr>
            <w:r>
              <w:rPr>
                <w:rFonts w:hint="default" w:eastAsia="Times New Roman"/>
                <w:sz w:val="15"/>
                <w:lang w:val="en-US" w:eastAsia="zh-CN"/>
              </w:rPr>
              <w:t>完成情况良好， 完成全年印制年鉴和月报。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1" w:hRule="atLeast"/>
          <w:jc w:val="center"/>
        </w:trPr>
        <w:tc>
          <w:tcPr>
            <w:tcW w:w="1029" w:type="dxa"/>
            <w:vMerge w:val="restart"/>
            <w:tcBorders>
              <w:top w:val="single" w:color="auto" w:sz="6" w:space="0"/>
              <w:left w:val="single" w:color="auto" w:sz="6" w:space="0"/>
              <w:bottom w:val="nil"/>
              <w:right w:val="single" w:color="auto" w:sz="6" w:space="0"/>
              <w:tl2br w:val="nil"/>
              <w:tr2bl w:val="nil"/>
            </w:tcBorders>
            <w:vAlign w:val="center"/>
          </w:tcPr>
          <w:p>
            <w:pPr>
              <w:autoSpaceDE w:val="0"/>
              <w:autoSpaceDN w:val="0"/>
              <w:adjustRightInd w:val="0"/>
              <w:jc w:val="center"/>
              <w:rPr>
                <w:rFonts w:hint="default" w:eastAsia="Times New Roman"/>
                <w:sz w:val="32"/>
              </w:rPr>
            </w:pPr>
            <w:r>
              <w:rPr>
                <w:rFonts w:hint="eastAsia" w:ascii="宋体"/>
                <w:color w:val="000000"/>
                <w:kern w:val="0"/>
                <w:sz w:val="13"/>
              </w:rPr>
              <w:t>绩效指标</w:t>
            </w:r>
          </w:p>
        </w:tc>
        <w:tc>
          <w:tcPr>
            <w:tcW w:w="1029"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32"/>
              </w:rPr>
            </w:pPr>
            <w:r>
              <w:rPr>
                <w:rFonts w:hint="eastAsia" w:ascii="宋体"/>
                <w:color w:val="000000"/>
                <w:kern w:val="0"/>
                <w:sz w:val="13"/>
              </w:rPr>
              <w:t>一级指标</w:t>
            </w:r>
          </w:p>
        </w:tc>
        <w:tc>
          <w:tcPr>
            <w:tcW w:w="1168"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32"/>
              </w:rPr>
            </w:pPr>
            <w:r>
              <w:rPr>
                <w:rFonts w:hint="eastAsia" w:ascii="宋体"/>
                <w:color w:val="000000"/>
                <w:kern w:val="0"/>
                <w:sz w:val="13"/>
              </w:rPr>
              <w:t>二级指标</w:t>
            </w:r>
          </w:p>
        </w:tc>
        <w:tc>
          <w:tcPr>
            <w:tcW w:w="88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color w:val="000000"/>
                <w:kern w:val="0"/>
                <w:sz w:val="13"/>
              </w:rPr>
            </w:pPr>
            <w:r>
              <w:rPr>
                <w:rFonts w:hint="eastAsia" w:ascii="宋体"/>
                <w:color w:val="000000"/>
                <w:kern w:val="0"/>
                <w:sz w:val="13"/>
              </w:rPr>
              <w:t>三级指标</w:t>
            </w:r>
          </w:p>
        </w:tc>
        <w:tc>
          <w:tcPr>
            <w:tcW w:w="102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32"/>
              </w:rPr>
            </w:pPr>
            <w:r>
              <w:rPr>
                <w:rFonts w:hint="eastAsia" w:ascii="宋体"/>
                <w:color w:val="000000"/>
                <w:kern w:val="0"/>
                <w:sz w:val="13"/>
              </w:rPr>
              <w:t>分值</w:t>
            </w:r>
          </w:p>
        </w:tc>
        <w:tc>
          <w:tcPr>
            <w:tcW w:w="1029"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color w:val="000000"/>
                <w:kern w:val="0"/>
                <w:sz w:val="13"/>
              </w:rPr>
            </w:pPr>
            <w:r>
              <w:rPr>
                <w:rFonts w:hint="eastAsia" w:ascii="宋体"/>
                <w:color w:val="000000"/>
                <w:kern w:val="0"/>
                <w:sz w:val="13"/>
              </w:rPr>
              <w:t>预期指标值</w:t>
            </w:r>
          </w:p>
        </w:tc>
        <w:tc>
          <w:tcPr>
            <w:tcW w:w="102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color w:val="000000"/>
                <w:kern w:val="0"/>
                <w:sz w:val="13"/>
              </w:rPr>
            </w:pPr>
            <w:r>
              <w:rPr>
                <w:rFonts w:hint="eastAsia" w:ascii="宋体"/>
                <w:color w:val="000000"/>
                <w:kern w:val="0"/>
                <w:sz w:val="13"/>
              </w:rPr>
              <w:t>实际完成指标值</w:t>
            </w:r>
          </w:p>
        </w:tc>
        <w:tc>
          <w:tcPr>
            <w:tcW w:w="1028"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color w:val="000000"/>
                <w:kern w:val="0"/>
                <w:sz w:val="13"/>
              </w:rPr>
            </w:pPr>
            <w:r>
              <w:rPr>
                <w:rFonts w:hint="eastAsia" w:ascii="宋体"/>
                <w:color w:val="000000"/>
                <w:kern w:val="0"/>
                <w:sz w:val="13"/>
              </w:rPr>
              <w:t>得分</w:t>
            </w:r>
          </w:p>
        </w:tc>
        <w:tc>
          <w:tcPr>
            <w:tcW w:w="1370"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color w:val="000000"/>
                <w:kern w:val="0"/>
                <w:sz w:val="13"/>
              </w:rPr>
            </w:pPr>
            <w:r>
              <w:rPr>
                <w:rFonts w:hint="eastAsia" w:ascii="宋体"/>
                <w:color w:val="000000"/>
                <w:kern w:val="0"/>
                <w:sz w:val="13"/>
              </w:rPr>
              <w:t>未完成原因及拟采取的改进措施</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1029" w:type="dxa"/>
            <w:vMerge w:val="continue"/>
            <w:tcBorders>
              <w:top w:val="nil"/>
              <w:left w:val="single" w:color="auto" w:sz="6" w:space="0"/>
              <w:bottom w:val="nil"/>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1029" w:type="dxa"/>
            <w:gridSpan w:val="2"/>
            <w:vMerge w:val="restart"/>
            <w:tcBorders>
              <w:top w:val="single" w:color="auto" w:sz="6" w:space="0"/>
              <w:left w:val="single" w:color="auto" w:sz="6" w:space="0"/>
              <w:bottom w:val="nil"/>
              <w:right w:val="single" w:color="auto" w:sz="6" w:space="0"/>
              <w:tl2br w:val="nil"/>
              <w:tr2bl w:val="nil"/>
            </w:tcBorders>
            <w:vAlign w:val="center"/>
          </w:tcPr>
          <w:p>
            <w:pPr>
              <w:autoSpaceDE w:val="0"/>
              <w:autoSpaceDN w:val="0"/>
              <w:adjustRightInd w:val="0"/>
              <w:jc w:val="center"/>
              <w:rPr>
                <w:rFonts w:hint="default" w:eastAsia="Times New Roman"/>
                <w:color w:val="000000"/>
                <w:kern w:val="0"/>
                <w:sz w:val="13"/>
              </w:rPr>
            </w:pPr>
            <w:r>
              <w:rPr>
                <w:rFonts w:hint="eastAsia" w:ascii="宋体"/>
                <w:color w:val="000000"/>
                <w:kern w:val="0"/>
                <w:sz w:val="13"/>
              </w:rPr>
              <w:t>产出指标</w:t>
            </w:r>
            <w:r>
              <w:rPr>
                <w:rFonts w:hint="default"/>
                <w:color w:val="000000"/>
                <w:kern w:val="0"/>
                <w:sz w:val="13"/>
              </w:rPr>
              <w:t xml:space="preserve"> </w:t>
            </w:r>
            <w:r>
              <w:rPr>
                <w:rFonts w:hint="eastAsia" w:ascii="宋体"/>
                <w:color w:val="000000"/>
                <w:kern w:val="0"/>
                <w:sz w:val="13"/>
              </w:rPr>
              <w:t>(50分)</w:t>
            </w:r>
          </w:p>
        </w:tc>
        <w:tc>
          <w:tcPr>
            <w:tcW w:w="1168" w:type="dxa"/>
            <w:gridSpan w:val="2"/>
            <w:vMerge w:val="restart"/>
            <w:tcBorders>
              <w:top w:val="single" w:color="auto" w:sz="6" w:space="0"/>
              <w:left w:val="single" w:color="auto" w:sz="6" w:space="0"/>
              <w:bottom w:val="nil"/>
              <w:right w:val="single" w:color="auto" w:sz="6" w:space="0"/>
              <w:tl2br w:val="nil"/>
              <w:tr2bl w:val="nil"/>
            </w:tcBorders>
            <w:vAlign w:val="center"/>
          </w:tcPr>
          <w:p>
            <w:pPr>
              <w:autoSpaceDE w:val="0"/>
              <w:autoSpaceDN w:val="0"/>
              <w:adjustRightInd w:val="0"/>
              <w:jc w:val="center"/>
              <w:rPr>
                <w:rFonts w:hint="default" w:eastAsia="Times New Roman"/>
                <w:sz w:val="32"/>
              </w:rPr>
            </w:pPr>
            <w:r>
              <w:rPr>
                <w:rFonts w:hint="eastAsia" w:ascii="宋体"/>
                <w:color w:val="000000"/>
                <w:kern w:val="0"/>
                <w:sz w:val="13"/>
              </w:rPr>
              <w:t>数量指标</w:t>
            </w:r>
          </w:p>
        </w:tc>
        <w:tc>
          <w:tcPr>
            <w:tcW w:w="88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rPr>
                <w:rFonts w:hint="default"/>
                <w:sz w:val="32"/>
                <w:lang w:val="en-US" w:eastAsia="zh-CN"/>
              </w:rPr>
            </w:pPr>
            <w:r>
              <w:rPr>
                <w:rFonts w:hint="eastAsia"/>
                <w:sz w:val="32"/>
                <w:lang w:val="en-US" w:eastAsia="zh-CN"/>
              </w:rPr>
              <w:t>编制统计月报册数</w:t>
            </w:r>
          </w:p>
        </w:tc>
        <w:tc>
          <w:tcPr>
            <w:tcW w:w="102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15"/>
                <w:lang w:val="en-US" w:eastAsia="zh-CN"/>
              </w:rPr>
            </w:pPr>
            <w:r>
              <w:rPr>
                <w:rFonts w:hint="eastAsia"/>
                <w:sz w:val="15"/>
                <w:lang w:val="en-US" w:eastAsia="zh-CN"/>
              </w:rPr>
              <w:t>10</w:t>
            </w:r>
          </w:p>
        </w:tc>
        <w:tc>
          <w:tcPr>
            <w:tcW w:w="1029"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15"/>
                <w:lang w:val="en-US" w:eastAsia="zh-CN"/>
              </w:rPr>
            </w:pPr>
            <w:r>
              <w:rPr>
                <w:rFonts w:hint="eastAsia"/>
                <w:sz w:val="15"/>
                <w:lang w:val="en-US" w:eastAsia="zh-CN"/>
              </w:rPr>
              <w:t>12册</w:t>
            </w:r>
          </w:p>
        </w:tc>
        <w:tc>
          <w:tcPr>
            <w:tcW w:w="102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15"/>
                <w:lang w:val="en-US" w:eastAsia="zh-CN"/>
              </w:rPr>
            </w:pPr>
            <w:r>
              <w:rPr>
                <w:rFonts w:hint="eastAsia"/>
                <w:sz w:val="15"/>
                <w:lang w:val="en-US" w:eastAsia="zh-CN"/>
              </w:rPr>
              <w:t>12册</w:t>
            </w:r>
          </w:p>
        </w:tc>
        <w:tc>
          <w:tcPr>
            <w:tcW w:w="1028"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15"/>
                <w:lang w:val="en-US" w:eastAsia="zh-CN"/>
              </w:rPr>
            </w:pPr>
            <w:r>
              <w:rPr>
                <w:rFonts w:hint="eastAsia"/>
                <w:sz w:val="15"/>
                <w:lang w:val="en-US" w:eastAsia="zh-CN"/>
              </w:rPr>
              <w:t>10</w:t>
            </w:r>
          </w:p>
        </w:tc>
        <w:tc>
          <w:tcPr>
            <w:tcW w:w="1370"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15"/>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1029" w:type="dxa"/>
            <w:vMerge w:val="continue"/>
            <w:tcBorders>
              <w:top w:val="nil"/>
              <w:left w:val="single" w:color="auto" w:sz="6" w:space="0"/>
              <w:bottom w:val="nil"/>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1029" w:type="dxa"/>
            <w:gridSpan w:val="2"/>
            <w:vMerge w:val="continue"/>
            <w:tcBorders>
              <w:top w:val="nil"/>
              <w:left w:val="single" w:color="auto" w:sz="6" w:space="0"/>
              <w:bottom w:val="nil"/>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1168" w:type="dxa"/>
            <w:gridSpan w:val="2"/>
            <w:vMerge w:val="continue"/>
            <w:tcBorders>
              <w:top w:val="nil"/>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88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15"/>
                <w:lang w:val="en-US" w:eastAsia="zh-CN"/>
              </w:rPr>
            </w:pPr>
            <w:r>
              <w:rPr>
                <w:rFonts w:hint="eastAsia"/>
                <w:sz w:val="15"/>
                <w:lang w:val="en-US" w:eastAsia="zh-CN"/>
              </w:rPr>
              <w:t>编制统计年报册数</w:t>
            </w:r>
          </w:p>
        </w:tc>
        <w:tc>
          <w:tcPr>
            <w:tcW w:w="102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rPr>
                <w:rFonts w:hint="default"/>
                <w:sz w:val="15"/>
                <w:lang w:val="en-US" w:eastAsia="zh-CN"/>
              </w:rPr>
            </w:pPr>
            <w:r>
              <w:rPr>
                <w:rFonts w:hint="eastAsia"/>
                <w:sz w:val="15"/>
                <w:lang w:val="en-US" w:eastAsia="zh-CN"/>
              </w:rPr>
              <w:t>5</w:t>
            </w:r>
          </w:p>
        </w:tc>
        <w:tc>
          <w:tcPr>
            <w:tcW w:w="1029"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eastAsia"/>
                <w:sz w:val="15"/>
                <w:lang w:val="en-US" w:eastAsia="zh-CN"/>
              </w:rPr>
            </w:pPr>
            <w:r>
              <w:rPr>
                <w:rFonts w:hint="eastAsia"/>
                <w:sz w:val="15"/>
                <w:lang w:val="en-US" w:eastAsia="zh-CN"/>
              </w:rPr>
              <w:t>1册</w:t>
            </w:r>
          </w:p>
        </w:tc>
        <w:tc>
          <w:tcPr>
            <w:tcW w:w="102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eastAsia"/>
                <w:sz w:val="15"/>
                <w:lang w:val="en-US" w:eastAsia="zh-CN"/>
              </w:rPr>
            </w:pPr>
            <w:r>
              <w:rPr>
                <w:rFonts w:hint="eastAsia"/>
                <w:sz w:val="15"/>
                <w:lang w:val="en-US" w:eastAsia="zh-CN"/>
              </w:rPr>
              <w:t>1册</w:t>
            </w:r>
          </w:p>
        </w:tc>
        <w:tc>
          <w:tcPr>
            <w:tcW w:w="1028"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15"/>
                <w:lang w:val="en-US" w:eastAsia="zh-CN"/>
              </w:rPr>
            </w:pPr>
            <w:r>
              <w:rPr>
                <w:rFonts w:hint="eastAsia"/>
                <w:sz w:val="15"/>
                <w:lang w:val="en-US" w:eastAsia="zh-CN"/>
              </w:rPr>
              <w:t>5</w:t>
            </w:r>
          </w:p>
        </w:tc>
        <w:tc>
          <w:tcPr>
            <w:tcW w:w="1370"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15"/>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1029" w:type="dxa"/>
            <w:vMerge w:val="continue"/>
            <w:tcBorders>
              <w:top w:val="nil"/>
              <w:left w:val="single" w:color="auto" w:sz="6" w:space="0"/>
              <w:bottom w:val="nil"/>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1029" w:type="dxa"/>
            <w:gridSpan w:val="2"/>
            <w:vMerge w:val="continue"/>
            <w:tcBorders>
              <w:top w:val="nil"/>
              <w:left w:val="single" w:color="auto" w:sz="6" w:space="0"/>
              <w:bottom w:val="nil"/>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1168" w:type="dxa"/>
            <w:gridSpan w:val="2"/>
            <w:vMerge w:val="restart"/>
            <w:tcBorders>
              <w:top w:val="single" w:color="auto" w:sz="6" w:space="0"/>
              <w:left w:val="single" w:color="auto" w:sz="6" w:space="0"/>
              <w:bottom w:val="nil"/>
              <w:right w:val="single" w:color="auto" w:sz="6" w:space="0"/>
              <w:tl2br w:val="nil"/>
              <w:tr2bl w:val="nil"/>
            </w:tcBorders>
            <w:vAlign w:val="center"/>
          </w:tcPr>
          <w:p>
            <w:pPr>
              <w:autoSpaceDE w:val="0"/>
              <w:autoSpaceDN w:val="0"/>
              <w:adjustRightInd w:val="0"/>
              <w:jc w:val="center"/>
              <w:rPr>
                <w:rFonts w:hint="default" w:eastAsia="Times New Roman"/>
                <w:color w:val="000000"/>
                <w:kern w:val="0"/>
                <w:sz w:val="13"/>
              </w:rPr>
            </w:pPr>
            <w:r>
              <w:rPr>
                <w:rFonts w:hint="eastAsia" w:ascii="宋体"/>
                <w:color w:val="000000"/>
                <w:kern w:val="0"/>
                <w:sz w:val="13"/>
              </w:rPr>
              <w:t>质量指标</w:t>
            </w:r>
          </w:p>
        </w:tc>
        <w:tc>
          <w:tcPr>
            <w:tcW w:w="88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rPr>
                <w:rFonts w:hint="eastAsia"/>
                <w:sz w:val="15"/>
                <w:lang w:val="en-US" w:eastAsia="zh-CN"/>
              </w:rPr>
            </w:pPr>
            <w:r>
              <w:rPr>
                <w:rFonts w:hint="eastAsia"/>
                <w:sz w:val="15"/>
                <w:lang w:val="en-US" w:eastAsia="zh-CN"/>
              </w:rPr>
              <w:t>统计年鉴编制完成度</w:t>
            </w:r>
          </w:p>
        </w:tc>
        <w:tc>
          <w:tcPr>
            <w:tcW w:w="102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15"/>
                <w:lang w:val="en-US" w:eastAsia="zh-CN"/>
              </w:rPr>
            </w:pPr>
            <w:r>
              <w:rPr>
                <w:rFonts w:hint="eastAsia"/>
                <w:sz w:val="15"/>
                <w:lang w:val="en-US" w:eastAsia="zh-CN"/>
              </w:rPr>
              <w:t>10</w:t>
            </w:r>
          </w:p>
        </w:tc>
        <w:tc>
          <w:tcPr>
            <w:tcW w:w="1029"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15"/>
                <w:lang w:val="en-US" w:eastAsia="zh-CN"/>
              </w:rPr>
            </w:pPr>
            <w:r>
              <w:rPr>
                <w:rFonts w:hint="eastAsia"/>
                <w:sz w:val="15"/>
                <w:lang w:val="en-US" w:eastAsia="zh-CN"/>
              </w:rPr>
              <w:t>100%</w:t>
            </w:r>
          </w:p>
        </w:tc>
        <w:tc>
          <w:tcPr>
            <w:tcW w:w="102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15"/>
                <w:lang w:val="en-US" w:eastAsia="zh-CN"/>
              </w:rPr>
            </w:pPr>
            <w:r>
              <w:rPr>
                <w:rFonts w:hint="eastAsia"/>
                <w:sz w:val="15"/>
                <w:lang w:val="en-US" w:eastAsia="zh-CN"/>
              </w:rPr>
              <w:t>100%</w:t>
            </w:r>
          </w:p>
        </w:tc>
        <w:tc>
          <w:tcPr>
            <w:tcW w:w="1028"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15"/>
                <w:lang w:val="en-US" w:eastAsia="zh-CN"/>
              </w:rPr>
            </w:pPr>
            <w:r>
              <w:rPr>
                <w:rFonts w:hint="eastAsia"/>
                <w:sz w:val="15"/>
                <w:lang w:val="en-US" w:eastAsia="zh-CN"/>
              </w:rPr>
              <w:t>10</w:t>
            </w:r>
          </w:p>
        </w:tc>
        <w:tc>
          <w:tcPr>
            <w:tcW w:w="1370"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15"/>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79" w:hRule="atLeast"/>
          <w:jc w:val="center"/>
        </w:trPr>
        <w:tc>
          <w:tcPr>
            <w:tcW w:w="1029" w:type="dxa"/>
            <w:vMerge w:val="continue"/>
            <w:tcBorders>
              <w:top w:val="nil"/>
              <w:left w:val="single" w:color="auto" w:sz="6" w:space="0"/>
              <w:bottom w:val="nil"/>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1029" w:type="dxa"/>
            <w:gridSpan w:val="2"/>
            <w:vMerge w:val="continue"/>
            <w:tcBorders>
              <w:top w:val="nil"/>
              <w:left w:val="single" w:color="auto" w:sz="6" w:space="0"/>
              <w:bottom w:val="nil"/>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1168" w:type="dxa"/>
            <w:gridSpan w:val="2"/>
            <w:vMerge w:val="continue"/>
            <w:tcBorders>
              <w:top w:val="nil"/>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88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rPr>
                <w:rFonts w:hint="eastAsia"/>
                <w:sz w:val="15"/>
                <w:lang w:val="en-US" w:eastAsia="zh-CN"/>
              </w:rPr>
            </w:pPr>
            <w:r>
              <w:rPr>
                <w:rFonts w:hint="eastAsia"/>
                <w:sz w:val="15"/>
                <w:lang w:val="en-US" w:eastAsia="zh-CN"/>
              </w:rPr>
              <w:t>提供数据有效率</w:t>
            </w:r>
          </w:p>
        </w:tc>
        <w:tc>
          <w:tcPr>
            <w:tcW w:w="102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15"/>
                <w:lang w:val="en-US" w:eastAsia="zh-CN"/>
              </w:rPr>
            </w:pPr>
            <w:r>
              <w:rPr>
                <w:rFonts w:hint="eastAsia"/>
                <w:sz w:val="15"/>
                <w:lang w:val="en-US" w:eastAsia="zh-CN"/>
              </w:rPr>
              <w:t>5</w:t>
            </w:r>
          </w:p>
        </w:tc>
        <w:tc>
          <w:tcPr>
            <w:tcW w:w="1029"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eastAsia"/>
                <w:sz w:val="15"/>
                <w:lang w:val="en-US" w:eastAsia="zh-CN"/>
              </w:rPr>
            </w:pPr>
            <w:r>
              <w:rPr>
                <w:rFonts w:hint="eastAsia"/>
                <w:sz w:val="15"/>
                <w:lang w:val="en-US" w:eastAsia="zh-CN"/>
              </w:rPr>
              <w:t>100%</w:t>
            </w:r>
          </w:p>
        </w:tc>
        <w:tc>
          <w:tcPr>
            <w:tcW w:w="102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15"/>
                <w:lang w:val="en-US" w:eastAsia="zh-CN"/>
              </w:rPr>
            </w:pPr>
            <w:r>
              <w:rPr>
                <w:rFonts w:hint="eastAsia"/>
                <w:sz w:val="15"/>
                <w:lang w:val="en-US" w:eastAsia="zh-CN"/>
              </w:rPr>
              <w:t>100%</w:t>
            </w:r>
          </w:p>
        </w:tc>
        <w:tc>
          <w:tcPr>
            <w:tcW w:w="1028"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15"/>
                <w:lang w:val="en-US" w:eastAsia="zh-CN"/>
              </w:rPr>
            </w:pPr>
            <w:r>
              <w:rPr>
                <w:rFonts w:hint="eastAsia"/>
                <w:sz w:val="15"/>
                <w:lang w:val="en-US" w:eastAsia="zh-CN"/>
              </w:rPr>
              <w:t>5</w:t>
            </w:r>
          </w:p>
        </w:tc>
        <w:tc>
          <w:tcPr>
            <w:tcW w:w="1370"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15"/>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1029" w:type="dxa"/>
            <w:vMerge w:val="continue"/>
            <w:tcBorders>
              <w:top w:val="nil"/>
              <w:left w:val="single" w:color="auto" w:sz="6" w:space="0"/>
              <w:bottom w:val="nil"/>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1029" w:type="dxa"/>
            <w:gridSpan w:val="2"/>
            <w:vMerge w:val="continue"/>
            <w:tcBorders>
              <w:top w:val="nil"/>
              <w:left w:val="single" w:color="auto" w:sz="6" w:space="0"/>
              <w:bottom w:val="nil"/>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1168" w:type="dxa"/>
            <w:gridSpan w:val="2"/>
            <w:vMerge w:val="restart"/>
            <w:tcBorders>
              <w:top w:val="single" w:color="auto" w:sz="6" w:space="0"/>
              <w:left w:val="single" w:color="auto" w:sz="6" w:space="0"/>
              <w:bottom w:val="nil"/>
              <w:right w:val="single" w:color="auto" w:sz="6" w:space="0"/>
              <w:tl2br w:val="nil"/>
              <w:tr2bl w:val="nil"/>
            </w:tcBorders>
            <w:vAlign w:val="center"/>
          </w:tcPr>
          <w:p>
            <w:pPr>
              <w:autoSpaceDE w:val="0"/>
              <w:autoSpaceDN w:val="0"/>
              <w:adjustRightInd w:val="0"/>
              <w:jc w:val="center"/>
              <w:rPr>
                <w:rFonts w:hint="default" w:eastAsia="Times New Roman"/>
                <w:color w:val="000000"/>
                <w:kern w:val="0"/>
                <w:sz w:val="13"/>
              </w:rPr>
            </w:pPr>
            <w:r>
              <w:rPr>
                <w:rFonts w:hint="eastAsia" w:ascii="宋体"/>
                <w:color w:val="000000"/>
                <w:kern w:val="0"/>
                <w:sz w:val="13"/>
              </w:rPr>
              <w:t>时效指标</w:t>
            </w:r>
          </w:p>
        </w:tc>
        <w:tc>
          <w:tcPr>
            <w:tcW w:w="88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15"/>
                <w:lang w:val="en-US" w:eastAsia="zh-CN"/>
              </w:rPr>
            </w:pPr>
            <w:r>
              <w:rPr>
                <w:rFonts w:hint="eastAsia"/>
                <w:sz w:val="15"/>
                <w:lang w:val="en-US" w:eastAsia="zh-CN"/>
              </w:rPr>
              <w:t>每月完成月报编制印刷</w:t>
            </w:r>
          </w:p>
        </w:tc>
        <w:tc>
          <w:tcPr>
            <w:tcW w:w="102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15"/>
                <w:lang w:val="en-US" w:eastAsia="zh-CN"/>
              </w:rPr>
            </w:pPr>
            <w:r>
              <w:rPr>
                <w:rFonts w:hint="eastAsia"/>
                <w:sz w:val="15"/>
                <w:lang w:val="en-US" w:eastAsia="zh-CN"/>
              </w:rPr>
              <w:t>5</w:t>
            </w:r>
          </w:p>
        </w:tc>
        <w:tc>
          <w:tcPr>
            <w:tcW w:w="1029"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rPr>
                <w:rFonts w:hint="default"/>
                <w:sz w:val="15"/>
                <w:lang w:val="en-US" w:eastAsia="zh-CN"/>
              </w:rPr>
            </w:pPr>
            <w:r>
              <w:rPr>
                <w:rFonts w:hint="eastAsia"/>
                <w:sz w:val="15"/>
                <w:lang w:val="en-US" w:eastAsia="zh-CN"/>
              </w:rPr>
              <w:t>次月5号前</w:t>
            </w:r>
          </w:p>
        </w:tc>
        <w:tc>
          <w:tcPr>
            <w:tcW w:w="102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15"/>
                <w:lang w:val="en-US" w:eastAsia="zh-CN"/>
              </w:rPr>
            </w:pPr>
            <w:r>
              <w:rPr>
                <w:rFonts w:hint="eastAsia"/>
                <w:sz w:val="15"/>
                <w:lang w:val="en-US" w:eastAsia="zh-CN"/>
              </w:rPr>
              <w:t>次月5号前</w:t>
            </w:r>
          </w:p>
        </w:tc>
        <w:tc>
          <w:tcPr>
            <w:tcW w:w="1028"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15"/>
                <w:lang w:val="en-US" w:eastAsia="zh-CN"/>
              </w:rPr>
            </w:pPr>
            <w:r>
              <w:rPr>
                <w:rFonts w:hint="eastAsia"/>
                <w:sz w:val="15"/>
                <w:lang w:val="en-US" w:eastAsia="zh-CN"/>
              </w:rPr>
              <w:t>5</w:t>
            </w:r>
          </w:p>
        </w:tc>
        <w:tc>
          <w:tcPr>
            <w:tcW w:w="1370"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15"/>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1" w:hRule="atLeast"/>
          <w:jc w:val="center"/>
        </w:trPr>
        <w:tc>
          <w:tcPr>
            <w:tcW w:w="1029" w:type="dxa"/>
            <w:vMerge w:val="continue"/>
            <w:tcBorders>
              <w:top w:val="nil"/>
              <w:left w:val="single" w:color="auto" w:sz="6" w:space="0"/>
              <w:bottom w:val="nil"/>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1029" w:type="dxa"/>
            <w:gridSpan w:val="2"/>
            <w:vMerge w:val="continue"/>
            <w:tcBorders>
              <w:top w:val="nil"/>
              <w:left w:val="single" w:color="auto" w:sz="6" w:space="0"/>
              <w:bottom w:val="nil"/>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1168" w:type="dxa"/>
            <w:gridSpan w:val="2"/>
            <w:vMerge w:val="continue"/>
            <w:tcBorders>
              <w:top w:val="nil"/>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88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eastAsia"/>
                <w:sz w:val="32"/>
                <w:lang w:val="en-US" w:eastAsia="zh-CN"/>
              </w:rPr>
            </w:pPr>
            <w:r>
              <w:rPr>
                <w:rFonts w:hint="eastAsia"/>
                <w:sz w:val="32"/>
                <w:lang w:val="en-US" w:eastAsia="zh-CN"/>
              </w:rPr>
              <w:t>年鉴按时完成</w:t>
            </w:r>
          </w:p>
        </w:tc>
        <w:tc>
          <w:tcPr>
            <w:tcW w:w="102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eastAsia"/>
                <w:sz w:val="32"/>
                <w:lang w:val="en-US" w:eastAsia="zh-CN"/>
              </w:rPr>
            </w:pPr>
            <w:r>
              <w:rPr>
                <w:rFonts w:hint="eastAsia"/>
                <w:sz w:val="32"/>
                <w:lang w:val="en-US" w:eastAsia="zh-CN"/>
              </w:rPr>
              <w:t>5</w:t>
            </w:r>
          </w:p>
        </w:tc>
        <w:tc>
          <w:tcPr>
            <w:tcW w:w="1029"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eastAsia"/>
                <w:sz w:val="15"/>
                <w:lang w:val="en-US" w:eastAsia="zh-CN"/>
              </w:rPr>
            </w:pPr>
            <w:r>
              <w:rPr>
                <w:rFonts w:hint="eastAsia"/>
                <w:sz w:val="15"/>
                <w:lang w:val="en-US" w:eastAsia="zh-CN"/>
              </w:rPr>
              <w:t>次年一月</w:t>
            </w:r>
          </w:p>
        </w:tc>
        <w:tc>
          <w:tcPr>
            <w:tcW w:w="102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rPr>
                <w:rFonts w:hint="eastAsia"/>
                <w:sz w:val="15"/>
                <w:lang w:val="en-US" w:eastAsia="zh-CN"/>
              </w:rPr>
            </w:pPr>
            <w:r>
              <w:rPr>
                <w:rFonts w:hint="eastAsia"/>
                <w:sz w:val="15"/>
                <w:lang w:val="en-US" w:eastAsia="zh-CN"/>
              </w:rPr>
              <w:t>次年1月</w:t>
            </w:r>
          </w:p>
        </w:tc>
        <w:tc>
          <w:tcPr>
            <w:tcW w:w="1028"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eastAsia"/>
                <w:sz w:val="15"/>
                <w:lang w:val="en-US" w:eastAsia="zh-CN"/>
              </w:rPr>
            </w:pPr>
            <w:r>
              <w:rPr>
                <w:rFonts w:hint="eastAsia"/>
                <w:sz w:val="15"/>
                <w:lang w:val="en-US" w:eastAsia="zh-CN"/>
              </w:rPr>
              <w:t>5</w:t>
            </w:r>
          </w:p>
        </w:tc>
        <w:tc>
          <w:tcPr>
            <w:tcW w:w="1370"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15"/>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1" w:hRule="atLeast"/>
          <w:jc w:val="center"/>
        </w:trPr>
        <w:tc>
          <w:tcPr>
            <w:tcW w:w="1029" w:type="dxa"/>
            <w:vMerge w:val="continue"/>
            <w:tcBorders>
              <w:top w:val="nil"/>
              <w:left w:val="single" w:color="auto" w:sz="6" w:space="0"/>
              <w:bottom w:val="nil"/>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1029" w:type="dxa"/>
            <w:gridSpan w:val="2"/>
            <w:vMerge w:val="continue"/>
            <w:tcBorders>
              <w:top w:val="nil"/>
              <w:left w:val="single" w:color="auto" w:sz="6" w:space="0"/>
              <w:bottom w:val="nil"/>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1168" w:type="dxa"/>
            <w:gridSpan w:val="2"/>
            <w:vMerge w:val="restart"/>
            <w:tcBorders>
              <w:top w:val="single" w:color="auto" w:sz="6" w:space="0"/>
              <w:left w:val="single" w:color="auto" w:sz="6" w:space="0"/>
              <w:bottom w:val="nil"/>
              <w:right w:val="single" w:color="auto" w:sz="6" w:space="0"/>
              <w:tl2br w:val="nil"/>
              <w:tr2bl w:val="nil"/>
            </w:tcBorders>
            <w:vAlign w:val="center"/>
          </w:tcPr>
          <w:p>
            <w:pPr>
              <w:autoSpaceDE w:val="0"/>
              <w:autoSpaceDN w:val="0"/>
              <w:adjustRightInd w:val="0"/>
              <w:jc w:val="center"/>
              <w:rPr>
                <w:rFonts w:hint="default" w:eastAsia="Times New Roman"/>
                <w:color w:val="000000"/>
                <w:kern w:val="0"/>
                <w:sz w:val="13"/>
              </w:rPr>
            </w:pPr>
            <w:r>
              <w:rPr>
                <w:rFonts w:hint="eastAsia" w:ascii="宋体"/>
                <w:color w:val="000000"/>
                <w:kern w:val="0"/>
                <w:sz w:val="13"/>
              </w:rPr>
              <w:t>成本指标</w:t>
            </w:r>
          </w:p>
        </w:tc>
        <w:tc>
          <w:tcPr>
            <w:tcW w:w="88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rPr>
                <w:rFonts w:hint="eastAsia"/>
                <w:sz w:val="32"/>
                <w:lang w:val="en-US" w:eastAsia="zh-CN"/>
              </w:rPr>
            </w:pPr>
            <w:r>
              <w:rPr>
                <w:rFonts w:hint="eastAsia"/>
                <w:sz w:val="32"/>
                <w:lang w:val="en-US" w:eastAsia="zh-CN"/>
              </w:rPr>
              <w:t>印刷年鉴费用成本</w:t>
            </w:r>
          </w:p>
        </w:tc>
        <w:tc>
          <w:tcPr>
            <w:tcW w:w="102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eastAsia"/>
                <w:sz w:val="32"/>
                <w:lang w:val="en-US" w:eastAsia="zh-CN"/>
              </w:rPr>
            </w:pPr>
            <w:r>
              <w:rPr>
                <w:rFonts w:hint="eastAsia"/>
                <w:sz w:val="32"/>
                <w:lang w:val="en-US" w:eastAsia="zh-CN"/>
              </w:rPr>
              <w:t>5</w:t>
            </w:r>
          </w:p>
        </w:tc>
        <w:tc>
          <w:tcPr>
            <w:tcW w:w="1029"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eastAsia"/>
                <w:sz w:val="15"/>
                <w:lang w:val="en-US" w:eastAsia="zh-CN"/>
              </w:rPr>
            </w:pPr>
            <w:r>
              <w:rPr>
                <w:rFonts w:hint="eastAsia"/>
                <w:sz w:val="15"/>
                <w:lang w:val="en-US" w:eastAsia="zh-CN"/>
              </w:rPr>
              <w:t>&lt;0.6万元</w:t>
            </w:r>
          </w:p>
        </w:tc>
        <w:tc>
          <w:tcPr>
            <w:tcW w:w="102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eastAsia"/>
                <w:sz w:val="15"/>
                <w:lang w:val="en-US" w:eastAsia="zh-CN"/>
              </w:rPr>
            </w:pPr>
            <w:r>
              <w:rPr>
                <w:rFonts w:hint="eastAsia"/>
                <w:sz w:val="15"/>
                <w:lang w:val="en-US" w:eastAsia="zh-CN"/>
              </w:rPr>
              <w:t>&lt;0.6万元</w:t>
            </w:r>
          </w:p>
        </w:tc>
        <w:tc>
          <w:tcPr>
            <w:tcW w:w="1028"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eastAsia"/>
                <w:sz w:val="15"/>
                <w:lang w:val="en-US" w:eastAsia="zh-CN"/>
              </w:rPr>
            </w:pPr>
            <w:r>
              <w:rPr>
                <w:rFonts w:hint="eastAsia"/>
                <w:sz w:val="15"/>
                <w:lang w:val="en-US" w:eastAsia="zh-CN"/>
              </w:rPr>
              <w:t>5</w:t>
            </w:r>
          </w:p>
        </w:tc>
        <w:tc>
          <w:tcPr>
            <w:tcW w:w="1370"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15"/>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1" w:hRule="atLeast"/>
          <w:jc w:val="center"/>
        </w:trPr>
        <w:tc>
          <w:tcPr>
            <w:tcW w:w="1029" w:type="dxa"/>
            <w:vMerge w:val="continue"/>
            <w:tcBorders>
              <w:top w:val="nil"/>
              <w:left w:val="single" w:color="auto" w:sz="6" w:space="0"/>
              <w:bottom w:val="nil"/>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1029" w:type="dxa"/>
            <w:gridSpan w:val="2"/>
            <w:vMerge w:val="continue"/>
            <w:tcBorders>
              <w:top w:val="nil"/>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1168" w:type="dxa"/>
            <w:gridSpan w:val="2"/>
            <w:vMerge w:val="continue"/>
            <w:tcBorders>
              <w:top w:val="nil"/>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88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eastAsia"/>
                <w:sz w:val="32"/>
                <w:lang w:val="en-US" w:eastAsia="zh-CN"/>
              </w:rPr>
            </w:pPr>
            <w:r>
              <w:rPr>
                <w:rFonts w:hint="eastAsia"/>
                <w:sz w:val="32"/>
                <w:lang w:val="en-US" w:eastAsia="zh-CN"/>
              </w:rPr>
              <w:t>印刷月报成本</w:t>
            </w:r>
          </w:p>
        </w:tc>
        <w:tc>
          <w:tcPr>
            <w:tcW w:w="102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eastAsia"/>
                <w:sz w:val="32"/>
                <w:lang w:val="en-US" w:eastAsia="zh-CN"/>
              </w:rPr>
            </w:pPr>
            <w:r>
              <w:rPr>
                <w:rFonts w:hint="eastAsia"/>
                <w:sz w:val="32"/>
                <w:lang w:val="en-US" w:eastAsia="zh-CN"/>
              </w:rPr>
              <w:t>5</w:t>
            </w:r>
          </w:p>
        </w:tc>
        <w:tc>
          <w:tcPr>
            <w:tcW w:w="1029"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15"/>
              </w:rPr>
            </w:pPr>
            <w:r>
              <w:rPr>
                <w:rFonts w:hint="eastAsia"/>
                <w:sz w:val="15"/>
                <w:lang w:val="en-US" w:eastAsia="zh-CN"/>
              </w:rPr>
              <w:t>&lt;0.4万元</w:t>
            </w:r>
          </w:p>
        </w:tc>
        <w:tc>
          <w:tcPr>
            <w:tcW w:w="102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15"/>
              </w:rPr>
            </w:pPr>
            <w:r>
              <w:rPr>
                <w:rFonts w:hint="eastAsia"/>
                <w:sz w:val="15"/>
                <w:lang w:val="en-US" w:eastAsia="zh-CN"/>
              </w:rPr>
              <w:t>&lt;0.4万元</w:t>
            </w:r>
          </w:p>
        </w:tc>
        <w:tc>
          <w:tcPr>
            <w:tcW w:w="1028"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eastAsia"/>
                <w:sz w:val="15"/>
                <w:lang w:val="en-US" w:eastAsia="zh-CN"/>
              </w:rPr>
            </w:pPr>
            <w:r>
              <w:rPr>
                <w:rFonts w:hint="eastAsia"/>
                <w:sz w:val="15"/>
                <w:lang w:val="en-US" w:eastAsia="zh-CN"/>
              </w:rPr>
              <w:t>5</w:t>
            </w:r>
          </w:p>
        </w:tc>
        <w:tc>
          <w:tcPr>
            <w:tcW w:w="1370"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15"/>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29" w:hRule="atLeast"/>
          <w:jc w:val="center"/>
        </w:trPr>
        <w:tc>
          <w:tcPr>
            <w:tcW w:w="1029" w:type="dxa"/>
            <w:vMerge w:val="continue"/>
            <w:tcBorders>
              <w:top w:val="nil"/>
              <w:left w:val="single" w:color="auto" w:sz="6" w:space="0"/>
              <w:bottom w:val="nil"/>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1029" w:type="dxa"/>
            <w:gridSpan w:val="2"/>
            <w:vMerge w:val="restart"/>
            <w:tcBorders>
              <w:top w:val="single" w:color="auto" w:sz="6" w:space="0"/>
              <w:left w:val="single" w:color="auto" w:sz="6" w:space="0"/>
              <w:bottom w:val="nil"/>
              <w:right w:val="single" w:color="auto" w:sz="6" w:space="0"/>
              <w:tl2br w:val="nil"/>
              <w:tr2bl w:val="nil"/>
            </w:tcBorders>
            <w:vAlign w:val="center"/>
          </w:tcPr>
          <w:p>
            <w:pPr>
              <w:autoSpaceDE w:val="0"/>
              <w:autoSpaceDN w:val="0"/>
              <w:adjustRightInd w:val="0"/>
              <w:jc w:val="center"/>
              <w:rPr>
                <w:rFonts w:hint="default" w:eastAsia="Times New Roman"/>
                <w:color w:val="000000"/>
                <w:kern w:val="0"/>
                <w:sz w:val="13"/>
              </w:rPr>
            </w:pPr>
            <w:r>
              <w:rPr>
                <w:rFonts w:hint="eastAsia" w:ascii="宋体"/>
                <w:color w:val="000000"/>
                <w:kern w:val="0"/>
                <w:sz w:val="13"/>
                <w:lang w:val="en-US" w:eastAsia="zh-CN"/>
              </w:rPr>
              <w:t>4</w:t>
            </w:r>
            <w:r>
              <w:rPr>
                <w:rFonts w:hint="eastAsia" w:ascii="宋体"/>
                <w:color w:val="000000"/>
                <w:kern w:val="0"/>
                <w:sz w:val="13"/>
              </w:rPr>
              <w:t>0分)</w:t>
            </w:r>
            <w:r>
              <w:rPr>
                <w:rFonts w:hint="default"/>
                <w:color w:val="000000"/>
                <w:kern w:val="0"/>
                <w:sz w:val="13"/>
              </w:rPr>
              <w:t xml:space="preserve"> </w:t>
            </w:r>
            <w:r>
              <w:rPr>
                <w:rFonts w:hint="eastAsia" w:ascii="宋体"/>
                <w:color w:val="000000"/>
                <w:kern w:val="0"/>
                <w:sz w:val="13"/>
              </w:rPr>
              <w:t>效益指标</w:t>
            </w:r>
          </w:p>
        </w:tc>
        <w:tc>
          <w:tcPr>
            <w:tcW w:w="1168"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color w:val="000000"/>
                <w:kern w:val="0"/>
                <w:sz w:val="13"/>
              </w:rPr>
            </w:pPr>
            <w:r>
              <w:rPr>
                <w:rFonts w:hint="eastAsia" w:ascii="宋体"/>
                <w:color w:val="000000"/>
                <w:kern w:val="0"/>
                <w:sz w:val="13"/>
              </w:rPr>
              <w:t>经济效益指标</w:t>
            </w:r>
          </w:p>
        </w:tc>
        <w:tc>
          <w:tcPr>
            <w:tcW w:w="88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rPr>
                <w:rFonts w:hint="default"/>
                <w:sz w:val="15"/>
                <w:lang w:val="en-US" w:eastAsia="zh-CN"/>
              </w:rPr>
            </w:pPr>
          </w:p>
        </w:tc>
        <w:tc>
          <w:tcPr>
            <w:tcW w:w="102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32"/>
                <w:lang w:val="en-US" w:eastAsia="zh-CN"/>
              </w:rPr>
            </w:pPr>
          </w:p>
        </w:tc>
        <w:tc>
          <w:tcPr>
            <w:tcW w:w="1029"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rPr>
                <w:rFonts w:hint="default" w:eastAsia="Times New Roman"/>
                <w:sz w:val="15"/>
              </w:rPr>
            </w:pPr>
          </w:p>
        </w:tc>
        <w:tc>
          <w:tcPr>
            <w:tcW w:w="102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eastAsia"/>
                <w:sz w:val="15"/>
                <w:lang w:eastAsia="zh-CN"/>
              </w:rPr>
            </w:pPr>
          </w:p>
        </w:tc>
        <w:tc>
          <w:tcPr>
            <w:tcW w:w="1028"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15"/>
                <w:lang w:val="en-US" w:eastAsia="zh-CN"/>
              </w:rPr>
            </w:pPr>
          </w:p>
        </w:tc>
        <w:tc>
          <w:tcPr>
            <w:tcW w:w="1370"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15"/>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029" w:type="dxa"/>
            <w:vMerge w:val="continue"/>
            <w:tcBorders>
              <w:top w:val="nil"/>
              <w:left w:val="single" w:color="auto" w:sz="6" w:space="0"/>
              <w:bottom w:val="nil"/>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1029" w:type="dxa"/>
            <w:gridSpan w:val="2"/>
            <w:vMerge w:val="continue"/>
            <w:tcBorders>
              <w:top w:val="nil"/>
              <w:left w:val="single" w:color="auto" w:sz="6" w:space="0"/>
              <w:bottom w:val="nil"/>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1168"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color w:val="000000"/>
                <w:kern w:val="0"/>
                <w:sz w:val="13"/>
              </w:rPr>
            </w:pPr>
            <w:r>
              <w:rPr>
                <w:rFonts w:hint="eastAsia" w:ascii="宋体"/>
                <w:color w:val="000000"/>
                <w:kern w:val="0"/>
                <w:sz w:val="13"/>
              </w:rPr>
              <w:t>社会效益指标</w:t>
            </w:r>
          </w:p>
        </w:tc>
        <w:tc>
          <w:tcPr>
            <w:tcW w:w="88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rPr>
                <w:rFonts w:hint="default"/>
                <w:sz w:val="15"/>
                <w:lang w:val="en-US" w:eastAsia="zh-CN"/>
              </w:rPr>
            </w:pPr>
            <w:r>
              <w:rPr>
                <w:rFonts w:hint="eastAsia"/>
                <w:sz w:val="15"/>
                <w:lang w:val="en-US" w:eastAsia="zh-CN"/>
              </w:rPr>
              <w:t>有效保障日常工作运转，为政府决策提供依据</w:t>
            </w:r>
          </w:p>
        </w:tc>
        <w:tc>
          <w:tcPr>
            <w:tcW w:w="102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32"/>
                <w:lang w:val="en-US" w:eastAsia="zh-CN"/>
              </w:rPr>
            </w:pPr>
            <w:r>
              <w:rPr>
                <w:rFonts w:hint="eastAsia"/>
                <w:sz w:val="32"/>
                <w:lang w:val="en-US" w:eastAsia="zh-CN"/>
              </w:rPr>
              <w:t>15</w:t>
            </w:r>
          </w:p>
        </w:tc>
        <w:tc>
          <w:tcPr>
            <w:tcW w:w="1029"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rPr>
                <w:rFonts w:hint="default"/>
                <w:sz w:val="15"/>
                <w:lang w:val="en-US" w:eastAsia="zh-CN"/>
              </w:rPr>
            </w:pPr>
            <w:r>
              <w:rPr>
                <w:rFonts w:hint="eastAsia"/>
                <w:sz w:val="15"/>
                <w:lang w:val="en-US" w:eastAsia="zh-CN"/>
              </w:rPr>
              <w:t>优良中差</w:t>
            </w:r>
          </w:p>
        </w:tc>
        <w:tc>
          <w:tcPr>
            <w:tcW w:w="102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rPr>
                <w:rFonts w:hint="default"/>
                <w:sz w:val="15"/>
                <w:lang w:val="en-US" w:eastAsia="zh-CN"/>
              </w:rPr>
            </w:pPr>
            <w:r>
              <w:rPr>
                <w:rFonts w:hint="eastAsia"/>
                <w:sz w:val="15"/>
                <w:lang w:val="en-US" w:eastAsia="zh-CN"/>
              </w:rPr>
              <w:t>优良中差</w:t>
            </w:r>
          </w:p>
        </w:tc>
        <w:tc>
          <w:tcPr>
            <w:tcW w:w="1028"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15"/>
                <w:lang w:val="en-US" w:eastAsia="zh-CN"/>
              </w:rPr>
            </w:pPr>
            <w:r>
              <w:rPr>
                <w:rFonts w:hint="eastAsia"/>
                <w:sz w:val="15"/>
                <w:lang w:val="en-US" w:eastAsia="zh-CN"/>
              </w:rPr>
              <w:t>15</w:t>
            </w:r>
          </w:p>
        </w:tc>
        <w:tc>
          <w:tcPr>
            <w:tcW w:w="1370"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15"/>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1" w:hRule="atLeast"/>
          <w:jc w:val="center"/>
        </w:trPr>
        <w:tc>
          <w:tcPr>
            <w:tcW w:w="1029" w:type="dxa"/>
            <w:vMerge w:val="continue"/>
            <w:tcBorders>
              <w:top w:val="nil"/>
              <w:left w:val="single" w:color="auto" w:sz="6" w:space="0"/>
              <w:bottom w:val="nil"/>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1029" w:type="dxa"/>
            <w:gridSpan w:val="2"/>
            <w:vMerge w:val="continue"/>
            <w:tcBorders>
              <w:top w:val="nil"/>
              <w:left w:val="single" w:color="auto" w:sz="6" w:space="0"/>
              <w:bottom w:val="nil"/>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1168"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color w:val="000000"/>
                <w:kern w:val="0"/>
                <w:sz w:val="13"/>
              </w:rPr>
            </w:pPr>
            <w:r>
              <w:rPr>
                <w:rFonts w:hint="eastAsia" w:ascii="宋体"/>
                <w:color w:val="000000"/>
                <w:kern w:val="0"/>
                <w:sz w:val="13"/>
              </w:rPr>
              <w:t>生态效益指标</w:t>
            </w:r>
          </w:p>
        </w:tc>
        <w:tc>
          <w:tcPr>
            <w:tcW w:w="88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102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1029"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15"/>
              </w:rPr>
            </w:pPr>
          </w:p>
        </w:tc>
        <w:tc>
          <w:tcPr>
            <w:tcW w:w="102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15"/>
              </w:rPr>
            </w:pPr>
          </w:p>
        </w:tc>
        <w:tc>
          <w:tcPr>
            <w:tcW w:w="1028"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15"/>
              </w:rPr>
            </w:pPr>
          </w:p>
        </w:tc>
        <w:tc>
          <w:tcPr>
            <w:tcW w:w="1370"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15"/>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94" w:hRule="atLeast"/>
          <w:jc w:val="center"/>
        </w:trPr>
        <w:tc>
          <w:tcPr>
            <w:tcW w:w="1029" w:type="dxa"/>
            <w:vMerge w:val="continue"/>
            <w:tcBorders>
              <w:top w:val="nil"/>
              <w:left w:val="single" w:color="auto" w:sz="6" w:space="0"/>
              <w:bottom w:val="nil"/>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1029" w:type="dxa"/>
            <w:gridSpan w:val="2"/>
            <w:vMerge w:val="continue"/>
            <w:tcBorders>
              <w:top w:val="nil"/>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1168"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color w:val="000000"/>
                <w:kern w:val="0"/>
                <w:sz w:val="13"/>
              </w:rPr>
            </w:pPr>
            <w:r>
              <w:rPr>
                <w:rFonts w:hint="eastAsia" w:ascii="宋体"/>
                <w:color w:val="000000"/>
                <w:kern w:val="0"/>
                <w:sz w:val="13"/>
              </w:rPr>
              <w:t>可持续影响指标</w:t>
            </w:r>
          </w:p>
        </w:tc>
        <w:tc>
          <w:tcPr>
            <w:tcW w:w="88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rPr>
                <w:rFonts w:hint="default"/>
                <w:sz w:val="15"/>
                <w:lang w:val="en-US" w:eastAsia="zh-CN"/>
              </w:rPr>
            </w:pPr>
            <w:r>
              <w:rPr>
                <w:rFonts w:hint="eastAsia"/>
                <w:sz w:val="15"/>
                <w:lang w:val="en-US" w:eastAsia="zh-CN"/>
              </w:rPr>
              <w:t>统计数据有效储存，为日后工作提供便利</w:t>
            </w:r>
          </w:p>
        </w:tc>
        <w:tc>
          <w:tcPr>
            <w:tcW w:w="102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eastAsia"/>
                <w:sz w:val="32"/>
                <w:lang w:val="en-US" w:eastAsia="zh-CN"/>
              </w:rPr>
            </w:pPr>
            <w:r>
              <w:rPr>
                <w:rFonts w:hint="eastAsia"/>
                <w:sz w:val="32"/>
                <w:lang w:val="en-US" w:eastAsia="zh-CN"/>
              </w:rPr>
              <w:t>15</w:t>
            </w:r>
          </w:p>
        </w:tc>
        <w:tc>
          <w:tcPr>
            <w:tcW w:w="1029"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rPr>
                <w:rFonts w:hint="eastAsia"/>
                <w:sz w:val="15"/>
                <w:lang w:val="en-US" w:eastAsia="zh-CN"/>
              </w:rPr>
            </w:pPr>
            <w:r>
              <w:rPr>
                <w:rFonts w:hint="eastAsia"/>
                <w:sz w:val="15"/>
                <w:lang w:val="en-US" w:eastAsia="zh-CN"/>
              </w:rPr>
              <w:t>优良中差</w:t>
            </w:r>
          </w:p>
        </w:tc>
        <w:tc>
          <w:tcPr>
            <w:tcW w:w="102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rPr>
                <w:rFonts w:hint="eastAsia"/>
                <w:sz w:val="15"/>
                <w:lang w:val="en-US" w:eastAsia="zh-CN"/>
              </w:rPr>
            </w:pPr>
            <w:r>
              <w:rPr>
                <w:rFonts w:hint="eastAsia"/>
                <w:sz w:val="15"/>
                <w:lang w:val="en-US" w:eastAsia="zh-CN"/>
              </w:rPr>
              <w:t>优良中差</w:t>
            </w:r>
          </w:p>
        </w:tc>
        <w:tc>
          <w:tcPr>
            <w:tcW w:w="1028"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eastAsia"/>
                <w:sz w:val="15"/>
                <w:lang w:val="en-US" w:eastAsia="zh-CN"/>
              </w:rPr>
            </w:pPr>
            <w:r>
              <w:rPr>
                <w:rFonts w:hint="eastAsia"/>
                <w:sz w:val="15"/>
                <w:lang w:val="en-US" w:eastAsia="zh-CN"/>
              </w:rPr>
              <w:t>15</w:t>
            </w:r>
          </w:p>
        </w:tc>
        <w:tc>
          <w:tcPr>
            <w:tcW w:w="1370"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15"/>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1" w:hRule="atLeast"/>
          <w:jc w:val="center"/>
        </w:trPr>
        <w:tc>
          <w:tcPr>
            <w:tcW w:w="1029" w:type="dxa"/>
            <w:vMerge w:val="continue"/>
            <w:tcBorders>
              <w:top w:val="nil"/>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1029"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color w:val="000000"/>
                <w:kern w:val="0"/>
                <w:sz w:val="13"/>
              </w:rPr>
            </w:pPr>
            <w:r>
              <w:rPr>
                <w:rFonts w:hint="eastAsia" w:ascii="宋体"/>
                <w:color w:val="000000"/>
                <w:kern w:val="0"/>
                <w:sz w:val="13"/>
              </w:rPr>
              <w:t>满意度指标(10分)</w:t>
            </w:r>
          </w:p>
        </w:tc>
        <w:tc>
          <w:tcPr>
            <w:tcW w:w="1168"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color w:val="000000"/>
                <w:kern w:val="0"/>
                <w:sz w:val="13"/>
              </w:rPr>
            </w:pPr>
            <w:r>
              <w:rPr>
                <w:rFonts w:hint="eastAsia" w:ascii="宋体"/>
                <w:color w:val="000000"/>
                <w:kern w:val="0"/>
                <w:sz w:val="13"/>
              </w:rPr>
              <w:t>服务对象满意度指标</w:t>
            </w:r>
          </w:p>
        </w:tc>
        <w:tc>
          <w:tcPr>
            <w:tcW w:w="88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rPr>
                <w:rFonts w:hint="eastAsia"/>
                <w:sz w:val="15"/>
                <w:lang w:val="en-US" w:eastAsia="zh-CN"/>
              </w:rPr>
            </w:pPr>
            <w:r>
              <w:rPr>
                <w:rFonts w:hint="eastAsia"/>
                <w:sz w:val="15"/>
                <w:lang w:val="en-US" w:eastAsia="zh-CN"/>
              </w:rPr>
              <w:t>使用数据人员满意度</w:t>
            </w:r>
          </w:p>
        </w:tc>
        <w:tc>
          <w:tcPr>
            <w:tcW w:w="102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32"/>
                <w:lang w:val="en-US" w:eastAsia="zh-CN"/>
              </w:rPr>
            </w:pPr>
            <w:r>
              <w:rPr>
                <w:rFonts w:hint="eastAsia" w:ascii="宋体"/>
                <w:color w:val="000000"/>
                <w:kern w:val="0"/>
                <w:sz w:val="13"/>
                <w:lang w:val="en-US" w:eastAsia="zh-CN"/>
              </w:rPr>
              <w:t>10</w:t>
            </w:r>
          </w:p>
        </w:tc>
        <w:tc>
          <w:tcPr>
            <w:tcW w:w="1029" w:type="dxa"/>
            <w:gridSpan w:val="2"/>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rPr>
                <w:rFonts w:hint="eastAsia"/>
                <w:sz w:val="15"/>
                <w:lang w:val="en-US" w:eastAsia="zh-CN"/>
              </w:rPr>
            </w:pPr>
            <w:r>
              <w:rPr>
                <w:rFonts w:hint="eastAsia"/>
                <w:sz w:val="15"/>
                <w:lang w:val="en-US" w:eastAsia="zh-CN"/>
              </w:rPr>
              <w:t>&gt;90%</w:t>
            </w:r>
          </w:p>
        </w:tc>
        <w:tc>
          <w:tcPr>
            <w:tcW w:w="102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rPr>
                <w:rFonts w:hint="eastAsia"/>
                <w:sz w:val="15"/>
                <w:lang w:val="en-US" w:eastAsia="zh-CN"/>
              </w:rPr>
            </w:pPr>
            <w:r>
              <w:rPr>
                <w:rFonts w:hint="eastAsia"/>
                <w:sz w:val="15"/>
                <w:lang w:val="en-US" w:eastAsia="zh-CN"/>
              </w:rPr>
              <w:t>&gt;90%</w:t>
            </w:r>
          </w:p>
        </w:tc>
        <w:tc>
          <w:tcPr>
            <w:tcW w:w="1028"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15"/>
                <w:lang w:val="en-US" w:eastAsia="zh-CN"/>
              </w:rPr>
            </w:pPr>
            <w:r>
              <w:rPr>
                <w:rFonts w:hint="eastAsia"/>
                <w:sz w:val="15"/>
                <w:lang w:val="en-US" w:eastAsia="zh-CN"/>
              </w:rPr>
              <w:t>10</w:t>
            </w:r>
          </w:p>
        </w:tc>
        <w:tc>
          <w:tcPr>
            <w:tcW w:w="1370"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15"/>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1" w:hRule="atLeast"/>
          <w:jc w:val="center"/>
        </w:trPr>
        <w:tc>
          <w:tcPr>
            <w:tcW w:w="4115" w:type="dxa"/>
            <w:gridSpan w:val="6"/>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color w:val="000000"/>
                <w:kern w:val="0"/>
                <w:sz w:val="13"/>
              </w:rPr>
            </w:pPr>
            <w:r>
              <w:rPr>
                <w:rFonts w:hint="eastAsia" w:ascii="宋体"/>
                <w:color w:val="000000"/>
                <w:kern w:val="0"/>
                <w:sz w:val="13"/>
              </w:rPr>
              <w:t>总分</w:t>
            </w:r>
          </w:p>
        </w:tc>
        <w:tc>
          <w:tcPr>
            <w:tcW w:w="1029"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32"/>
                <w:lang w:val="en-US" w:eastAsia="zh-CN"/>
              </w:rPr>
            </w:pPr>
            <w:r>
              <w:rPr>
                <w:rFonts w:hint="eastAsia"/>
                <w:sz w:val="32"/>
                <w:lang w:val="en-US" w:eastAsia="zh-CN"/>
              </w:rPr>
              <w:t>90</w:t>
            </w:r>
          </w:p>
        </w:tc>
        <w:tc>
          <w:tcPr>
            <w:tcW w:w="2058" w:type="dxa"/>
            <w:gridSpan w:val="3"/>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32"/>
              </w:rPr>
            </w:pPr>
          </w:p>
        </w:tc>
        <w:tc>
          <w:tcPr>
            <w:tcW w:w="1028"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sz w:val="32"/>
                <w:lang w:val="en-US" w:eastAsia="zh-CN"/>
              </w:rPr>
            </w:pPr>
            <w:r>
              <w:rPr>
                <w:rFonts w:hint="eastAsia"/>
                <w:sz w:val="32"/>
                <w:lang w:val="en-US" w:eastAsia="zh-CN"/>
              </w:rPr>
              <w:t>90</w:t>
            </w:r>
          </w:p>
        </w:tc>
        <w:tc>
          <w:tcPr>
            <w:tcW w:w="1370" w:type="dxa"/>
            <w:tcBorders>
              <w:top w:val="single" w:color="auto" w:sz="6" w:space="0"/>
              <w:left w:val="single" w:color="auto" w:sz="6" w:space="0"/>
              <w:bottom w:val="single" w:color="auto" w:sz="6" w:space="0"/>
              <w:right w:val="single" w:color="auto" w:sz="6" w:space="0"/>
              <w:tl2br w:val="nil"/>
              <w:tr2bl w:val="nil"/>
            </w:tcBorders>
            <w:vAlign w:val="center"/>
          </w:tcPr>
          <w:p>
            <w:pPr>
              <w:autoSpaceDE w:val="0"/>
              <w:autoSpaceDN w:val="0"/>
              <w:adjustRightInd w:val="0"/>
              <w:jc w:val="center"/>
              <w:rPr>
                <w:rFonts w:hint="default" w:eastAsia="Times New Roman"/>
                <w:sz w:val="32"/>
              </w:rPr>
            </w:pPr>
          </w:p>
        </w:tc>
      </w:tr>
    </w:tbl>
    <w:p>
      <w:pPr>
        <w:spacing w:line="580" w:lineRule="exact"/>
        <w:ind w:firstLine="600"/>
        <w:rPr>
          <w:rFonts w:hint="eastAsia"/>
          <w:color w:val="auto"/>
          <w:sz w:val="32"/>
          <w:lang w:val="en-US" w:eastAsia="zh-CN"/>
        </w:rPr>
      </w:pPr>
    </w:p>
    <w:p>
      <w:pPr>
        <w:spacing w:line="580" w:lineRule="exact"/>
        <w:ind w:firstLine="600"/>
        <w:rPr>
          <w:rFonts w:hint="default" w:eastAsia="Times New Roman"/>
          <w:color w:val="FF0000"/>
          <w:sz w:val="32"/>
        </w:rPr>
      </w:pPr>
    </w:p>
    <w:p>
      <w:pPr>
        <w:spacing w:line="580" w:lineRule="exact"/>
        <w:ind w:firstLine="600"/>
        <w:rPr>
          <w:rFonts w:hint="default" w:eastAsia="Times New Roman"/>
          <w:b/>
          <w:color w:val="FF0000"/>
          <w:sz w:val="32"/>
        </w:rPr>
      </w:pPr>
      <w:r>
        <w:rPr>
          <w:rFonts w:hint="eastAsia" w:ascii="仿宋_GB2312" w:hAnsi="仿宋_GB2312" w:eastAsia="仿宋_GB2312"/>
          <w:color w:val="000000"/>
          <w:sz w:val="32"/>
        </w:rPr>
        <w:t>（三）部门评价项目绩效评价结果。</w:t>
      </w:r>
    </w:p>
    <w:p>
      <w:pPr>
        <w:spacing w:line="580" w:lineRule="exact"/>
        <w:ind w:firstLine="600"/>
        <w:rPr>
          <w:rFonts w:hint="eastAsia" w:ascii="仿宋_GB2312" w:hAnsi="仿宋_GB2312" w:eastAsia="仿宋_GB2312"/>
          <w:color w:val="000000"/>
          <w:sz w:val="32"/>
          <w:lang w:val="en-US" w:eastAsia="zh-CN"/>
        </w:rPr>
      </w:pPr>
      <w:r>
        <w:rPr>
          <w:rFonts w:hint="eastAsia" w:ascii="仿宋_GB2312" w:hAnsi="仿宋_GB2312" w:eastAsia="仿宋_GB2312"/>
          <w:color w:val="000000"/>
          <w:sz w:val="32"/>
          <w:lang w:val="en-US" w:eastAsia="zh-CN"/>
        </w:rPr>
        <w:t>人口抽样调查项目，该项目绩效评价综合得分为90分，绩效评价结果为“优”。</w:t>
      </w:r>
    </w:p>
    <w:p>
      <w:pPr>
        <w:numPr>
          <w:ilvl w:val="0"/>
          <w:numId w:val="0"/>
        </w:numPr>
        <w:spacing w:line="580" w:lineRule="exact"/>
        <w:ind w:firstLine="320" w:firstLineChars="100"/>
        <w:rPr>
          <w:rFonts w:hint="eastAsia" w:ascii="仿宋_GB2312" w:hAnsi="仿宋_GB2312" w:eastAsia="仿宋_GB2312"/>
          <w:color w:val="000000"/>
          <w:sz w:val="32"/>
          <w:lang w:val="en-US" w:eastAsia="zh-CN"/>
        </w:rPr>
      </w:pPr>
    </w:p>
    <w:p>
      <w:pPr>
        <w:numPr>
          <w:ilvl w:val="0"/>
          <w:numId w:val="1"/>
        </w:numPr>
        <w:autoSpaceDE w:val="0"/>
        <w:autoSpaceDN w:val="0"/>
        <w:adjustRightInd w:val="0"/>
        <w:spacing w:line="580" w:lineRule="exact"/>
        <w:ind w:firstLine="960" w:firstLineChars="300"/>
        <w:rPr>
          <w:rFonts w:hint="eastAsia" w:ascii="仿宋_GB2312" w:eastAsia="仿宋_GB2312"/>
          <w:color w:val="000000"/>
          <w:sz w:val="32"/>
          <w:lang w:val="en-US" w:eastAsia="zh-CN"/>
        </w:rPr>
      </w:pPr>
      <w:r>
        <w:rPr>
          <w:rFonts w:hint="eastAsia" w:ascii="仿宋_GB2312" w:eastAsia="仿宋_GB2312"/>
          <w:color w:val="000000"/>
          <w:sz w:val="32"/>
          <w:lang w:val="en-US" w:eastAsia="zh-CN"/>
        </w:rPr>
        <w:t>项目资金管理情况分析</w:t>
      </w:r>
    </w:p>
    <w:p>
      <w:pPr>
        <w:numPr>
          <w:ilvl w:val="0"/>
          <w:numId w:val="0"/>
        </w:numPr>
        <w:autoSpaceDE w:val="0"/>
        <w:autoSpaceDN w:val="0"/>
        <w:adjustRightInd w:val="0"/>
        <w:spacing w:line="580" w:lineRule="exact"/>
        <w:ind w:firstLine="640" w:firstLineChars="200"/>
        <w:rPr>
          <w:rFonts w:hint="eastAsia" w:ascii="仿宋_GB2312" w:eastAsia="仿宋_GB2312"/>
          <w:color w:val="000000"/>
          <w:sz w:val="32"/>
          <w:lang w:val="en-US" w:eastAsia="zh-CN"/>
        </w:rPr>
      </w:pPr>
      <w:r>
        <w:rPr>
          <w:rFonts w:hint="eastAsia" w:ascii="仿宋_GB2312" w:eastAsia="仿宋_GB2312"/>
          <w:color w:val="000000"/>
          <w:sz w:val="32"/>
          <w:lang w:val="en-US" w:eastAsia="zh-CN"/>
        </w:rPr>
        <w:t>人口抽样项目资金没有进行拨付，但是这是日常任务进行了实施，根据项目运行方案，细化任务，合理配置资源，建立项目控制管理机制，规避项目风险，确保项目质量，项目完成质量较好。</w:t>
      </w:r>
    </w:p>
    <w:p>
      <w:pPr>
        <w:autoSpaceDE w:val="0"/>
        <w:autoSpaceDN w:val="0"/>
        <w:adjustRightInd w:val="0"/>
        <w:spacing w:line="580" w:lineRule="exact"/>
        <w:ind w:firstLine="964" w:firstLineChars="300"/>
        <w:rPr>
          <w:rFonts w:hint="eastAsia" w:ascii="仿宋_GB2312" w:eastAsia="仿宋_GB2312"/>
          <w:color w:val="000000"/>
          <w:sz w:val="32"/>
          <w:lang w:val="en-US" w:eastAsia="zh-CN"/>
        </w:rPr>
      </w:pPr>
      <w:r>
        <w:rPr>
          <w:rFonts w:hint="eastAsia" w:ascii="仿宋_GB2312" w:eastAsia="仿宋_GB2312"/>
          <w:b/>
          <w:color w:val="000000"/>
          <w:sz w:val="32"/>
          <w:lang w:val="en-US" w:eastAsia="zh-CN"/>
        </w:rPr>
        <w:t>2、</w:t>
      </w:r>
      <w:r>
        <w:rPr>
          <w:rFonts w:hint="eastAsia" w:ascii="仿宋_GB2312" w:eastAsia="仿宋_GB2312"/>
          <w:color w:val="000000"/>
          <w:sz w:val="32"/>
          <w:lang w:val="en-US" w:eastAsia="zh-CN"/>
        </w:rPr>
        <w:t>项目的效益分析</w:t>
      </w:r>
    </w:p>
    <w:p>
      <w:pPr>
        <w:autoSpaceDE w:val="0"/>
        <w:autoSpaceDN w:val="0"/>
        <w:adjustRightInd w:val="0"/>
        <w:spacing w:line="580" w:lineRule="exact"/>
        <w:ind w:firstLine="960" w:firstLineChars="300"/>
        <w:rPr>
          <w:rFonts w:hint="eastAsia" w:ascii="仿宋_GB2312" w:eastAsia="仿宋_GB2312"/>
          <w:color w:val="000000"/>
          <w:sz w:val="32"/>
          <w:lang w:val="en-US" w:eastAsia="zh-CN"/>
        </w:rPr>
      </w:pPr>
      <w:r>
        <w:rPr>
          <w:rFonts w:hint="eastAsia" w:ascii="仿宋_GB2312" w:eastAsia="仿宋_GB2312"/>
          <w:color w:val="000000"/>
          <w:sz w:val="32"/>
          <w:lang w:val="en-US" w:eastAsia="zh-CN"/>
        </w:rPr>
        <w:t>项目预期完成程度</w:t>
      </w:r>
    </w:p>
    <w:p>
      <w:pPr>
        <w:autoSpaceDE w:val="0"/>
        <w:autoSpaceDN w:val="0"/>
        <w:adjustRightInd w:val="0"/>
        <w:spacing w:line="580" w:lineRule="exact"/>
        <w:ind w:firstLine="960" w:firstLineChars="300"/>
        <w:rPr>
          <w:rFonts w:hint="eastAsia" w:ascii="仿宋_GB2312" w:eastAsia="仿宋_GB2312"/>
          <w:color w:val="000000"/>
          <w:sz w:val="32"/>
          <w:lang w:val="en-US" w:eastAsia="zh-CN"/>
        </w:rPr>
      </w:pPr>
      <w:r>
        <w:rPr>
          <w:rFonts w:hint="eastAsia" w:ascii="仿宋_GB2312" w:eastAsia="仿宋_GB2312"/>
          <w:color w:val="000000"/>
          <w:sz w:val="32"/>
          <w:lang w:val="en-US" w:eastAsia="zh-CN"/>
        </w:rPr>
        <w:t>我单位人口抽样调查项目完成率100%，满意率100%，完成全年绩效。</w:t>
      </w:r>
    </w:p>
    <w:p>
      <w:pPr>
        <w:autoSpaceDE w:val="0"/>
        <w:autoSpaceDN w:val="0"/>
        <w:adjustRightInd w:val="0"/>
        <w:spacing w:line="580" w:lineRule="exact"/>
        <w:ind w:firstLine="960" w:firstLineChars="300"/>
        <w:rPr>
          <w:rFonts w:hint="eastAsia" w:ascii="仿宋_GB2312" w:eastAsia="仿宋_GB2312"/>
          <w:color w:val="000000"/>
          <w:sz w:val="32"/>
          <w:lang w:val="en-US" w:eastAsia="zh-CN"/>
        </w:rPr>
      </w:pPr>
      <w:r>
        <w:rPr>
          <w:rFonts w:hint="eastAsia" w:ascii="仿宋_GB2312" w:eastAsia="仿宋_GB2312"/>
          <w:color w:val="000000"/>
          <w:sz w:val="32"/>
          <w:lang w:val="en-US" w:eastAsia="zh-CN"/>
        </w:rPr>
        <w:t>项目实施对经济和社会的影响</w:t>
      </w:r>
    </w:p>
    <w:p>
      <w:pPr>
        <w:autoSpaceDE w:val="0"/>
        <w:autoSpaceDN w:val="0"/>
        <w:adjustRightInd w:val="0"/>
        <w:spacing w:line="580" w:lineRule="exact"/>
        <w:ind w:firstLine="960" w:firstLineChars="300"/>
        <w:rPr>
          <w:rFonts w:hint="eastAsia" w:ascii="仿宋_GB2312" w:eastAsia="仿宋_GB2312"/>
          <w:color w:val="000000"/>
          <w:sz w:val="32"/>
          <w:lang w:val="en-US" w:eastAsia="zh-CN"/>
        </w:rPr>
      </w:pPr>
      <w:r>
        <w:rPr>
          <w:rFonts w:hint="eastAsia" w:ascii="仿宋_GB2312" w:eastAsia="仿宋_GB2312"/>
          <w:color w:val="000000"/>
          <w:sz w:val="32"/>
          <w:lang w:val="en-US" w:eastAsia="zh-CN"/>
        </w:rPr>
        <w:t>了解我国人口在数量、素质、结构分布及居住等方面的变化情况，为制定国民经济和社会发展规划提供科学在准确的统计信息支持。</w:t>
      </w:r>
    </w:p>
    <w:p>
      <w:pPr>
        <w:numPr>
          <w:ilvl w:val="0"/>
          <w:numId w:val="2"/>
        </w:numPr>
        <w:autoSpaceDE w:val="0"/>
        <w:autoSpaceDN w:val="0"/>
        <w:adjustRightInd w:val="0"/>
        <w:spacing w:line="580" w:lineRule="exact"/>
        <w:ind w:firstLine="964" w:firstLineChars="300"/>
        <w:rPr>
          <w:rFonts w:hint="eastAsia" w:ascii="仿宋_GB2312" w:eastAsia="仿宋_GB2312"/>
          <w:b/>
          <w:color w:val="000000"/>
          <w:sz w:val="32"/>
          <w:lang w:val="en-US" w:eastAsia="zh-CN"/>
        </w:rPr>
      </w:pPr>
      <w:r>
        <w:rPr>
          <w:rFonts w:hint="eastAsia" w:ascii="仿宋_GB2312" w:eastAsia="仿宋_GB2312"/>
          <w:b/>
          <w:color w:val="000000"/>
          <w:sz w:val="32"/>
          <w:lang w:val="en-US" w:eastAsia="zh-CN"/>
        </w:rPr>
        <w:t>项目的可持续性分析</w:t>
      </w:r>
    </w:p>
    <w:p>
      <w:pPr>
        <w:autoSpaceDE w:val="0"/>
        <w:autoSpaceDN w:val="0"/>
        <w:adjustRightInd w:val="0"/>
        <w:spacing w:line="580" w:lineRule="exact"/>
        <w:ind w:firstLine="960" w:firstLineChars="300"/>
        <w:rPr>
          <w:rFonts w:hint="eastAsia" w:ascii="仿宋_GB2312" w:eastAsia="仿宋_GB2312"/>
          <w:b/>
          <w:color w:val="000000"/>
          <w:sz w:val="32"/>
          <w:lang w:val="en-US" w:eastAsia="zh-CN"/>
        </w:rPr>
      </w:pPr>
      <w:r>
        <w:rPr>
          <w:rFonts w:hint="eastAsia" w:ascii="仿宋_GB2312" w:eastAsia="仿宋_GB2312"/>
          <w:color w:val="000000"/>
          <w:sz w:val="32"/>
          <w:lang w:val="en-US" w:eastAsia="zh-CN"/>
        </w:rPr>
        <w:t>为研究制定人口政策和经济社会发展规划提供有效依据。</w:t>
      </w:r>
    </w:p>
    <w:p>
      <w:pPr>
        <w:numPr>
          <w:ilvl w:val="0"/>
          <w:numId w:val="2"/>
        </w:numPr>
        <w:autoSpaceDE w:val="0"/>
        <w:autoSpaceDN w:val="0"/>
        <w:adjustRightInd w:val="0"/>
        <w:spacing w:line="580" w:lineRule="exact"/>
        <w:ind w:firstLine="964" w:firstLineChars="300"/>
        <w:rPr>
          <w:rFonts w:hint="eastAsia" w:ascii="仿宋_GB2312" w:eastAsia="仿宋_GB2312"/>
          <w:b/>
          <w:color w:val="000000"/>
          <w:sz w:val="32"/>
          <w:lang w:val="en-US" w:eastAsia="zh-CN"/>
        </w:rPr>
      </w:pPr>
      <w:r>
        <w:rPr>
          <w:rFonts w:hint="eastAsia" w:ascii="仿宋_GB2312" w:eastAsia="仿宋_GB2312"/>
          <w:b/>
          <w:color w:val="000000"/>
          <w:sz w:val="32"/>
          <w:lang w:val="en-US" w:eastAsia="zh-CN"/>
        </w:rPr>
        <w:t>综合评价及评价结果</w:t>
      </w:r>
    </w:p>
    <w:p>
      <w:pPr>
        <w:autoSpaceDE w:val="0"/>
        <w:autoSpaceDN w:val="0"/>
        <w:adjustRightInd w:val="0"/>
        <w:spacing w:line="580" w:lineRule="exact"/>
        <w:ind w:firstLine="960" w:firstLineChars="300"/>
        <w:rPr>
          <w:rFonts w:hint="eastAsia" w:ascii="仿宋_GB2312" w:eastAsia="仿宋_GB2312"/>
          <w:color w:val="000000"/>
          <w:sz w:val="32"/>
          <w:lang w:val="en-US" w:eastAsia="zh-CN"/>
        </w:rPr>
      </w:pPr>
      <w:r>
        <w:rPr>
          <w:rFonts w:hint="eastAsia" w:ascii="仿宋_GB2312" w:eastAsia="仿宋_GB2312"/>
          <w:color w:val="000000"/>
          <w:sz w:val="32"/>
          <w:lang w:val="en-US" w:eastAsia="zh-CN"/>
        </w:rPr>
        <w:t xml:space="preserve"> 项目绩效评价工作小组按照项目评价指标表，从项目决策，项目管理，项目绩效三方面对项目进行综合评价，对各项指标进行综合打分，经评价人口抽样调查补助项目，该项目绩效评价综合得分为90分，绩效级别自评为“优”。达到了预期设置的绩效目标。</w:t>
      </w:r>
    </w:p>
    <w:p>
      <w:pPr>
        <w:numPr>
          <w:ilvl w:val="0"/>
          <w:numId w:val="0"/>
        </w:numPr>
        <w:autoSpaceDE w:val="0"/>
        <w:autoSpaceDN w:val="0"/>
        <w:adjustRightInd w:val="0"/>
        <w:spacing w:line="580" w:lineRule="exact"/>
        <w:ind w:leftChars="300"/>
        <w:rPr>
          <w:rFonts w:hint="eastAsia" w:ascii="仿宋_GB2312" w:eastAsia="仿宋_GB2312"/>
          <w:b/>
          <w:color w:val="000000"/>
          <w:sz w:val="32"/>
          <w:lang w:val="en-US" w:eastAsia="zh-CN"/>
        </w:rPr>
      </w:pPr>
    </w:p>
    <w:p>
      <w:pPr>
        <w:spacing w:before="100" w:after="100" w:line="580" w:lineRule="atLeast"/>
        <w:ind w:firstLine="600"/>
        <w:jc w:val="left"/>
        <w:rPr>
          <w:rFonts w:hint="default" w:eastAsia="Times New Roman"/>
          <w:color w:val="auto"/>
          <w:kern w:val="0"/>
          <w:sz w:val="24"/>
        </w:rPr>
      </w:pPr>
      <w:r>
        <w:rPr>
          <w:rFonts w:hint="eastAsia" w:ascii="仿宋_GB2312" w:hAnsi="仿宋_GB2312" w:eastAsia="仿宋_GB2312"/>
          <w:b/>
          <w:color w:val="auto"/>
          <w:kern w:val="0"/>
          <w:sz w:val="32"/>
        </w:rPr>
        <w:t>第三部分 名词解释</w:t>
      </w:r>
    </w:p>
    <w:p>
      <w:pPr>
        <w:spacing w:before="100" w:after="100" w:line="580" w:lineRule="atLeast"/>
        <w:ind w:firstLine="600"/>
        <w:rPr>
          <w:rFonts w:hint="default" w:eastAsia="Times New Roman"/>
          <w:color w:val="auto"/>
          <w:kern w:val="0"/>
          <w:sz w:val="24"/>
        </w:rPr>
      </w:pPr>
      <w:r>
        <w:rPr>
          <w:rFonts w:hint="eastAsia" w:ascii="仿宋_GB2312" w:hAnsi="仿宋_GB2312" w:eastAsia="仿宋_GB2312"/>
          <w:color w:val="auto"/>
          <w:kern w:val="0"/>
          <w:sz w:val="32"/>
        </w:rPr>
        <w:t>（一）财政拨款收入：指本年度从本级财政部门取得的财政拨款，包括一般公共预算财政拨款、政府性基金预算财政拨款和国有资本经营预算财政拨款。</w:t>
      </w:r>
    </w:p>
    <w:p>
      <w:pPr>
        <w:spacing w:before="100" w:after="100" w:line="580" w:lineRule="atLeast"/>
        <w:ind w:firstLine="600"/>
        <w:rPr>
          <w:rFonts w:hint="default" w:eastAsia="Times New Roman"/>
          <w:color w:val="auto"/>
          <w:kern w:val="0"/>
          <w:sz w:val="24"/>
        </w:rPr>
      </w:pPr>
      <w:r>
        <w:rPr>
          <w:rFonts w:hint="eastAsia" w:ascii="仿宋_GB2312" w:hAnsi="仿宋_GB2312" w:eastAsia="仿宋_GB2312"/>
          <w:color w:val="auto"/>
          <w:kern w:val="0"/>
          <w:sz w:val="32"/>
        </w:rPr>
        <w:t>（二）事业收入：指事业单位开展专业业务活动及其辅助活动取得的收入；事业单位收到的财政专户实际核拨的教育收费等资金。</w:t>
      </w:r>
    </w:p>
    <w:p>
      <w:pPr>
        <w:spacing w:before="100" w:after="100" w:line="580" w:lineRule="atLeast"/>
        <w:ind w:firstLine="600"/>
        <w:rPr>
          <w:rFonts w:hint="default" w:eastAsia="Times New Roman"/>
          <w:color w:val="auto"/>
          <w:kern w:val="0"/>
          <w:sz w:val="24"/>
        </w:rPr>
      </w:pPr>
      <w:r>
        <w:rPr>
          <w:rFonts w:hint="eastAsia" w:ascii="仿宋_GB2312" w:hAnsi="仿宋_GB2312" w:eastAsia="仿宋_GB2312"/>
          <w:color w:val="auto"/>
          <w:kern w:val="0"/>
          <w:sz w:val="32"/>
        </w:rPr>
        <w:t>（三）经营收入：指事业单位在专业业务活动及其辅助活动之外开展非独立核算经营活动取得的收入。</w:t>
      </w:r>
    </w:p>
    <w:p>
      <w:pPr>
        <w:spacing w:before="100" w:after="100" w:line="580" w:lineRule="atLeast"/>
        <w:ind w:firstLine="600"/>
        <w:rPr>
          <w:rFonts w:hint="default" w:eastAsia="Times New Roman"/>
          <w:color w:val="auto"/>
          <w:kern w:val="0"/>
          <w:sz w:val="24"/>
        </w:rPr>
      </w:pPr>
      <w:r>
        <w:rPr>
          <w:rFonts w:hint="eastAsia" w:ascii="仿宋_GB2312" w:hAnsi="仿宋_GB2312" w:eastAsia="仿宋_GB2312"/>
          <w:color w:val="auto"/>
          <w:kern w:val="0"/>
          <w:sz w:val="32"/>
        </w:rPr>
        <w:t>（四）其他收入：指单位取得的除上述收入以外的各项收入，包括未纳入财政预算的投资收益、银行存款利息收入、租金收入、捐赠收入、事业单位固定资产出租收入等。各单位从本级财政部门以外的同级单位取得的经费、从非本级财政部门取得的经费，以及行政单位收到的财政专户管理资金。</w:t>
      </w:r>
    </w:p>
    <w:p>
      <w:pPr>
        <w:spacing w:before="100" w:after="100" w:line="580" w:lineRule="atLeast"/>
        <w:ind w:firstLine="600"/>
        <w:rPr>
          <w:rFonts w:hint="default" w:eastAsia="Times New Roman"/>
          <w:color w:val="auto"/>
          <w:kern w:val="0"/>
          <w:sz w:val="24"/>
        </w:rPr>
      </w:pPr>
      <w:r>
        <w:rPr>
          <w:rFonts w:hint="eastAsia" w:ascii="仿宋_GB2312" w:hAnsi="仿宋_GB2312" w:eastAsia="仿宋_GB2312"/>
          <w:color w:val="auto"/>
          <w:kern w:val="0"/>
          <w:sz w:val="32"/>
        </w:rPr>
        <w:t>（五）使用非财政拨款结余：指事业单位使用以前年度积累的非财政拨款结余弥补当年收支差额的金额。</w:t>
      </w:r>
    </w:p>
    <w:p>
      <w:pPr>
        <w:spacing w:before="100" w:after="100" w:line="580" w:lineRule="atLeast"/>
        <w:ind w:firstLine="600"/>
        <w:rPr>
          <w:rFonts w:hint="default" w:eastAsia="Times New Roman"/>
          <w:color w:val="auto"/>
          <w:kern w:val="0"/>
          <w:sz w:val="24"/>
        </w:rPr>
      </w:pPr>
      <w:r>
        <w:rPr>
          <w:rFonts w:hint="eastAsia" w:ascii="仿宋_GB2312" w:hAnsi="仿宋_GB2312" w:eastAsia="仿宋_GB2312"/>
          <w:color w:val="auto"/>
          <w:kern w:val="0"/>
          <w:sz w:val="32"/>
        </w:rPr>
        <w:t>（六）年初结转和结余：指以前年度支出预算因客观条件变化未执行完毕、结转到本年度按有关规定继续使用的资金。</w:t>
      </w:r>
    </w:p>
    <w:p>
      <w:pPr>
        <w:spacing w:before="100" w:after="100" w:line="580" w:lineRule="atLeast"/>
        <w:ind w:firstLine="600"/>
        <w:rPr>
          <w:rFonts w:hint="default" w:eastAsia="Times New Roman"/>
          <w:color w:val="auto"/>
          <w:kern w:val="0"/>
          <w:sz w:val="24"/>
        </w:rPr>
      </w:pPr>
      <w:r>
        <w:rPr>
          <w:rFonts w:hint="eastAsia" w:ascii="仿宋_GB2312" w:hAnsi="仿宋_GB2312" w:eastAsia="仿宋_GB2312"/>
          <w:color w:val="auto"/>
          <w:kern w:val="0"/>
          <w:sz w:val="32"/>
        </w:rPr>
        <w:t>（七）结余分配：指事业单位按照会计制度规定缴纳的所得税以及从非财政拨款结余中提取的职工福利基金、事业基金等。</w:t>
      </w:r>
    </w:p>
    <w:p>
      <w:pPr>
        <w:spacing w:before="100" w:after="100" w:line="580" w:lineRule="atLeast"/>
        <w:ind w:firstLine="600"/>
        <w:rPr>
          <w:rFonts w:hint="default" w:eastAsia="Times New Roman"/>
          <w:color w:val="auto"/>
          <w:kern w:val="0"/>
          <w:sz w:val="24"/>
        </w:rPr>
      </w:pPr>
      <w:r>
        <w:rPr>
          <w:rFonts w:hint="eastAsia" w:ascii="仿宋_GB2312" w:hAnsi="仿宋_GB2312" w:eastAsia="仿宋_GB2312"/>
          <w:color w:val="auto"/>
          <w:kern w:val="0"/>
          <w:sz w:val="32"/>
        </w:rPr>
        <w:t>（八）年末结转和结余：指单位本年度或以前年度预算安排、因客观条件发生变化未全部执行或未执行，结转到以后年度继续使用的资金，或项目已完成等产生的结余资金。</w:t>
      </w:r>
    </w:p>
    <w:p>
      <w:pPr>
        <w:spacing w:before="100" w:after="100" w:line="580" w:lineRule="atLeast"/>
        <w:ind w:firstLine="600"/>
        <w:rPr>
          <w:rFonts w:hint="default" w:eastAsia="Times New Roman"/>
          <w:color w:val="auto"/>
          <w:kern w:val="0"/>
          <w:sz w:val="24"/>
        </w:rPr>
      </w:pPr>
      <w:r>
        <w:rPr>
          <w:rFonts w:hint="eastAsia" w:ascii="仿宋_GB2312" w:hAnsi="仿宋_GB2312" w:eastAsia="仿宋_GB2312"/>
          <w:color w:val="auto"/>
          <w:kern w:val="0"/>
          <w:sz w:val="32"/>
        </w:rPr>
        <w:t>（九）基本支出：指为保障机构正常运转、完成日常工作任务而发生的人员经费和公用经费。其中：人员经费指政府收支分类经济科目中的</w:t>
      </w:r>
      <w:r>
        <w:rPr>
          <w:rFonts w:hint="default" w:eastAsia="Times New Roman"/>
          <w:color w:val="auto"/>
          <w:kern w:val="0"/>
          <w:sz w:val="32"/>
        </w:rPr>
        <w:t>“</w:t>
      </w:r>
      <w:r>
        <w:rPr>
          <w:rFonts w:hint="eastAsia" w:ascii="仿宋_GB2312" w:hAnsi="仿宋_GB2312" w:eastAsia="仿宋_GB2312"/>
          <w:color w:val="auto"/>
          <w:kern w:val="0"/>
          <w:sz w:val="32"/>
        </w:rPr>
        <w:t>工资福利支出</w:t>
      </w:r>
      <w:r>
        <w:rPr>
          <w:rFonts w:hint="default" w:eastAsia="Times New Roman"/>
          <w:color w:val="auto"/>
          <w:kern w:val="0"/>
          <w:sz w:val="32"/>
        </w:rPr>
        <w:t>”</w:t>
      </w:r>
      <w:r>
        <w:rPr>
          <w:rFonts w:hint="eastAsia" w:ascii="仿宋_GB2312" w:hAnsi="仿宋_GB2312" w:eastAsia="仿宋_GB2312"/>
          <w:color w:val="auto"/>
          <w:kern w:val="0"/>
          <w:sz w:val="32"/>
        </w:rPr>
        <w:t>和</w:t>
      </w:r>
      <w:r>
        <w:rPr>
          <w:rFonts w:hint="default" w:eastAsia="Times New Roman"/>
          <w:color w:val="auto"/>
          <w:kern w:val="0"/>
          <w:sz w:val="32"/>
        </w:rPr>
        <w:t>“</w:t>
      </w:r>
      <w:r>
        <w:rPr>
          <w:rFonts w:hint="eastAsia" w:ascii="仿宋_GB2312" w:hAnsi="仿宋_GB2312" w:eastAsia="仿宋_GB2312"/>
          <w:color w:val="auto"/>
          <w:kern w:val="0"/>
          <w:sz w:val="32"/>
        </w:rPr>
        <w:t>对个人和家庭的补助</w:t>
      </w:r>
      <w:r>
        <w:rPr>
          <w:rFonts w:hint="default" w:eastAsia="Times New Roman"/>
          <w:color w:val="auto"/>
          <w:kern w:val="0"/>
          <w:sz w:val="32"/>
        </w:rPr>
        <w:t>”</w:t>
      </w:r>
      <w:r>
        <w:rPr>
          <w:rFonts w:hint="eastAsia" w:ascii="仿宋_GB2312" w:hAnsi="仿宋_GB2312" w:eastAsia="仿宋_GB2312"/>
          <w:color w:val="auto"/>
          <w:kern w:val="0"/>
          <w:sz w:val="32"/>
        </w:rPr>
        <w:t>；公用经费指政府收支分类经济科目中除</w:t>
      </w:r>
      <w:r>
        <w:rPr>
          <w:rFonts w:hint="default" w:eastAsia="Times New Roman"/>
          <w:color w:val="auto"/>
          <w:kern w:val="0"/>
          <w:sz w:val="32"/>
        </w:rPr>
        <w:t>“</w:t>
      </w:r>
      <w:r>
        <w:rPr>
          <w:rFonts w:hint="eastAsia" w:ascii="仿宋_GB2312" w:hAnsi="仿宋_GB2312" w:eastAsia="仿宋_GB2312"/>
          <w:color w:val="auto"/>
          <w:kern w:val="0"/>
          <w:sz w:val="32"/>
        </w:rPr>
        <w:t>工资福利支出</w:t>
      </w:r>
      <w:r>
        <w:rPr>
          <w:rFonts w:hint="default" w:eastAsia="Times New Roman"/>
          <w:color w:val="auto"/>
          <w:kern w:val="0"/>
          <w:sz w:val="32"/>
        </w:rPr>
        <w:t>”</w:t>
      </w:r>
      <w:r>
        <w:rPr>
          <w:rFonts w:hint="eastAsia" w:ascii="仿宋_GB2312" w:hAnsi="仿宋_GB2312" w:eastAsia="仿宋_GB2312"/>
          <w:color w:val="auto"/>
          <w:kern w:val="0"/>
          <w:sz w:val="32"/>
        </w:rPr>
        <w:t>和</w:t>
      </w:r>
      <w:r>
        <w:rPr>
          <w:rFonts w:hint="default" w:eastAsia="Times New Roman"/>
          <w:color w:val="auto"/>
          <w:kern w:val="0"/>
          <w:sz w:val="32"/>
        </w:rPr>
        <w:t>“</w:t>
      </w:r>
      <w:r>
        <w:rPr>
          <w:rFonts w:hint="eastAsia" w:ascii="仿宋_GB2312" w:hAnsi="仿宋_GB2312" w:eastAsia="仿宋_GB2312"/>
          <w:color w:val="auto"/>
          <w:kern w:val="0"/>
          <w:sz w:val="32"/>
        </w:rPr>
        <w:t>对个人和家庭的补助</w:t>
      </w:r>
      <w:r>
        <w:rPr>
          <w:rFonts w:hint="default" w:eastAsia="Times New Roman"/>
          <w:color w:val="auto"/>
          <w:kern w:val="0"/>
          <w:sz w:val="32"/>
        </w:rPr>
        <w:t>”</w:t>
      </w:r>
      <w:r>
        <w:rPr>
          <w:rFonts w:hint="eastAsia" w:ascii="仿宋_GB2312" w:hAnsi="仿宋_GB2312" w:eastAsia="仿宋_GB2312"/>
          <w:color w:val="auto"/>
          <w:kern w:val="0"/>
          <w:sz w:val="32"/>
        </w:rPr>
        <w:t>外的其他支出。</w:t>
      </w:r>
    </w:p>
    <w:p>
      <w:pPr>
        <w:spacing w:before="100" w:after="100" w:line="580" w:lineRule="atLeast"/>
        <w:ind w:firstLine="600"/>
        <w:rPr>
          <w:rFonts w:hint="default" w:eastAsia="Times New Roman"/>
          <w:color w:val="auto"/>
          <w:kern w:val="0"/>
          <w:sz w:val="24"/>
        </w:rPr>
      </w:pPr>
      <w:r>
        <w:rPr>
          <w:rFonts w:hint="eastAsia" w:ascii="仿宋_GB2312" w:hAnsi="仿宋_GB2312" w:eastAsia="仿宋_GB2312"/>
          <w:color w:val="auto"/>
          <w:kern w:val="0"/>
          <w:sz w:val="32"/>
        </w:rPr>
        <w:t>（十）项目支出：指在基本支出之外为完成特定任务和事业发展目标所发生的支出。</w:t>
      </w:r>
    </w:p>
    <w:p>
      <w:pPr>
        <w:spacing w:before="100" w:after="100" w:line="580" w:lineRule="atLeast"/>
        <w:ind w:firstLine="600"/>
        <w:rPr>
          <w:rFonts w:hint="default" w:eastAsia="Times New Roman"/>
          <w:color w:val="auto"/>
          <w:kern w:val="0"/>
          <w:sz w:val="24"/>
        </w:rPr>
      </w:pPr>
      <w:r>
        <w:rPr>
          <w:rFonts w:hint="eastAsia" w:ascii="仿宋_GB2312" w:hAnsi="仿宋_GB2312" w:eastAsia="仿宋_GB2312"/>
          <w:color w:val="auto"/>
          <w:kern w:val="0"/>
          <w:sz w:val="32"/>
        </w:rPr>
        <w:t>（十一）经营支出：指事业单位在专业业务活动及其辅助活动之外开展非独立核算经营活动发生的支出。</w:t>
      </w:r>
    </w:p>
    <w:p>
      <w:pPr>
        <w:spacing w:before="100" w:after="100" w:line="580" w:lineRule="atLeast"/>
        <w:ind w:firstLine="600"/>
        <w:rPr>
          <w:rFonts w:hint="default" w:eastAsia="Times New Roman"/>
          <w:color w:val="auto"/>
          <w:kern w:val="0"/>
          <w:sz w:val="24"/>
        </w:rPr>
      </w:pPr>
      <w:r>
        <w:rPr>
          <w:rFonts w:hint="eastAsia" w:ascii="仿宋_GB2312" w:hAnsi="仿宋_GB2312" w:eastAsia="仿宋_GB2312"/>
          <w:color w:val="auto"/>
          <w:kern w:val="0"/>
          <w:sz w:val="32"/>
        </w:rPr>
        <w:t>（十二）</w:t>
      </w:r>
      <w:r>
        <w:rPr>
          <w:rFonts w:hint="default" w:eastAsia="Times New Roman"/>
          <w:color w:val="auto"/>
          <w:kern w:val="0"/>
          <w:sz w:val="32"/>
        </w:rPr>
        <w:t>“</w:t>
      </w:r>
      <w:r>
        <w:rPr>
          <w:rFonts w:hint="eastAsia" w:ascii="仿宋_GB2312" w:hAnsi="仿宋_GB2312" w:eastAsia="仿宋_GB2312"/>
          <w:color w:val="auto"/>
          <w:kern w:val="0"/>
          <w:sz w:val="32"/>
        </w:rPr>
        <w:t>三公</w:t>
      </w:r>
      <w:r>
        <w:rPr>
          <w:rFonts w:hint="default" w:eastAsia="Times New Roman"/>
          <w:color w:val="auto"/>
          <w:kern w:val="0"/>
          <w:sz w:val="32"/>
        </w:rPr>
        <w:t>”</w:t>
      </w:r>
      <w:r>
        <w:rPr>
          <w:rFonts w:hint="eastAsia" w:ascii="仿宋_GB2312" w:hAnsi="仿宋_GB2312" w:eastAsia="仿宋_GB2312"/>
          <w:color w:val="auto"/>
          <w:kern w:val="0"/>
          <w:sz w:val="32"/>
        </w:rPr>
        <w:t>经费：指用财政拨款安排的因公出国（境）费、公务用车购置及运行维护费、公务接待费。其中，因公出国（境）费反映单位公务出国（境）的国际旅费、国外城市间交通费、住宿费、伙食费、培训费、公杂费等支出；公务用车购置费反映单位公务用车购置支出（含车辆购置税）；公务用车运行维护费反映单位按规定保留的公务用车燃料费、维修费、过路过桥费、保险费、安全奖励费用等支出；公务接待费反映单位按规定开支的各类公务接待（含外宾接待）支出。</w:t>
      </w:r>
    </w:p>
    <w:p>
      <w:pPr>
        <w:spacing w:before="100" w:after="100" w:line="580" w:lineRule="atLeast"/>
        <w:ind w:firstLine="600"/>
        <w:rPr>
          <w:rFonts w:hint="default" w:eastAsia="Times New Roman"/>
          <w:color w:val="auto"/>
          <w:kern w:val="0"/>
          <w:sz w:val="24"/>
        </w:rPr>
      </w:pPr>
      <w:r>
        <w:rPr>
          <w:rFonts w:hint="eastAsia" w:ascii="仿宋_GB2312" w:hAnsi="仿宋_GB2312" w:eastAsia="仿宋_GB2312"/>
          <w:color w:val="auto"/>
          <w:kern w:val="0"/>
          <w:sz w:val="32"/>
        </w:rPr>
        <w:t>（十三）机关运行经费：指行政单位和参照公务员法管理的事业单位使用一般公共预算财政拨款安排的基本支出中的日常公用经费支出。未包含行政单位或参照公务员法管理事业单位的部门，参照此口径公开本部门的日常公用经费，并与预算公开保持一致。</w:t>
      </w:r>
    </w:p>
    <w:p>
      <w:pPr>
        <w:spacing w:before="100" w:after="100" w:line="580" w:lineRule="atLeast"/>
        <w:ind w:firstLine="600"/>
        <w:rPr>
          <w:rFonts w:hint="default" w:eastAsia="Times New Roman"/>
          <w:color w:val="auto"/>
          <w:kern w:val="0"/>
          <w:sz w:val="24"/>
        </w:rPr>
      </w:pPr>
      <w:r>
        <w:rPr>
          <w:rFonts w:hint="eastAsia" w:ascii="仿宋_GB2312" w:hAnsi="仿宋_GB2312" w:eastAsia="仿宋_GB2312"/>
          <w:color w:val="auto"/>
          <w:kern w:val="0"/>
          <w:sz w:val="32"/>
        </w:rPr>
        <w:t>（十四）工资福利支出（支出经济分类科目类级）：反映单位开支的在职职工和编制外长期聘用人员的各类劳动报酬，以及为上述人员缴纳的各项社会保险费等。</w:t>
      </w:r>
    </w:p>
    <w:p>
      <w:pPr>
        <w:spacing w:before="100" w:after="100" w:line="580" w:lineRule="atLeast"/>
        <w:ind w:firstLine="600"/>
        <w:rPr>
          <w:rFonts w:hint="default" w:eastAsia="Times New Roman"/>
          <w:color w:val="auto"/>
          <w:kern w:val="0"/>
          <w:sz w:val="24"/>
        </w:rPr>
      </w:pPr>
      <w:r>
        <w:rPr>
          <w:rFonts w:hint="eastAsia" w:ascii="仿宋_GB2312" w:hAnsi="仿宋_GB2312" w:eastAsia="仿宋_GB2312"/>
          <w:color w:val="auto"/>
          <w:kern w:val="0"/>
          <w:sz w:val="32"/>
        </w:rPr>
        <w:t>（十五）商品和服务支出（支出经济分类科目类级）：反映单位购买商品和服务的支出（不包括用于购置固定资产的支出、战略性和应急储备支出）。</w:t>
      </w:r>
    </w:p>
    <w:p>
      <w:pPr>
        <w:spacing w:before="100" w:after="100" w:line="580" w:lineRule="atLeast"/>
        <w:ind w:firstLine="600"/>
        <w:rPr>
          <w:rFonts w:hint="default" w:eastAsia="Times New Roman"/>
          <w:color w:val="auto"/>
          <w:kern w:val="0"/>
          <w:sz w:val="24"/>
        </w:rPr>
      </w:pPr>
      <w:r>
        <w:rPr>
          <w:rFonts w:hint="eastAsia" w:ascii="仿宋_GB2312" w:hAnsi="仿宋_GB2312" w:eastAsia="仿宋_GB2312"/>
          <w:color w:val="auto"/>
          <w:kern w:val="0"/>
          <w:sz w:val="32"/>
        </w:rPr>
        <w:t>（十六）对个人和家庭的补助（支出经济分类科目类级）：反映用于对个人和家庭的补助支出。</w:t>
      </w:r>
    </w:p>
    <w:p>
      <w:pPr>
        <w:spacing w:before="100" w:after="100" w:line="580" w:lineRule="atLeast"/>
        <w:ind w:firstLine="600"/>
        <w:rPr>
          <w:rFonts w:hint="default" w:eastAsia="Times New Roman"/>
          <w:color w:val="auto"/>
          <w:kern w:val="0"/>
          <w:sz w:val="24"/>
        </w:rPr>
      </w:pPr>
      <w:r>
        <w:rPr>
          <w:rFonts w:hint="eastAsia" w:ascii="仿宋_GB2312" w:hAnsi="仿宋_GB2312" w:eastAsia="仿宋_GB2312"/>
          <w:color w:val="auto"/>
          <w:kern w:val="0"/>
          <w:sz w:val="32"/>
        </w:rPr>
        <w:t>（十七）资本性支出（支出经济分类科目类级）：反映非各级发展与改革部门集中安排的用于购置固定资产、战略性和应急性储备、土地和无形资产，以及构建基础设施、大型修缮和财政支持企业更新改造所发生的支出。</w:t>
      </w:r>
    </w:p>
    <w:p>
      <w:pPr>
        <w:spacing w:before="100" w:after="100" w:line="580" w:lineRule="atLeast"/>
        <w:ind w:firstLine="600"/>
        <w:jc w:val="left"/>
        <w:rPr>
          <w:rFonts w:hint="default" w:eastAsia="Times New Roman"/>
          <w:color w:val="auto"/>
          <w:kern w:val="0"/>
          <w:sz w:val="24"/>
        </w:rPr>
      </w:pPr>
      <w:r>
        <w:rPr>
          <w:rFonts w:hint="default" w:eastAsia="Times New Roman"/>
          <w:color w:val="auto"/>
          <w:kern w:val="0"/>
          <w:sz w:val="32"/>
        </w:rPr>
        <w:t xml:space="preserve"> </w:t>
      </w:r>
    </w:p>
    <w:p>
      <w:pPr>
        <w:spacing w:before="100" w:after="100" w:line="580" w:lineRule="atLeast"/>
        <w:ind w:firstLine="600"/>
        <w:jc w:val="left"/>
        <w:rPr>
          <w:rFonts w:hint="default" w:eastAsia="Times New Roman"/>
          <w:color w:val="auto"/>
          <w:kern w:val="0"/>
          <w:sz w:val="24"/>
        </w:rPr>
      </w:pPr>
      <w:r>
        <w:rPr>
          <w:rFonts w:hint="eastAsia" w:ascii="仿宋_GB2312" w:hAnsi="仿宋_GB2312" w:eastAsia="仿宋_GB2312"/>
          <w:b/>
          <w:color w:val="auto"/>
          <w:kern w:val="0"/>
          <w:sz w:val="32"/>
        </w:rPr>
        <w:t>第四部分 决算公开联系方式及信息反馈渠道</w:t>
      </w:r>
    </w:p>
    <w:p>
      <w:pPr>
        <w:spacing w:before="100" w:after="100" w:line="580" w:lineRule="atLeast"/>
        <w:ind w:firstLine="600"/>
        <w:jc w:val="left"/>
        <w:rPr>
          <w:rFonts w:hint="default" w:eastAsia="Times New Roman"/>
          <w:color w:val="auto"/>
          <w:kern w:val="0"/>
          <w:sz w:val="24"/>
        </w:rPr>
      </w:pPr>
      <w:r>
        <w:rPr>
          <w:rFonts w:hint="eastAsia" w:ascii="仿宋_GB2312" w:hAnsi="仿宋_GB2312" w:eastAsia="仿宋_GB2312"/>
          <w:color w:val="auto"/>
          <w:kern w:val="0"/>
          <w:sz w:val="32"/>
        </w:rPr>
        <w:t>本单位决算公开信息反馈和联系方式：</w:t>
      </w:r>
    </w:p>
    <w:p>
      <w:pPr>
        <w:spacing w:before="100" w:after="100" w:line="580" w:lineRule="atLeast"/>
        <w:ind w:firstLine="600"/>
        <w:jc w:val="left"/>
        <w:rPr>
          <w:rFonts w:hint="default" w:eastAsia="Times New Roman"/>
          <w:color w:val="auto"/>
          <w:kern w:val="0"/>
          <w:sz w:val="24"/>
        </w:rPr>
      </w:pPr>
      <w:bookmarkStart w:id="0" w:name="_GoBack"/>
      <w:r>
        <w:rPr>
          <w:rFonts w:hint="eastAsia" w:ascii="仿宋_GB2312" w:hAnsi="仿宋_GB2312" w:eastAsia="仿宋_GB2312"/>
          <w:color w:val="auto"/>
          <w:kern w:val="0"/>
          <w:sz w:val="32"/>
        </w:rPr>
        <w:t xml:space="preserve">联系人：时颖秋 </w:t>
      </w:r>
      <w:r>
        <w:rPr>
          <w:rFonts w:hint="default" w:eastAsia="Times New Roman"/>
          <w:color w:val="auto"/>
          <w:kern w:val="0"/>
          <w:sz w:val="32"/>
        </w:rPr>
        <w:t xml:space="preserve">   </w:t>
      </w:r>
      <w:r>
        <w:rPr>
          <w:rFonts w:hint="eastAsia" w:ascii="仿宋_GB2312" w:hAnsi="仿宋_GB2312" w:eastAsia="仿宋_GB2312"/>
          <w:color w:val="auto"/>
          <w:kern w:val="0"/>
          <w:sz w:val="32"/>
        </w:rPr>
        <w:t>联系电话：0470</w:t>
      </w:r>
      <w:r>
        <w:rPr>
          <w:rFonts w:hint="default" w:eastAsia="Times New Roman"/>
          <w:color w:val="auto"/>
          <w:kern w:val="0"/>
          <w:sz w:val="32"/>
        </w:rPr>
        <w:t>-</w:t>
      </w:r>
      <w:r>
        <w:rPr>
          <w:rFonts w:hint="eastAsia" w:ascii="仿宋_GB2312" w:hAnsi="仿宋_GB2312" w:eastAsia="仿宋_GB2312"/>
          <w:color w:val="auto"/>
          <w:kern w:val="0"/>
          <w:sz w:val="32"/>
        </w:rPr>
        <w:t>4626366</w:t>
      </w:r>
    </w:p>
    <w:bookmarkEnd w:id="0"/>
    <w:p>
      <w:pPr>
        <w:jc w:val="left"/>
        <w:rPr>
          <w:rFonts w:hint="default" w:eastAsia="Times New Roman"/>
          <w:color w:val="auto"/>
          <w:kern w:val="0"/>
          <w:sz w:val="18"/>
          <w:lang w:val="zh-CN"/>
        </w:rPr>
      </w:pPr>
    </w:p>
    <w:p>
      <w:pPr>
        <w:jc w:val="left"/>
        <w:rPr>
          <w:rFonts w:hint="eastAsia" w:ascii="仿宋_GB2312" w:hAnsi="仿宋_GB2312" w:eastAsia="仿宋_GB2312"/>
          <w:b/>
          <w:color w:val="FF0000"/>
          <w:kern w:val="0"/>
          <w:sz w:val="44"/>
          <w:lang w:val="en-US"/>
        </w:rPr>
      </w:pPr>
    </w:p>
    <w:p>
      <w:pPr>
        <w:jc w:val="left"/>
        <w:rPr>
          <w:rFonts w:hint="default" w:eastAsia="Times New Roman"/>
          <w:b/>
          <w:color w:val="auto"/>
          <w:sz w:val="36"/>
          <w:lang w:val="en-US"/>
        </w:rPr>
      </w:pPr>
    </w:p>
    <w:sectPr>
      <w:pgSz w:w="12240" w:h="15840"/>
      <w:pgMar w:top="1440" w:right="1800" w:bottom="1440" w:left="1800" w:header="720" w:footer="720" w:gutter="0"/>
      <w:lnNumType w:countBy="0" w:distance="36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2C063C"/>
    <w:multiLevelType w:val="multilevel"/>
    <w:tmpl w:val="842C063C"/>
    <w:lvl w:ilvl="0" w:tentative="0">
      <w:start w:val="3"/>
      <w:numFmt w:val="decimal"/>
      <w:suff w:val="nothing"/>
      <w:lvlText w:val="%1、"/>
      <w:lvlJc w:val="left"/>
      <w:rPr>
        <w:rFonts w:hint="default"/>
        <w:u w:val="none" w:color="auto"/>
      </w:rPr>
    </w:lvl>
    <w:lvl w:ilvl="1" w:tentative="0">
      <w:start w:val="1"/>
      <w:numFmt w:val="decimal"/>
      <w:lvlText w:val=""/>
      <w:lvlJc w:val="left"/>
      <w:rPr>
        <w:rFonts w:hint="default"/>
        <w:u w:val="none" w:color="auto"/>
      </w:rPr>
    </w:lvl>
    <w:lvl w:ilvl="2" w:tentative="0">
      <w:start w:val="1"/>
      <w:numFmt w:val="decimal"/>
      <w:lvlText w:val=""/>
      <w:lvlJc w:val="left"/>
      <w:rPr>
        <w:rFonts w:hint="default"/>
        <w:u w:val="none" w:color="auto"/>
      </w:rPr>
    </w:lvl>
    <w:lvl w:ilvl="3" w:tentative="0">
      <w:start w:val="1"/>
      <w:numFmt w:val="decimal"/>
      <w:lvlText w:val=""/>
      <w:lvlJc w:val="left"/>
      <w:rPr>
        <w:rFonts w:hint="default"/>
        <w:u w:val="none" w:color="auto"/>
      </w:rPr>
    </w:lvl>
    <w:lvl w:ilvl="4" w:tentative="0">
      <w:start w:val="1"/>
      <w:numFmt w:val="decimal"/>
      <w:lvlText w:val=""/>
      <w:lvlJc w:val="left"/>
      <w:rPr>
        <w:rFonts w:hint="default"/>
        <w:u w:val="none" w:color="auto"/>
      </w:rPr>
    </w:lvl>
    <w:lvl w:ilvl="5" w:tentative="0">
      <w:start w:val="1"/>
      <w:numFmt w:val="decimal"/>
      <w:lvlText w:val=""/>
      <w:lvlJc w:val="left"/>
      <w:rPr>
        <w:rFonts w:hint="default"/>
        <w:u w:val="none" w:color="auto"/>
      </w:rPr>
    </w:lvl>
    <w:lvl w:ilvl="6" w:tentative="0">
      <w:start w:val="1"/>
      <w:numFmt w:val="decimal"/>
      <w:lvlText w:val=""/>
      <w:lvlJc w:val="left"/>
      <w:rPr>
        <w:rFonts w:hint="default"/>
        <w:u w:val="none" w:color="auto"/>
      </w:rPr>
    </w:lvl>
    <w:lvl w:ilvl="7" w:tentative="0">
      <w:start w:val="1"/>
      <w:numFmt w:val="decimal"/>
      <w:lvlText w:val=""/>
      <w:lvlJc w:val="left"/>
      <w:rPr>
        <w:rFonts w:hint="default"/>
        <w:u w:val="none" w:color="auto"/>
      </w:rPr>
    </w:lvl>
    <w:lvl w:ilvl="8" w:tentative="0">
      <w:start w:val="1"/>
      <w:numFmt w:val="decimal"/>
      <w:lvlText w:val=""/>
      <w:lvlJc w:val="left"/>
      <w:rPr>
        <w:rFonts w:hint="default"/>
        <w:u w:val="none" w:color="auto"/>
      </w:rPr>
    </w:lvl>
  </w:abstractNum>
  <w:abstractNum w:abstractNumId="1">
    <w:nsid w:val="777B5FC6"/>
    <w:multiLevelType w:val="multilevel"/>
    <w:tmpl w:val="777B5FC6"/>
    <w:lvl w:ilvl="0" w:tentative="0">
      <w:start w:val="1"/>
      <w:numFmt w:val="decimal"/>
      <w:suff w:val="nothing"/>
      <w:lvlText w:val="%1、"/>
      <w:lvlJc w:val="left"/>
      <w:rPr>
        <w:rFonts w:hint="default"/>
        <w:u w:val="none" w:color="auto"/>
      </w:rPr>
    </w:lvl>
    <w:lvl w:ilvl="1" w:tentative="0">
      <w:start w:val="1"/>
      <w:numFmt w:val="decimal"/>
      <w:lvlText w:val=""/>
      <w:lvlJc w:val="left"/>
      <w:rPr>
        <w:rFonts w:hint="default"/>
        <w:u w:val="none" w:color="auto"/>
      </w:rPr>
    </w:lvl>
    <w:lvl w:ilvl="2" w:tentative="0">
      <w:start w:val="1"/>
      <w:numFmt w:val="decimal"/>
      <w:lvlText w:val=""/>
      <w:lvlJc w:val="left"/>
      <w:rPr>
        <w:rFonts w:hint="default"/>
        <w:u w:val="none" w:color="auto"/>
      </w:rPr>
    </w:lvl>
    <w:lvl w:ilvl="3" w:tentative="0">
      <w:start w:val="1"/>
      <w:numFmt w:val="decimal"/>
      <w:lvlText w:val=""/>
      <w:lvlJc w:val="left"/>
      <w:rPr>
        <w:rFonts w:hint="default"/>
        <w:u w:val="none" w:color="auto"/>
      </w:rPr>
    </w:lvl>
    <w:lvl w:ilvl="4" w:tentative="0">
      <w:start w:val="1"/>
      <w:numFmt w:val="decimal"/>
      <w:lvlText w:val=""/>
      <w:lvlJc w:val="left"/>
      <w:rPr>
        <w:rFonts w:hint="default"/>
        <w:u w:val="none" w:color="auto"/>
      </w:rPr>
    </w:lvl>
    <w:lvl w:ilvl="5" w:tentative="0">
      <w:start w:val="1"/>
      <w:numFmt w:val="decimal"/>
      <w:lvlText w:val=""/>
      <w:lvlJc w:val="left"/>
      <w:rPr>
        <w:rFonts w:hint="default"/>
        <w:u w:val="none" w:color="auto"/>
      </w:rPr>
    </w:lvl>
    <w:lvl w:ilvl="6" w:tentative="0">
      <w:start w:val="1"/>
      <w:numFmt w:val="decimal"/>
      <w:lvlText w:val=""/>
      <w:lvlJc w:val="left"/>
      <w:rPr>
        <w:rFonts w:hint="default"/>
        <w:u w:val="none" w:color="auto"/>
      </w:rPr>
    </w:lvl>
    <w:lvl w:ilvl="7" w:tentative="0">
      <w:start w:val="1"/>
      <w:numFmt w:val="decimal"/>
      <w:lvlText w:val=""/>
      <w:lvlJc w:val="left"/>
      <w:rPr>
        <w:rFonts w:hint="default"/>
        <w:u w:val="none" w:color="auto"/>
      </w:rPr>
    </w:lvl>
    <w:lvl w:ilvl="8" w:tentative="0">
      <w:start w:val="1"/>
      <w:numFmt w:val="decimal"/>
      <w:lvlText w:val=""/>
      <w:lvlJc w:val="left"/>
      <w:rPr>
        <w:rFonts w:hint="default"/>
        <w:u w:val="none" w:color="auto"/>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80"/>
  <w:doNotDisplayPageBoundaries w:val="1"/>
  <w:bordersDoNotSurroundHeader w:val="1"/>
  <w:bordersDoNotSurroundFooter w:val="1"/>
  <w:documentProtection w:enforcement="0"/>
  <w:defaultTabStop w:val="720"/>
  <w:hyphenationZone w:val="360"/>
  <w:drawingGridHorizontalSpacing w:val="120"/>
  <w:drawingGridVerticalSpacing w:val="120"/>
  <w:displayHorizontalDrawingGridEvery w:val="3"/>
  <w:displayVerticalDrawingGridEvery w:val="3"/>
  <w:doNotUseMarginsForDrawingGridOrigin w:val="1"/>
  <w:drawingGridHorizontalOrigin w:val="1701"/>
  <w:drawingGridVerticalOrigin w:val="1984"/>
  <w:doNotShadeFormData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9D2796D"/>
    <w:rsid w:val="0B4D331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semiHidden="0" w:name="index 1"/>
    <w:lsdException w:qFormat="1" w:unhideWhenUsed="0" w:uiPriority="99" w:semiHidden="0" w:name="index 2"/>
    <w:lsdException w:qFormat="1" w:unhideWhenUsed="0" w:uiPriority="99" w:semiHidden="0" w:name="index 3"/>
    <w:lsdException w:qFormat="1" w:unhideWhenUsed="0" w:uiPriority="99" w:semiHidden="0" w:name="index 4"/>
    <w:lsdException w:qFormat="1" w:unhideWhenUsed="0" w:uiPriority="99" w:semiHidden="0" w:name="index 5"/>
    <w:lsdException w:qFormat="1" w:unhideWhenUsed="0" w:uiPriority="99" w:semiHidden="0" w:name="index 6"/>
    <w:lsdException w:qFormat="1" w:unhideWhenUsed="0" w:uiPriority="99" w:semiHidden="0" w:name="index 7"/>
    <w:lsdException w:qFormat="1" w:unhideWhenUsed="0" w:uiPriority="99" w:semiHidden="0" w:name="index 8"/>
    <w:lsdException w:qFormat="1" w:unhideWhenUsed="0" w:uiPriority="99" w:semiHidden="0" w:name="index 9"/>
    <w:lsdException w:qFormat="1" w:unhideWhenUsed="0" w:uiPriority="99" w:semiHidden="0" w:name="toc 1"/>
    <w:lsdException w:qFormat="1" w:unhideWhenUsed="0" w:uiPriority="99" w:semiHidden="0" w:name="toc 2"/>
    <w:lsdException w:qFormat="1" w:unhideWhenUsed="0" w:uiPriority="99" w:semiHidden="0"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qFormat="1" w:unhideWhenUsed="0" w:uiPriority="99"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99" w:semiHidden="0" w:name="index heading"/>
    <w:lsdException w:qFormat="1" w:unhideWhenUsed="0" w:uiPriority="99" w:semiHidden="0" w:name="caption"/>
    <w:lsdException w:qFormat="1" w:unhideWhenUsed="0" w:uiPriority="99" w:semiHidden="0" w:name="table of figures"/>
    <w:lsdException w:qFormat="1" w:unhideWhenUsed="0" w:uiPriority="99" w:semiHidden="0" w:name="envelope address"/>
    <w:lsdException w:qFormat="1" w:unhideWhenUsed="0" w:uiPriority="99" w:semiHidden="0" w:name="envelope return"/>
    <w:lsdException w:qFormat="1" w:unhideWhenUsed="0" w:uiPriority="99" w:semiHidden="0" w:name="footnote reference"/>
    <w:lsdException w:qFormat="1" w:unhideWhenUsed="0" w:uiPriority="99" w:semiHidden="0" w:name="annotation reference"/>
    <w:lsdException w:qFormat="1" w:unhideWhenUsed="0" w:uiPriority="99" w:semiHidden="0" w:name="line number"/>
    <w:lsdException w:qFormat="1" w:unhideWhenUsed="0" w:uiPriority="99" w:semiHidden="0" w:name="page number"/>
    <w:lsdException w:qFormat="1" w:unhideWhenUsed="0" w:uiPriority="99" w:semiHidden="0" w:name="endnote reference"/>
    <w:lsdException w:qFormat="1" w:unhideWhenUsed="0" w:uiPriority="99" w:semiHidden="0" w:name="endnote text"/>
    <w:lsdException w:qFormat="1" w:unhideWhenUsed="0" w:uiPriority="99" w:semiHidden="0" w:name="table of authorities"/>
    <w:lsdException w:qFormat="1" w:unhideWhenUsed="0" w:uiPriority="99" w:semiHidden="0" w:name="macro"/>
    <w:lsdException w:qFormat="1" w:unhideWhenUsed="0" w:uiPriority="99" w:semiHidden="0" w:name="toa heading"/>
    <w:lsdException w:qFormat="1" w:unhideWhenUsed="0" w:uiPriority="99" w:semiHidden="0" w:name="List"/>
    <w:lsdException w:qFormat="1" w:unhideWhenUsed="0" w:uiPriority="99" w:semiHidden="0" w:name="List Bullet"/>
    <w:lsdException w:qFormat="1" w:unhideWhenUsed="0" w:uiPriority="99" w:semiHidden="0" w:name="List Number"/>
    <w:lsdException w:qFormat="1" w:unhideWhenUsed="0" w:uiPriority="99" w:semiHidden="0" w:name="List 2"/>
    <w:lsdException w:qFormat="1" w:unhideWhenUsed="0" w:uiPriority="99" w:semiHidden="0" w:name="List 3"/>
    <w:lsdException w:qFormat="1" w:unhideWhenUsed="0" w:uiPriority="99" w:semiHidden="0" w:name="List 4"/>
    <w:lsdException w:qFormat="1" w:unhideWhenUsed="0" w:uiPriority="99" w:semiHidden="0" w:name="List 5"/>
    <w:lsdException w:qFormat="1" w:unhideWhenUsed="0" w:uiPriority="99" w:semiHidden="0" w:name="List Bullet 2"/>
    <w:lsdException w:qFormat="1" w:unhideWhenUsed="0" w:uiPriority="99" w:semiHidden="0" w:name="List Bullet 3"/>
    <w:lsdException w:qFormat="1" w:unhideWhenUsed="0" w:uiPriority="99" w:semiHidden="0" w:name="List Bullet 4"/>
    <w:lsdException w:qFormat="1" w:unhideWhenUsed="0" w:uiPriority="99" w:semiHidden="0" w:name="List Bullet 5"/>
    <w:lsdException w:qFormat="1" w:unhideWhenUsed="0" w:uiPriority="99" w:semiHidden="0" w:name="List Number 2"/>
    <w:lsdException w:qFormat="1" w:unhideWhenUsed="0" w:uiPriority="99" w:semiHidden="0" w:name="List Number 3"/>
    <w:lsdException w:qFormat="1" w:unhideWhenUsed="0" w:uiPriority="99" w:semiHidden="0" w:name="List Number 4"/>
    <w:lsdException w:qFormat="1" w:unhideWhenUsed="0" w:uiPriority="99" w:semiHidden="0" w:name="List Number 5"/>
    <w:lsdException w:qFormat="1" w:unhideWhenUsed="0" w:uiPriority="99" w:semiHidden="0" w:name="Title"/>
    <w:lsdException w:qFormat="1" w:unhideWhenUsed="0" w:uiPriority="99" w:semiHidden="0" w:name="Closing"/>
    <w:lsdException w:qFormat="1" w:unhideWhenUsed="0" w:uiPriority="99" w:semiHidden="0" w:name="Signature"/>
    <w:lsdException w:uiPriority="99" w:semiHidden="0" w:name="Default Paragraph Font"/>
    <w:lsdException w:qFormat="1" w:unhideWhenUsed="0" w:uiPriority="99" w:semiHidden="0" w:name="Body Text"/>
    <w:lsdException w:qFormat="1" w:unhideWhenUsed="0" w:uiPriority="99" w:semiHidden="0" w:name="Body Text Indent"/>
    <w:lsdException w:qFormat="1" w:unhideWhenUsed="0" w:uiPriority="99" w:semiHidden="0" w:name="List Continue"/>
    <w:lsdException w:qFormat="1" w:unhideWhenUsed="0" w:uiPriority="99" w:semiHidden="0" w:name="List Continue 2"/>
    <w:lsdException w:qFormat="1" w:unhideWhenUsed="0" w:uiPriority="99" w:semiHidden="0" w:name="List Continue 3"/>
    <w:lsdException w:qFormat="1" w:unhideWhenUsed="0" w:uiPriority="99" w:semiHidden="0" w:name="List Continue 4"/>
    <w:lsdException w:qFormat="1" w:unhideWhenUsed="0" w:uiPriority="99" w:semiHidden="0" w:name="List Continue 5"/>
    <w:lsdException w:qFormat="1" w:unhideWhenUsed="0" w:uiPriority="99" w:semiHidden="0" w:name="Message Header"/>
    <w:lsdException w:qFormat="1" w:unhideWhenUsed="0" w:uiPriority="99" w:semiHidden="0" w:name="Subtitle"/>
    <w:lsdException w:qFormat="1" w:unhideWhenUsed="0" w:uiPriority="99" w:semiHidden="0" w:name="Salutation"/>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qFormat="1" w:unhideWhenUsed="0" w:uiPriority="99" w:semiHidden="0"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99" w:semiHidden="0" w:name="Emphasis"/>
    <w:lsdException w:qFormat="1" w:unhideWhenUsed="0" w:uiPriority="99" w:semiHidden="0" w:name="Document Map"/>
    <w:lsdException w:qFormat="1" w:unhideWhenUsed="0" w:uiPriority="99" w:semiHidden="0" w:name="Plain Text"/>
    <w:lsdException w:qFormat="1" w:unhideWhenUsed="0" w:uiPriority="99" w:semiHidden="0" w:name="E-mail Signature"/>
    <w:lsdException w:qFormat="1" w:unhideWhenUsed="0" w:uiPriority="99" w:semiHidden="0" w:name="Normal (Web)"/>
    <w:lsdException w:qFormat="1" w:unhideWhenUsed="0" w:uiPriority="99" w:semiHidden="0" w:name="HTML Acronym"/>
    <w:lsdException w:qFormat="1" w:unhideWhenUsed="0" w:uiPriority="99" w:semiHidden="0" w:name="HTML Address"/>
    <w:lsdException w:qFormat="1" w:unhideWhenUsed="0" w:uiPriority="99" w:semiHidden="0" w:name="HTML Cite"/>
    <w:lsdException w:qFormat="1" w:unhideWhenUsed="0" w:uiPriority="99" w:semiHidden="0" w:name="HTML Code"/>
    <w:lsdException w:qFormat="1" w:unhideWhenUsed="0" w:uiPriority="99" w:semiHidden="0" w:name="HTML Definition"/>
    <w:lsdException w:qFormat="1" w:unhideWhenUsed="0" w:uiPriority="99" w:semiHidden="0" w:name="HTML Keyboard"/>
    <w:lsdException w:qFormat="1" w:unhideWhenUsed="0" w:uiPriority="99" w:semiHidden="0" w:name="HTML Preformatted"/>
    <w:lsdException w:qFormat="1" w:unhideWhenUsed="0" w:uiPriority="99" w:semiHidden="0" w:name="HTML Sample"/>
    <w:lsdException w:qFormat="1" w:unhideWhenUsed="0" w:uiPriority="99" w:semiHidden="0" w:name="HTML Typewriter"/>
    <w:lsdException w:qFormat="1" w:unhideWhenUsed="0" w:uiPriority="99" w:semiHidden="0" w:name="HTML Variable"/>
    <w:lsdException w:qFormat="1" w:unhideWhenUsed="0" w:uiPriority="99" w:semiHidden="0" w:name="Normal Table"/>
    <w:lsdException w:qFormat="1" w:unhideWhenUsed="0" w:uiPriority="99" w:semiHidden="0" w:name="annotation subject"/>
    <w:lsdException w:qFormat="1" w:unhideWhenUsed="0" w:uiPriority="99" w:semiHidden="0" w:name="Table Simple 1"/>
    <w:lsdException w:qFormat="1" w:unhideWhenUsed="0" w:uiPriority="99" w:semiHidden="0" w:name="Table Simple 2"/>
    <w:lsdException w:qFormat="1" w:unhideWhenUsed="0" w:uiPriority="99" w:semiHidden="0" w:name="Table Simple 3"/>
    <w:lsdException w:qFormat="1" w:unhideWhenUsed="0" w:uiPriority="99" w:semiHidden="0" w:name="Table Classic 1"/>
    <w:lsdException w:qFormat="1" w:unhideWhenUsed="0" w:uiPriority="99" w:semiHidden="0" w:name="Table Classic 2"/>
    <w:lsdException w:qFormat="1" w:unhideWhenUsed="0" w:uiPriority="99" w:semiHidden="0" w:name="Table Classic 3"/>
    <w:lsdException w:qFormat="1" w:unhideWhenUsed="0" w:uiPriority="99" w:semiHidden="0" w:name="Table Classic 4"/>
    <w:lsdException w:qFormat="1" w:unhideWhenUsed="0" w:uiPriority="99" w:semiHidden="0" w:name="Table Colorful 1"/>
    <w:lsdException w:qFormat="1" w:unhideWhenUsed="0" w:uiPriority="99" w:semiHidden="0" w:name="Table Colorful 2"/>
    <w:lsdException w:qFormat="1" w:unhideWhenUsed="0" w:uiPriority="99" w:semiHidden="0" w:name="Table Colorful 3"/>
    <w:lsdException w:qFormat="1" w:unhideWhenUsed="0" w:uiPriority="99" w:semiHidden="0" w:name="Table Columns 1"/>
    <w:lsdException w:qFormat="1" w:unhideWhenUsed="0" w:uiPriority="99" w:semiHidden="0" w:name="Table Columns 2"/>
    <w:lsdException w:qFormat="1" w:unhideWhenUsed="0" w:uiPriority="99" w:semiHidden="0" w:name="Table Columns 3"/>
    <w:lsdException w:qFormat="1" w:unhideWhenUsed="0" w:uiPriority="99" w:semiHidden="0" w:name="Table Columns 4"/>
    <w:lsdException w:qFormat="1" w:unhideWhenUsed="0" w:uiPriority="99" w:semiHidden="0" w:name="Table Columns 5"/>
    <w:lsdException w:qFormat="1" w:unhideWhenUsed="0" w:uiPriority="99" w:semiHidden="0" w:name="Table Grid 1"/>
    <w:lsdException w:qFormat="1" w:unhideWhenUsed="0" w:uiPriority="99" w:semiHidden="0" w:name="Table Grid 2"/>
    <w:lsdException w:qFormat="1" w:unhideWhenUsed="0" w:uiPriority="99" w:semiHidden="0" w:name="Table Grid 3"/>
    <w:lsdException w:qFormat="1" w:unhideWhenUsed="0" w:uiPriority="99" w:semiHidden="0" w:name="Table Grid 4"/>
    <w:lsdException w:qFormat="1" w:unhideWhenUsed="0" w:uiPriority="99" w:semiHidden="0" w:name="Table Grid 5"/>
    <w:lsdException w:qFormat="1" w:unhideWhenUsed="0" w:uiPriority="99" w:semiHidden="0" w:name="Table Grid 6"/>
    <w:lsdException w:qFormat="1" w:unhideWhenUsed="0" w:uiPriority="99" w:semiHidden="0" w:name="Table Grid 7"/>
    <w:lsdException w:qFormat="1" w:unhideWhenUsed="0" w:uiPriority="99" w:semiHidden="0" w:name="Table Grid 8"/>
    <w:lsdException w:qFormat="1" w:unhideWhenUsed="0" w:uiPriority="99" w:semiHidden="0" w:name="Table List 1"/>
    <w:lsdException w:qFormat="1" w:unhideWhenUsed="0" w:uiPriority="99" w:semiHidden="0" w:name="Table List 2"/>
    <w:lsdException w:qFormat="1" w:unhideWhenUsed="0" w:uiPriority="99" w:semiHidden="0" w:name="Table List 3"/>
    <w:lsdException w:qFormat="1" w:unhideWhenUsed="0" w:uiPriority="99" w:semiHidden="0" w:name="Table List 4"/>
    <w:lsdException w:qFormat="1" w:unhideWhenUsed="0" w:uiPriority="99" w:semiHidden="0" w:name="Table List 5"/>
    <w:lsdException w:qFormat="1" w:unhideWhenUsed="0" w:uiPriority="99" w:semiHidden="0" w:name="Table List 6"/>
    <w:lsdException w:qFormat="1" w:unhideWhenUsed="0" w:uiPriority="99" w:semiHidden="0" w:name="Table List 7"/>
    <w:lsdException w:qFormat="1" w:unhideWhenUsed="0" w:uiPriority="99" w:semiHidden="0" w:name="Table List 8"/>
    <w:lsdException w:qFormat="1" w:unhideWhenUsed="0" w:uiPriority="99" w:semiHidden="0" w:name="Table 3D effects 1"/>
    <w:lsdException w:qFormat="1" w:unhideWhenUsed="0" w:uiPriority="99" w:semiHidden="0" w:name="Table 3D effects 2"/>
    <w:lsdException w:qFormat="1" w:unhideWhenUsed="0" w:uiPriority="99" w:semiHidden="0" w:name="Table 3D effects 3"/>
    <w:lsdException w:qFormat="1" w:unhideWhenUsed="0" w:uiPriority="99" w:semiHidden="0" w:name="Table Contemporary"/>
    <w:lsdException w:qFormat="1" w:unhideWhenUsed="0" w:uiPriority="99" w:semiHidden="0" w:name="Table Elegant"/>
    <w:lsdException w:qFormat="1" w:unhideWhenUsed="0" w:uiPriority="99" w:semiHidden="0" w:name="Table Professional"/>
    <w:lsdException w:qFormat="1" w:unhideWhenUsed="0" w:uiPriority="99" w:semiHidden="0" w:name="Table Subtle 1"/>
    <w:lsdException w:qFormat="1" w:unhideWhenUsed="0" w:uiPriority="99" w:semiHidden="0" w:name="Table Subtle 2"/>
    <w:lsdException w:qFormat="1" w:unhideWhenUsed="0" w:uiPriority="99" w:semiHidden="0" w:name="Table Web 1"/>
    <w:lsdException w:qFormat="1" w:unhideWhenUsed="0" w:uiPriority="99" w:semiHidden="0" w:name="Table Web 2"/>
    <w:lsdException w:qFormat="1" w:unhideWhenUsed="0" w:uiPriority="99" w:semiHidden="0" w:name="Table Web 3"/>
    <w:lsdException w:qFormat="1" w:unhideWhenUsed="0" w:uiPriority="99" w:semiHidden="0" w:name="Balloon Text"/>
    <w:lsdException w:qFormat="1" w:unhideWhenUsed="0" w:uiPriority="99" w:semiHidden="0" w:name="Table Grid"/>
    <w:lsdException w:qFormat="1"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nhideWhenUsed/>
    <w:uiPriority w:val="0"/>
    <w:pPr>
      <w:jc w:val="both"/>
    </w:pPr>
    <w:rPr>
      <w:rFonts w:hint="default" w:ascii="Times New Roman" w:hAnsi="Times New Roman" w:eastAsia="宋体" w:cs="Times New Roman"/>
      <w:kern w:val="2"/>
      <w:sz w:val="21"/>
    </w:rPr>
  </w:style>
  <w:style w:type="character" w:default="1" w:styleId="3">
    <w:name w:val="Default Paragraph Font"/>
    <w:unhideWhenUsed/>
    <w:uiPriority w:val="99"/>
    <w:rPr>
      <w:rFonts w:hint="default"/>
      <w:sz w:val="24"/>
    </w:rPr>
  </w:style>
  <w:style w:type="table" w:default="1" w:styleId="2">
    <w:name w:val="Normal Table"/>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24</Pages>
  <Words>9080</Words>
  <Characters>9789</Characters>
  <TotalTime>3</TotalTime>
  <ScaleCrop>false</ScaleCrop>
  <LinksUpToDate>false</LinksUpToDate>
  <CharactersWithSpaces>9857</CharactersWithSpaces>
  <Application>WPS Office_11.1.0.11744_F1E327BC-269C-435d-A152-05C5408002CA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2022-10-27T14:53:00Z</dcterms:created>
  <dc:creator>13948076830</dc:creator>
  <cp:lastModifiedBy>cgh</cp:lastModifiedBy>
  <dcterms:modified xsi:type="dcterms:W3CDTF">2022-10-04T04:06:12Z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11E9E67BA16C4998A19B788D59552233</vt:lpwstr>
  </property>
</Properties>
</file>