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before="100" w:beforeLines="0" w:after="100" w:afterLines="0" w:line="580" w:lineRule="atLeast"/>
        <w:ind w:firstLine="600"/>
        <w:jc w:val="center"/>
        <w:rPr>
          <w:rFonts w:hint="default"/>
          <w:b/>
          <w:kern w:val="0"/>
          <w:sz w:val="36"/>
          <w:szCs w:val="36"/>
        </w:rPr>
      </w:pPr>
      <w:r>
        <w:rPr>
          <w:rFonts w:hint="default"/>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b/>
          <w:kern w:val="0"/>
          <w:sz w:val="36"/>
          <w:szCs w:val="36"/>
        </w:rPr>
      </w:pPr>
    </w:p>
    <w:p>
      <w:pPr>
        <w:autoSpaceDE w:val="0"/>
        <w:autoSpaceDN w:val="0"/>
        <w:adjustRightInd w:val="0"/>
        <w:spacing w:before="100" w:beforeLines="0" w:after="100" w:afterLines="0" w:line="580" w:lineRule="atLeast"/>
        <w:ind w:firstLine="600"/>
        <w:jc w:val="center"/>
        <w:rPr>
          <w:rFonts w:hint="default"/>
          <w:b/>
          <w:kern w:val="0"/>
          <w:sz w:val="36"/>
          <w:szCs w:val="36"/>
        </w:rPr>
      </w:pPr>
    </w:p>
    <w:p>
      <w:pPr>
        <w:autoSpaceDE w:val="0"/>
        <w:autoSpaceDN w:val="0"/>
        <w:adjustRightInd w:val="0"/>
        <w:spacing w:before="100" w:beforeLines="0" w:after="100" w:afterLines="0" w:line="580" w:lineRule="atLeast"/>
        <w:ind w:firstLine="600"/>
        <w:jc w:val="center"/>
        <w:rPr>
          <w:rFonts w:hint="default"/>
          <w:kern w:val="0"/>
          <w:sz w:val="24"/>
          <w:szCs w:val="24"/>
        </w:rPr>
      </w:pPr>
    </w:p>
    <w:p>
      <w:pPr>
        <w:autoSpaceDE w:val="0"/>
        <w:autoSpaceDN w:val="0"/>
        <w:adjustRightInd w:val="0"/>
        <w:spacing w:before="100" w:beforeLines="0" w:after="100" w:afterLines="0" w:line="580" w:lineRule="atLeast"/>
        <w:ind w:firstLine="600"/>
        <w:jc w:val="center"/>
        <w:rPr>
          <w:rFonts w:hint="default"/>
          <w:kern w:val="0"/>
          <w:sz w:val="24"/>
          <w:szCs w:val="24"/>
        </w:rPr>
      </w:pPr>
      <w:r>
        <w:rPr>
          <w:rFonts w:hint="default"/>
          <w:b/>
          <w:kern w:val="0"/>
          <w:sz w:val="36"/>
          <w:szCs w:val="36"/>
        </w:rPr>
        <w:t xml:space="preserve"> </w:t>
      </w:r>
    </w:p>
    <w:p>
      <w:pPr>
        <w:autoSpaceDE w:val="0"/>
        <w:autoSpaceDN w:val="0"/>
        <w:adjustRightInd w:val="0"/>
        <w:spacing w:before="100" w:beforeLines="0" w:after="100" w:afterLines="0"/>
        <w:ind w:firstLine="601"/>
        <w:jc w:val="center"/>
        <w:rPr>
          <w:rFonts w:hint="default" w:eastAsia="仿宋_GB2312"/>
          <w:color w:val="000000"/>
          <w:kern w:val="0"/>
          <w:sz w:val="24"/>
          <w:szCs w:val="24"/>
        </w:rPr>
      </w:pPr>
      <w:r>
        <w:rPr>
          <w:rFonts w:hint="eastAsia" w:ascii="仿宋_GB2312" w:eastAsia="仿宋_GB2312" w:cs="仿宋_GB2312"/>
          <w:b/>
          <w:color w:val="000000"/>
          <w:kern w:val="0"/>
          <w:sz w:val="44"/>
          <w:szCs w:val="44"/>
        </w:rPr>
        <w:t>内蒙古自治区呼伦贝尔市莫力达瓦达斡尔族自治旗文化和旅游局</w:t>
      </w:r>
    </w:p>
    <w:p>
      <w:pPr>
        <w:autoSpaceDE w:val="0"/>
        <w:autoSpaceDN w:val="0"/>
        <w:adjustRightInd w:val="0"/>
        <w:spacing w:before="100" w:beforeLines="0" w:after="100" w:afterLines="0"/>
        <w:ind w:firstLine="601"/>
        <w:jc w:val="center"/>
        <w:rPr>
          <w:rFonts w:hint="default" w:eastAsia="仿宋_GB2312"/>
          <w:color w:val="000000"/>
          <w:kern w:val="0"/>
          <w:sz w:val="24"/>
          <w:szCs w:val="24"/>
        </w:rPr>
      </w:pPr>
      <w:r>
        <w:rPr>
          <w:rFonts w:hint="eastAsia" w:ascii="仿宋_GB2312" w:eastAsia="仿宋_GB2312" w:cs="仿宋_GB2312"/>
          <w:b/>
          <w:color w:val="000000"/>
          <w:kern w:val="0"/>
          <w:sz w:val="44"/>
          <w:szCs w:val="44"/>
        </w:rPr>
        <w:t>2021年度决算公开报告</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ind w:firstLine="601"/>
        <w:jc w:val="left"/>
        <w:rPr>
          <w:rFonts w:hint="default" w:eastAsia="仿宋_GB2312"/>
          <w:kern w:val="0"/>
          <w:sz w:val="24"/>
          <w:szCs w:val="24"/>
        </w:rPr>
      </w:pPr>
      <w:r>
        <w:rPr>
          <w:rFonts w:hint="default" w:eastAsia="仿宋_GB2312"/>
          <w:b/>
          <w:kern w:val="0"/>
          <w:sz w:val="44"/>
          <w:szCs w:val="44"/>
        </w:rPr>
        <w:t xml:space="preserve"> </w:t>
      </w:r>
    </w:p>
    <w:p>
      <w:pPr>
        <w:autoSpaceDE w:val="0"/>
        <w:autoSpaceDN w:val="0"/>
        <w:adjustRightInd w:val="0"/>
        <w:spacing w:before="100" w:beforeLines="0" w:after="100" w:afterLines="0"/>
        <w:ind w:firstLine="601"/>
        <w:jc w:val="center"/>
        <w:rPr>
          <w:rFonts w:hint="default" w:eastAsia="仿宋_GB2312"/>
          <w:kern w:val="0"/>
          <w:sz w:val="24"/>
          <w:szCs w:val="24"/>
        </w:rPr>
      </w:pPr>
      <w:r>
        <w:rPr>
          <w:rFonts w:hint="eastAsia" w:ascii="仿宋_GB2312" w:eastAsia="仿宋_GB2312" w:cs="仿宋_GB2312"/>
          <w:b/>
          <w:kern w:val="0"/>
          <w:sz w:val="44"/>
          <w:szCs w:val="44"/>
        </w:rPr>
        <w:t>目录</w:t>
      </w:r>
    </w:p>
    <w:p>
      <w:pPr>
        <w:autoSpaceDE w:val="0"/>
        <w:autoSpaceDN w:val="0"/>
        <w:adjustRightInd w:val="0"/>
        <w:spacing w:before="100" w:beforeLines="0" w:after="100" w:afterLines="0"/>
        <w:ind w:firstLine="601"/>
        <w:jc w:val="left"/>
        <w:rPr>
          <w:rFonts w:hint="default" w:eastAsia="仿宋_GB2312"/>
          <w:kern w:val="0"/>
          <w:sz w:val="24"/>
          <w:szCs w:val="24"/>
        </w:rPr>
      </w:pPr>
      <w:r>
        <w:rPr>
          <w:rFonts w:hint="default" w:eastAsia="仿宋_GB2312"/>
          <w:b/>
          <w:kern w:val="0"/>
          <w:sz w:val="44"/>
          <w:szCs w:val="44"/>
        </w:rPr>
        <w:t xml:space="preserve"> </w:t>
      </w:r>
    </w:p>
    <w:p>
      <w:pPr>
        <w:autoSpaceDE w:val="0"/>
        <w:autoSpaceDN w:val="0"/>
        <w:adjustRightInd w:val="0"/>
        <w:spacing w:before="100" w:beforeLines="0" w:after="100" w:afterLines="0" w:line="580" w:lineRule="atLeast"/>
        <w:ind w:firstLine="601"/>
        <w:jc w:val="left"/>
        <w:rPr>
          <w:rFonts w:hint="default" w:eastAsia="黑体"/>
          <w:kern w:val="0"/>
          <w:sz w:val="24"/>
          <w:szCs w:val="24"/>
        </w:rPr>
      </w:pPr>
      <w:r>
        <w:rPr>
          <w:rFonts w:hint="eastAsia" w:ascii="黑体" w:eastAsia="黑体" w:cs="黑体"/>
          <w:b/>
          <w:kern w:val="0"/>
          <w:sz w:val="32"/>
          <w:szCs w:val="32"/>
        </w:rPr>
        <w:t>第一部分 部门基本情况</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kern w:val="0"/>
          <w:sz w:val="32"/>
          <w:szCs w:val="32"/>
        </w:rPr>
        <w:t>一、主要职能职责</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kern w:val="0"/>
          <w:sz w:val="32"/>
          <w:szCs w:val="32"/>
        </w:rPr>
        <w:t>二、部门（单位）机构设置及决算单位构成情况</w:t>
      </w:r>
    </w:p>
    <w:p>
      <w:pPr>
        <w:autoSpaceDE w:val="0"/>
        <w:autoSpaceDN w:val="0"/>
        <w:adjustRightInd w:val="0"/>
        <w:spacing w:before="100" w:beforeLines="0" w:after="100" w:afterLines="0" w:line="580" w:lineRule="atLeast"/>
        <w:ind w:firstLine="601"/>
        <w:jc w:val="left"/>
        <w:rPr>
          <w:rFonts w:hint="default" w:eastAsia="黑体"/>
          <w:kern w:val="0"/>
          <w:sz w:val="24"/>
          <w:szCs w:val="24"/>
        </w:rPr>
      </w:pPr>
      <w:r>
        <w:rPr>
          <w:rFonts w:hint="eastAsia" w:ascii="黑体" w:eastAsia="黑体" w:cs="黑体"/>
          <w:b/>
          <w:kern w:val="0"/>
          <w:sz w:val="32"/>
          <w:szCs w:val="32"/>
        </w:rPr>
        <w:t>第二部分 2021年度部门决算情况说明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一、关于2021年度预算执行情况分析</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二、关于2021年度决算情况说明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（一）关于收支情况总体说明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（二）关于2021年度收入决算情况说明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（三）关于2021年度支出决算情况说明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（四）关于2021年度财政拨款收入支出决算总体情况说明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（五）关于2021年度一般公共预算财政拨款支出决算情况说明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（六）关于2021年度一般公共预算财政拨款基本支出决算情况说明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（七）关于2021年度财政拨款</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default" w:eastAsia="仿宋_GB2312"/>
          <w:kern w:val="0"/>
          <w:sz w:val="32"/>
          <w:szCs w:val="32"/>
        </w:rPr>
        <w:t xml:space="preserve"> </w:t>
      </w:r>
      <w:r>
        <w:rPr>
          <w:rFonts w:hint="eastAsia" w:ascii="宋体" w:cs="宋体"/>
          <w:kern w:val="0"/>
          <w:sz w:val="32"/>
          <w:szCs w:val="32"/>
        </w:rPr>
        <w:t xml:space="preserve"> </w:t>
      </w:r>
      <w:r>
        <w:rPr>
          <w:rFonts w:hint="eastAsia" w:ascii="仿宋_GB2312" w:eastAsia="仿宋_GB2312" w:cs="仿宋_GB2312"/>
          <w:kern w:val="0"/>
          <w:sz w:val="32"/>
          <w:szCs w:val="32"/>
        </w:rPr>
        <w:t>1、财政拨款</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经费支出决算总体情况说明</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default" w:eastAsia="仿宋_GB2312"/>
          <w:kern w:val="0"/>
          <w:sz w:val="32"/>
          <w:szCs w:val="32"/>
        </w:rPr>
        <w:t xml:space="preserve"> </w:t>
      </w:r>
      <w:r>
        <w:rPr>
          <w:rFonts w:hint="eastAsia" w:ascii="宋体" w:cs="宋体"/>
          <w:kern w:val="0"/>
          <w:sz w:val="32"/>
          <w:szCs w:val="32"/>
        </w:rPr>
        <w:t xml:space="preserve"> </w:t>
      </w:r>
      <w:r>
        <w:rPr>
          <w:rFonts w:hint="eastAsia" w:ascii="仿宋_GB2312" w:eastAsia="仿宋_GB2312" w:cs="仿宋_GB2312"/>
          <w:kern w:val="0"/>
          <w:sz w:val="32"/>
          <w:szCs w:val="32"/>
        </w:rPr>
        <w:t>2、财政拨款</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经费支出决算具体情况说明</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（八）关于2021年度政府性基金预算财政拨款支出决算情况说明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（九）关于2021年度国有资本经营预算支出决算情况说明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（十）关于2021年度项目支出决算情况说明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（十一）政府采购支出情况</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（十二）机关运行经费支出情况</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（十三）国有资产占用情况</w:t>
      </w:r>
    </w:p>
    <w:p>
      <w:pPr>
        <w:autoSpaceDE w:val="0"/>
        <w:autoSpaceDN w:val="0"/>
        <w:adjustRightInd w:val="0"/>
        <w:spacing w:before="100" w:beforeLines="0" w:after="100" w:afterLines="0" w:line="580" w:lineRule="atLeast"/>
        <w:ind w:firstLine="601"/>
        <w:jc w:val="left"/>
        <w:rPr>
          <w:rFonts w:hint="default" w:ascii="仿宋_GB2312" w:eastAsia="仿宋_GB2312"/>
          <w:kern w:val="0"/>
          <w:sz w:val="32"/>
          <w:szCs w:val="32"/>
        </w:rPr>
      </w:pPr>
      <w:r>
        <w:rPr>
          <w:rFonts w:hint="eastAsia" w:ascii="仿宋_GB2312" w:eastAsia="仿宋_GB2312" w:cs="仿宋_GB2312"/>
          <w:kern w:val="0"/>
          <w:sz w:val="32"/>
          <w:szCs w:val="32"/>
        </w:rPr>
        <w:t>三、预算绩效评价工作开展情况</w:t>
      </w:r>
    </w:p>
    <w:p>
      <w:pPr>
        <w:autoSpaceDE w:val="0"/>
        <w:autoSpaceDN w:val="0"/>
        <w:adjustRightInd w:val="0"/>
        <w:spacing w:beforeLines="0" w:afterLines="0" w:line="580" w:lineRule="exact"/>
        <w:ind w:firstLine="600"/>
        <w:rPr>
          <w:rFonts w:hint="default" w:eastAsia="仿宋_GB2312"/>
          <w:sz w:val="32"/>
          <w:szCs w:val="32"/>
        </w:rPr>
      </w:pPr>
      <w:r>
        <w:rPr>
          <w:rFonts w:hint="eastAsia" w:ascii="仿宋_GB2312" w:eastAsia="仿宋_GB2312" w:cs="仿宋_GB2312"/>
          <w:sz w:val="32"/>
          <w:szCs w:val="32"/>
        </w:rPr>
        <w:t>（一）预算绩效管理工作开展情况</w:t>
      </w:r>
    </w:p>
    <w:p>
      <w:pPr>
        <w:autoSpaceDE w:val="0"/>
        <w:autoSpaceDN w:val="0"/>
        <w:adjustRightInd w:val="0"/>
        <w:spacing w:beforeLines="0" w:afterLines="0" w:line="580" w:lineRule="exact"/>
        <w:ind w:firstLine="600"/>
        <w:rPr>
          <w:rFonts w:hint="default" w:ascii="仿宋_GB2312" w:eastAsia="仿宋_GB2312"/>
          <w:sz w:val="32"/>
          <w:szCs w:val="32"/>
        </w:rPr>
      </w:pPr>
      <w:r>
        <w:rPr>
          <w:rFonts w:hint="eastAsia" w:ascii="仿宋_GB2312" w:eastAsia="仿宋_GB2312" w:cs="仿宋_GB2312"/>
          <w:sz w:val="32"/>
          <w:szCs w:val="32"/>
        </w:rPr>
        <w:t>（二）部门决算中项目绩效自评结果</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sz w:val="32"/>
          <w:szCs w:val="32"/>
        </w:rPr>
        <w:t>（三）部门评价项目绩效评价结果</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default" w:eastAsia="仿宋_GB2312"/>
          <w:kern w:val="0"/>
          <w:sz w:val="32"/>
          <w:szCs w:val="32"/>
        </w:rPr>
        <w:t xml:space="preserve"> </w:t>
      </w:r>
    </w:p>
    <w:p>
      <w:pPr>
        <w:autoSpaceDE w:val="0"/>
        <w:autoSpaceDN w:val="0"/>
        <w:adjustRightInd w:val="0"/>
        <w:spacing w:before="100" w:beforeLines="0" w:after="100" w:afterLines="0" w:line="580" w:lineRule="atLeast"/>
        <w:ind w:firstLine="601"/>
        <w:jc w:val="left"/>
        <w:rPr>
          <w:rFonts w:hint="default" w:eastAsia="黑体"/>
          <w:kern w:val="0"/>
          <w:sz w:val="24"/>
          <w:szCs w:val="24"/>
        </w:rPr>
      </w:pPr>
      <w:r>
        <w:rPr>
          <w:rFonts w:hint="eastAsia" w:ascii="黑体" w:eastAsia="黑体" w:cs="黑体"/>
          <w:b/>
          <w:kern w:val="0"/>
          <w:sz w:val="32"/>
          <w:szCs w:val="32"/>
        </w:rPr>
        <w:t>第三部分 名词解释</w:t>
      </w:r>
    </w:p>
    <w:p>
      <w:pPr>
        <w:autoSpaceDE w:val="0"/>
        <w:autoSpaceDN w:val="0"/>
        <w:adjustRightInd w:val="0"/>
        <w:spacing w:before="100" w:beforeLines="0" w:after="100" w:afterLines="0" w:line="580" w:lineRule="atLeast"/>
        <w:ind w:firstLine="601"/>
        <w:jc w:val="left"/>
        <w:rPr>
          <w:rFonts w:hint="default" w:eastAsia="黑体"/>
          <w:kern w:val="0"/>
          <w:sz w:val="24"/>
          <w:szCs w:val="24"/>
        </w:rPr>
      </w:pPr>
      <w:r>
        <w:rPr>
          <w:rFonts w:hint="eastAsia" w:ascii="黑体" w:eastAsia="黑体" w:cs="黑体"/>
          <w:b/>
          <w:kern w:val="0"/>
          <w:sz w:val="32"/>
          <w:szCs w:val="32"/>
        </w:rPr>
        <w:t>第四部分 决算公开联系方式及信息反馈渠道</w:t>
      </w:r>
    </w:p>
    <w:p>
      <w:pPr>
        <w:autoSpaceDE w:val="0"/>
        <w:autoSpaceDN w:val="0"/>
        <w:adjustRightInd w:val="0"/>
        <w:spacing w:before="100" w:beforeLines="0" w:after="100" w:afterLines="0" w:line="580" w:lineRule="atLeast"/>
        <w:ind w:firstLine="601"/>
        <w:jc w:val="left"/>
        <w:rPr>
          <w:rFonts w:hint="default" w:eastAsia="黑体"/>
          <w:kern w:val="0"/>
          <w:sz w:val="24"/>
          <w:szCs w:val="24"/>
        </w:rPr>
      </w:pPr>
      <w:r>
        <w:rPr>
          <w:rFonts w:hint="eastAsia" w:ascii="黑体" w:eastAsia="黑体" w:cs="黑体"/>
          <w:b/>
          <w:kern w:val="0"/>
          <w:sz w:val="32"/>
          <w:szCs w:val="32"/>
        </w:rPr>
        <w:t>第五部分 部门决算公开表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一、收入支出决算总表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二、收入决算表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三、支出决算表</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四、财政拨款收入支出决算总表</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五、项目收入支出决算表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六、一般公共预算财政拨款支出决算表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七、一般公共预算财政拨款基本支出决算明细表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八、政府性基金预算财政拨款收入支出决算表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九、国有资本经营预算财政拨款收入支出决算表</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十、财政拨款</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经费支出决算表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十一、机关运行经费支出、国有资产占用情况及政府采购支出信息表</w:t>
      </w:r>
    </w:p>
    <w:p>
      <w:pPr>
        <w:autoSpaceDE w:val="0"/>
        <w:autoSpaceDN w:val="0"/>
        <w:adjustRightInd w:val="0"/>
        <w:spacing w:before="100" w:beforeLines="0" w:after="100" w:afterLines="0"/>
        <w:ind w:firstLine="601"/>
        <w:jc w:val="left"/>
        <w:rPr>
          <w:rFonts w:hint="default" w:eastAsia="仿宋_GB2312"/>
          <w:kern w:val="0"/>
          <w:sz w:val="24"/>
          <w:szCs w:val="24"/>
        </w:rPr>
      </w:pPr>
      <w:r>
        <w:rPr>
          <w:rFonts w:hint="default" w:eastAsia="仿宋_GB2312"/>
          <w:b/>
          <w:kern w:val="0"/>
          <w:sz w:val="44"/>
          <w:szCs w:val="44"/>
        </w:rPr>
        <w:t xml:space="preserve"> </w:t>
      </w:r>
    </w:p>
    <w:p>
      <w:pPr>
        <w:autoSpaceDE w:val="0"/>
        <w:autoSpaceDN w:val="0"/>
        <w:adjustRightInd w:val="0"/>
        <w:spacing w:beforeLines="0" w:afterLines="0"/>
        <w:jc w:val="left"/>
        <w:rPr>
          <w:rFonts w:hint="eastAsia" w:ascii="宋体" w:cs="宋体"/>
          <w:kern w:val="0"/>
          <w:sz w:val="24"/>
          <w:szCs w:val="24"/>
        </w:rPr>
      </w:pPr>
      <w:r>
        <w:rPr>
          <w:rFonts w:hint="default" w:eastAsia="仿宋_GB2312"/>
          <w:kern w:val="0"/>
          <w:sz w:val="24"/>
          <w:szCs w:val="24"/>
        </w:rPr>
        <w:t xml:space="preserve"> </w:t>
      </w:r>
      <w:r>
        <w:rPr>
          <w:rFonts w:hint="eastAsia" w:ascii="宋体" w:cs="宋体"/>
          <w:kern w:val="0"/>
          <w:sz w:val="24"/>
          <w:szCs w:val="24"/>
        </w:rPr>
        <w:t xml:space="preserve"> </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b/>
          <w:kern w:val="0"/>
          <w:sz w:val="32"/>
          <w:szCs w:val="32"/>
        </w:rPr>
        <w:t>第一部分 部门基本情况</w:t>
      </w:r>
    </w:p>
    <w:p>
      <w:pPr>
        <w:numPr>
          <w:ilvl w:val="0"/>
          <w:numId w:val="1"/>
        </w:numPr>
        <w:autoSpaceDE w:val="0"/>
        <w:autoSpaceDN w:val="0"/>
        <w:adjustRightInd w:val="0"/>
        <w:spacing w:before="100" w:beforeLines="0" w:after="100" w:afterLines="0" w:line="580" w:lineRule="atLeast"/>
        <w:jc w:val="left"/>
        <w:rPr>
          <w:rFonts w:hint="default" w:ascii="仿宋_GB2312" w:eastAsia="仿宋_GB2312"/>
          <w:kern w:val="0"/>
          <w:sz w:val="32"/>
          <w:szCs w:val="32"/>
        </w:rPr>
      </w:pPr>
      <w:r>
        <w:rPr>
          <w:rFonts w:hint="eastAsia" w:ascii="仿宋_GB2312" w:eastAsia="仿宋_GB2312" w:cs="仿宋_GB2312"/>
          <w:kern w:val="0"/>
          <w:sz w:val="32"/>
          <w:szCs w:val="32"/>
        </w:rPr>
        <w:t>主要职能职责</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（一）贯彻执行国家、自治区、呼伦贝尔市关于文化、旅游、文物工作法律法规及有关政策。研究拟订莫旗文化、旅游和文物管理的政策措施。指导乡镇有关工作。</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（二）统筹规划文化、旅游和文物事业及相关产业发展，拟订发展规划并组织实施，推进文化和旅游融合发展，推进文化和旅游体制机制改革。</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（三）负责加强文化、旅游意识形态安全管理，把握正确的舆论导向和创作导向。管理、协调全旗性重大文化旅游活动。</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四）负责推动艺术事业发展。管理、指导、规划全旗专业艺术工作，管理、指导艺术创作生产，扶持体现社会主义核心价值观、具有导向性、代表性、示范性的文艺作品创作，推动各门类艺术、各艺术品种发展。推动乌兰牧骑事业发展。</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五）负责推动公共文化事业发展。推进现代公共文化、旅游和文物服务体系建设，组织实施公共服务公益工程和公益活动，深入实施文化、旅游惠民工程，指导、监督全旗文化、旅游重点基础设施建设，加强并扶持民族乡（镇）村和贫困乡（镇）村文化旅游事业建设和发展，统筹推进基本公共文化服务标准化、均等化。</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（六）负责非物质文化遗产保护工作。推动全旗非物质文化遗产的保护、传承、普及、弘扬和振兴。指导全旗民族文化生态保护区建设和传统工艺振兴工作。</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七）负责统筹规划文化、旅游产业融合发展。组织实施文化和旅游资源普查、挖掘、保护和利用工作，促进文化、旅游产业对外合作和市场推广，制定文化、旅游市场开发战略并组织实施。指导、推进全域旅游、四季旅游工作。指导全旗各类旅游景区、示范区、度假区、旅游营地的建设和评定工作。指导和管理文化旅游产品和纪念品开发工作。</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（八）负责文化市场管理工作。指导文化、旅游市场发展，对其安全生产和市场经营进行行业监管，推进文化和旅游行业信用体系建设，依法规范文化和旅游市场健康发展。</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（九）指导、监管旗文化市场综合执法工作。组织查处全旗性、跨区域文化、旅游、文物等市场等违法行为，督查督办文化、旅游、文物违法案件，维护市场秩序。</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（十）负责对外文化交流工作。贯彻落实国家、自治区、市文化、旅游对外交流合作政策，指导、管理相关国际和国内交流、合作和宣传、推广工作，组织文化、旅游对外交流活动，推动文化走出去工作。</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（十一）负责文化、旅游科技创旅游科技创新发展，制定科技发展规划、政策措施并组织实施，推进文化、旅游行业标准化、信息化建设，执行相关行业标准。</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（十二）负责系统安全生产工作。负责全旗文化、旅游系统重大工程、重点基础设施建设工程安全生产监督管理和安全生产宣传教育。</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十三）负责文物保护工作。协调、指导和监督全旗文化遗产和文物保护工作，负责文物建筑抢险、修缮工程的安全监督管理工作，负责全旗文化遗产的申报和文物保护宣传工作。协同有关部门负责我旗历史文化名镇（村）、传统村落、历史文化街区的保护和监督管理工作。负责管理和指导全旗考古工作，组织、协调重大文物保护和考古项目的实施。指导全旗文物和博物馆的业务工作，协调博物馆间的交流与协作。承担推荐全区、全市重点文物保护单位和确定全旗重点文物保护单位的有关工作。</w:t>
      </w:r>
    </w:p>
    <w:p>
      <w:pPr>
        <w:autoSpaceDE w:val="0"/>
        <w:autoSpaceDN w:val="0"/>
        <w:adjustRightInd w:val="0"/>
        <w:spacing w:before="100" w:beforeLines="0" w:after="100" w:afterLines="0" w:line="580" w:lineRule="atLeast"/>
        <w:ind w:left="600"/>
        <w:jc w:val="left"/>
        <w:rPr>
          <w:rFonts w:hint="default" w:eastAsia="仿宋_GB2312"/>
          <w:kern w:val="0"/>
          <w:sz w:val="24"/>
          <w:szCs w:val="24"/>
        </w:rPr>
      </w:pP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kern w:val="0"/>
          <w:sz w:val="32"/>
          <w:szCs w:val="32"/>
        </w:rPr>
        <w:t>二、部门（单位）机构设置及决算单位构成情况</w:t>
      </w:r>
    </w:p>
    <w:p>
      <w:pPr>
        <w:autoSpaceDE w:val="0"/>
        <w:autoSpaceDN w:val="0"/>
        <w:adjustRightInd w:val="0"/>
        <w:spacing w:before="100" w:beforeLines="0" w:after="100" w:afterLines="0" w:line="580" w:lineRule="atLeast"/>
        <w:ind w:firstLine="600"/>
        <w:rPr>
          <w:rFonts w:hint="default" w:eastAsia="仿宋_GB2312"/>
          <w:color w:val="000000"/>
          <w:kern w:val="0"/>
          <w:sz w:val="32"/>
          <w:szCs w:val="32"/>
        </w:rPr>
      </w:pPr>
      <w:r>
        <w:rPr>
          <w:rFonts w:hint="eastAsia" w:ascii="仿宋_GB2312" w:eastAsia="仿宋_GB2312" w:cs="仿宋_GB2312"/>
          <w:kern w:val="0"/>
          <w:sz w:val="32"/>
          <w:szCs w:val="32"/>
        </w:rPr>
        <w:t>1. 根据文化和旅游局职责分工，文化和旅游局内设机构包括办公室，法治和科技股，艺术和宣传股，公共文化股，非物质文化遗产和文物股，产业发展股，资源开发股，市场管理股8个机构。文化和旅游局下属单位包括：</w:t>
      </w:r>
      <w:r>
        <w:rPr>
          <w:rFonts w:hint="eastAsia" w:eastAsia="仿宋_GB2312"/>
          <w:kern w:val="0"/>
          <w:sz w:val="32"/>
          <w:szCs w:val="32"/>
        </w:rPr>
        <w:t>文化馆，图书馆，博物馆，文化市场，乌兰牧骑，文联。</w:t>
      </w:r>
      <w:r>
        <w:rPr>
          <w:rFonts w:hint="eastAsia" w:ascii="仿宋_GB2312" w:eastAsia="仿宋_GB2312" w:cs="仿宋_GB2312"/>
          <w:kern w:val="0"/>
          <w:sz w:val="32"/>
          <w:szCs w:val="32"/>
        </w:rPr>
        <w:t xml:space="preserve">                                        </w:t>
      </w:r>
      <w:r>
        <w:rPr>
          <w:rFonts w:hint="eastAsia" w:ascii="仿宋_GB2312" w:eastAsia="仿宋_GB2312" w:cs="仿宋_GB2312"/>
          <w:color w:val="000000"/>
          <w:kern w:val="0"/>
          <w:sz w:val="32"/>
          <w:szCs w:val="32"/>
        </w:rPr>
        <w:t>2.从决算单位构成看，纳入本部门2021年度部门汇总决算编制范围的预算单位共计7家，详细情况见表：</w:t>
      </w:r>
    </w:p>
    <w:tbl>
      <w:tblPr>
        <w:tblStyle w:val="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01"/>
        <w:gridCol w:w="74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序号</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单位名称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eastAsia" w:ascii="仿宋_GB2312" w:eastAsia="仿宋_GB2312" w:cs="仿宋_GB2312"/>
                <w:color w:val="000000"/>
                <w:kern w:val="0"/>
                <w:sz w:val="32"/>
                <w:szCs w:val="32"/>
              </w:rPr>
            </w:pPr>
            <w:r>
              <w:rPr>
                <w:rFonts w:hint="eastAsia" w:ascii="仿宋_GB2312" w:eastAsia="仿宋_GB2312" w:cs="仿宋_GB2312"/>
                <w:color w:val="000000"/>
                <w:kern w:val="0"/>
                <w:sz w:val="32"/>
                <w:szCs w:val="32"/>
              </w:rPr>
              <w:t>1</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文化和旅游局（本级）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ascii="仿宋_GB2312" w:eastAsia="仿宋_GB2312" w:cs="仿宋_GB2312"/>
                <w:color w:val="000000"/>
                <w:kern w:val="0"/>
                <w:sz w:val="32"/>
                <w:szCs w:val="32"/>
              </w:rPr>
            </w:pPr>
            <w:r>
              <w:rPr>
                <w:rFonts w:hint="eastAsia" w:ascii="仿宋_GB2312" w:eastAsia="仿宋_GB2312" w:cs="仿宋_GB2312"/>
                <w:color w:val="000000"/>
                <w:kern w:val="0"/>
                <w:sz w:val="32"/>
                <w:szCs w:val="32"/>
              </w:rPr>
              <w:t>2</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ascii="仿宋_GB2312" w:eastAsia="仿宋_GB2312" w:cs="仿宋_GB2312"/>
                <w:color w:val="000000"/>
                <w:kern w:val="0"/>
                <w:sz w:val="32"/>
                <w:szCs w:val="32"/>
              </w:rPr>
            </w:pPr>
            <w:r>
              <w:rPr>
                <w:rFonts w:hint="eastAsia" w:ascii="仿宋_GB2312" w:eastAsia="仿宋_GB2312" w:cs="仿宋_GB2312"/>
                <w:color w:val="000000"/>
                <w:kern w:val="0"/>
                <w:sz w:val="32"/>
                <w:szCs w:val="32"/>
              </w:rPr>
              <w:t>文化馆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ascii="仿宋_GB2312" w:eastAsia="仿宋_GB2312" w:cs="仿宋_GB2312"/>
                <w:color w:val="000000"/>
                <w:kern w:val="0"/>
                <w:sz w:val="32"/>
                <w:szCs w:val="32"/>
              </w:rPr>
            </w:pPr>
            <w:r>
              <w:rPr>
                <w:rFonts w:hint="eastAsia" w:ascii="仿宋_GB2312" w:eastAsia="仿宋_GB2312" w:cs="仿宋_GB2312"/>
                <w:color w:val="000000"/>
                <w:kern w:val="0"/>
                <w:sz w:val="32"/>
                <w:szCs w:val="32"/>
              </w:rPr>
              <w:t>3</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ascii="仿宋_GB2312" w:eastAsia="仿宋_GB2312" w:cs="仿宋_GB2312"/>
                <w:color w:val="000000"/>
                <w:kern w:val="0"/>
                <w:sz w:val="32"/>
                <w:szCs w:val="32"/>
              </w:rPr>
            </w:pPr>
            <w:r>
              <w:rPr>
                <w:rFonts w:hint="eastAsia" w:ascii="仿宋_GB2312" w:eastAsia="仿宋_GB2312" w:cs="仿宋_GB2312"/>
                <w:color w:val="000000"/>
                <w:kern w:val="0"/>
                <w:sz w:val="32"/>
                <w:szCs w:val="32"/>
              </w:rPr>
              <w:t>图书馆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ascii="仿宋_GB2312" w:eastAsia="仿宋_GB2312" w:cs="仿宋_GB2312"/>
                <w:color w:val="000000"/>
                <w:kern w:val="0"/>
                <w:sz w:val="32"/>
                <w:szCs w:val="32"/>
              </w:rPr>
            </w:pPr>
            <w:r>
              <w:rPr>
                <w:rFonts w:hint="eastAsia" w:ascii="仿宋_GB2312" w:eastAsia="仿宋_GB2312" w:cs="仿宋_GB2312"/>
                <w:color w:val="000000"/>
                <w:kern w:val="0"/>
                <w:sz w:val="32"/>
                <w:szCs w:val="32"/>
              </w:rPr>
              <w:t>4</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ascii="仿宋_GB2312" w:eastAsia="仿宋_GB2312" w:cs="仿宋_GB2312"/>
                <w:color w:val="000000"/>
                <w:kern w:val="0"/>
                <w:sz w:val="32"/>
                <w:szCs w:val="32"/>
              </w:rPr>
            </w:pPr>
            <w:r>
              <w:rPr>
                <w:rFonts w:hint="eastAsia" w:ascii="仿宋_GB2312" w:eastAsia="仿宋_GB2312" w:cs="仿宋_GB2312"/>
                <w:color w:val="000000"/>
                <w:kern w:val="0"/>
                <w:sz w:val="32"/>
                <w:szCs w:val="32"/>
              </w:rPr>
              <w:t>博物馆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ascii="仿宋_GB2312" w:eastAsia="仿宋_GB2312" w:cs="仿宋_GB2312"/>
                <w:color w:val="000000"/>
                <w:kern w:val="0"/>
                <w:sz w:val="32"/>
                <w:szCs w:val="32"/>
              </w:rPr>
            </w:pPr>
            <w:r>
              <w:rPr>
                <w:rFonts w:hint="eastAsia" w:ascii="仿宋_GB2312" w:eastAsia="仿宋_GB2312" w:cs="仿宋_GB2312"/>
                <w:color w:val="000000"/>
                <w:kern w:val="0"/>
                <w:sz w:val="32"/>
                <w:szCs w:val="32"/>
              </w:rPr>
              <w:t>5</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文化市场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ascii="仿宋_GB2312" w:eastAsia="仿宋_GB2312" w:cs="仿宋_GB2312"/>
                <w:color w:val="000000"/>
                <w:kern w:val="0"/>
                <w:sz w:val="32"/>
                <w:szCs w:val="32"/>
              </w:rPr>
            </w:pPr>
            <w:r>
              <w:rPr>
                <w:rFonts w:hint="eastAsia" w:ascii="仿宋_GB2312" w:eastAsia="仿宋_GB2312" w:cs="仿宋_GB2312"/>
                <w:color w:val="000000"/>
                <w:kern w:val="0"/>
                <w:sz w:val="32"/>
                <w:szCs w:val="32"/>
              </w:rPr>
              <w:t>6</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乌兰牧骑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7</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eastAsia="仿宋_GB2312"/>
                <w:color w:val="000000"/>
                <w:kern w:val="0"/>
                <w:sz w:val="32"/>
                <w:szCs w:val="32"/>
              </w:rPr>
              <w:t>文联</w:t>
            </w:r>
          </w:p>
        </w:tc>
      </w:tr>
    </w:tbl>
    <w:p>
      <w:pPr>
        <w:autoSpaceDE w:val="0"/>
        <w:autoSpaceDN w:val="0"/>
        <w:adjustRightInd w:val="0"/>
        <w:spacing w:before="100" w:beforeLines="0" w:after="100" w:afterLines="0" w:line="580" w:lineRule="atLeast"/>
        <w:ind w:firstLine="600"/>
        <w:rPr>
          <w:rFonts w:hint="default" w:eastAsia="仿宋_GB2312"/>
          <w:color w:val="000000"/>
          <w:kern w:val="0"/>
          <w:sz w:val="32"/>
          <w:szCs w:val="32"/>
        </w:rPr>
      </w:pPr>
    </w:p>
    <w:p>
      <w:pPr>
        <w:autoSpaceDE w:val="0"/>
        <w:autoSpaceDN w:val="0"/>
        <w:adjustRightInd w:val="0"/>
        <w:spacing w:before="100" w:beforeLines="0" w:after="100" w:afterLines="0" w:line="580" w:lineRule="atLeast"/>
        <w:ind w:firstLine="600"/>
        <w:jc w:val="left"/>
        <w:rPr>
          <w:rFonts w:hint="default" w:eastAsia="仿宋_GB2312"/>
          <w:color w:val="000000"/>
          <w:kern w:val="0"/>
          <w:sz w:val="24"/>
          <w:szCs w:val="24"/>
        </w:rPr>
      </w:pPr>
      <w:r>
        <w:rPr>
          <w:rFonts w:hint="eastAsia" w:ascii="仿宋_GB2312" w:eastAsia="仿宋_GB2312" w:cs="仿宋_GB2312"/>
          <w:b/>
          <w:color w:val="000000"/>
          <w:kern w:val="0"/>
          <w:sz w:val="32"/>
          <w:szCs w:val="32"/>
        </w:rPr>
        <w:t>第二部分 2021年度部门决算情况说明</w:t>
      </w:r>
    </w:p>
    <w:p>
      <w:pPr>
        <w:autoSpaceDE w:val="0"/>
        <w:autoSpaceDN w:val="0"/>
        <w:adjustRightInd w:val="0"/>
        <w:spacing w:before="100" w:beforeLines="0" w:after="100" w:afterLines="0" w:line="580" w:lineRule="atLeast"/>
        <w:ind w:firstLine="600"/>
        <w:rPr>
          <w:rFonts w:hint="default" w:eastAsia="仿宋_GB2312"/>
          <w:b/>
          <w:color w:val="000000"/>
          <w:kern w:val="0"/>
          <w:sz w:val="24"/>
          <w:szCs w:val="24"/>
        </w:rPr>
      </w:pPr>
      <w:r>
        <w:rPr>
          <w:rFonts w:hint="eastAsia" w:ascii="仿宋_GB2312" w:eastAsia="仿宋_GB2312" w:cs="仿宋_GB2312"/>
          <w:b/>
          <w:color w:val="000000"/>
          <w:kern w:val="0"/>
          <w:sz w:val="32"/>
          <w:szCs w:val="32"/>
        </w:rPr>
        <w:t>一、关于2021年度预算执行情况分析</w:t>
      </w:r>
    </w:p>
    <w:p>
      <w:pPr>
        <w:autoSpaceDE w:val="0"/>
        <w:autoSpaceDN w:val="0"/>
        <w:adjustRightInd w:val="0"/>
        <w:spacing w:before="100" w:beforeLines="0" w:after="100" w:afterLines="0" w:line="580" w:lineRule="atLeast"/>
        <w:ind w:firstLine="600"/>
        <w:rPr>
          <w:rFonts w:hint="default" w:ascii="仿宋" w:eastAsia="仿宋"/>
          <w:color w:val="000000"/>
          <w:kern w:val="0"/>
          <w:sz w:val="32"/>
          <w:szCs w:val="32"/>
        </w:rPr>
      </w:pPr>
      <w:r>
        <w:rPr>
          <w:rFonts w:hint="eastAsia" w:ascii="仿宋" w:eastAsia="仿宋" w:cs="仿宋"/>
          <w:color w:val="000000"/>
          <w:kern w:val="0"/>
          <w:sz w:val="32"/>
          <w:szCs w:val="32"/>
        </w:rPr>
        <w:t>2021年度收入、支出决算总计4,070.08万元。与年初预算相比，收、支总计增加84.79万元，增长2.13%，变动原因：上级下达的市专项增加。</w:t>
      </w:r>
    </w:p>
    <w:p>
      <w:pPr>
        <w:autoSpaceDE w:val="0"/>
        <w:autoSpaceDN w:val="0"/>
        <w:adjustRightInd w:val="0"/>
        <w:spacing w:before="100" w:beforeLines="0" w:after="100" w:afterLines="0" w:line="580" w:lineRule="atLeast"/>
        <w:ind w:firstLine="600"/>
        <w:rPr>
          <w:rFonts w:hint="default" w:ascii="仿宋" w:eastAsia="仿宋"/>
          <w:color w:val="000000"/>
          <w:kern w:val="0"/>
          <w:sz w:val="32"/>
          <w:szCs w:val="32"/>
        </w:rPr>
      </w:pPr>
      <w:r>
        <w:rPr>
          <w:rFonts w:hint="eastAsia" w:ascii="仿宋" w:eastAsia="仿宋" w:cs="仿宋"/>
          <w:color w:val="000000"/>
          <w:kern w:val="0"/>
          <w:sz w:val="32"/>
          <w:szCs w:val="32"/>
        </w:rPr>
        <w:t>2021年度财政拨款收入、支出决算总计4,023.44万元。与年初预算相比，收、支总计增加84.79万元，增长2.15%，变动原因：上级下达的市专项增加。</w:t>
      </w:r>
    </w:p>
    <w:p>
      <w:pPr>
        <w:autoSpaceDE w:val="0"/>
        <w:autoSpaceDN w:val="0"/>
        <w:adjustRightInd w:val="0"/>
        <w:spacing w:before="100" w:beforeLines="0" w:after="100" w:afterLines="0" w:line="580" w:lineRule="atLeast"/>
        <w:ind w:firstLine="600"/>
        <w:rPr>
          <w:rFonts w:hint="default" w:eastAsia="仿宋_GB2312"/>
          <w:b/>
          <w:color w:val="000000"/>
          <w:kern w:val="0"/>
          <w:sz w:val="24"/>
          <w:szCs w:val="24"/>
        </w:rPr>
      </w:pPr>
      <w:r>
        <w:rPr>
          <w:rFonts w:hint="eastAsia" w:ascii="仿宋_GB2312" w:eastAsia="仿宋_GB2312" w:cs="仿宋_GB2312"/>
          <w:b/>
          <w:color w:val="000000"/>
          <w:kern w:val="0"/>
          <w:sz w:val="32"/>
          <w:szCs w:val="32"/>
        </w:rPr>
        <w:t>二、关于2021年度决算情况说明</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（一）关于收支情况总体说明</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本部门2021年度收入总计4,070.08万元，其中：本年收入合计3,165.71万元，使用非财政拨款结余</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万元，年初结转和结余904.37万元；支出总计4,070.08万元，其中：结余分配</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万元，年末结转和结余101.66万元。与2020年度相比，收入支出总计（减少）-12,069.74万元，（下降）-74.78%，主要原因：</w:t>
      </w:r>
      <w:r>
        <w:rPr>
          <w:rFonts w:hint="eastAsia" w:ascii="仿宋" w:eastAsia="仿宋" w:cs="仿宋"/>
          <w:color w:val="000000"/>
          <w:kern w:val="0"/>
          <w:sz w:val="32"/>
          <w:szCs w:val="32"/>
        </w:rPr>
        <w:t>上级下达的市专项增少</w:t>
      </w:r>
      <w:r>
        <w:rPr>
          <w:rFonts w:hint="eastAsia" w:ascii="仿宋_GB2312" w:eastAsia="仿宋_GB2312" w:cs="仿宋_GB2312"/>
          <w:color w:val="000000"/>
          <w:kern w:val="0"/>
          <w:sz w:val="32"/>
          <w:szCs w:val="32"/>
        </w:rPr>
        <w:t>。</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（二）关于2021年度收入决算情况说明</w:t>
      </w:r>
    </w:p>
    <w:p>
      <w:pPr>
        <w:autoSpaceDE w:val="0"/>
        <w:autoSpaceDN w:val="0"/>
        <w:adjustRightInd w:val="0"/>
        <w:spacing w:before="100" w:beforeLines="0" w:after="100" w:afterLines="0" w:line="580" w:lineRule="atLeast"/>
        <w:ind w:firstLine="600"/>
        <w:rPr>
          <w:rFonts w:hint="default" w:eastAsia="仿宋_GB2312"/>
          <w:color w:val="000000"/>
          <w:kern w:val="0"/>
          <w:sz w:val="32"/>
          <w:szCs w:val="32"/>
        </w:rPr>
      </w:pPr>
      <w:r>
        <w:rPr>
          <w:rFonts w:hint="eastAsia" w:ascii="仿宋_GB2312" w:eastAsia="仿宋_GB2312" w:cs="仿宋_GB2312"/>
          <w:color w:val="000000"/>
          <w:kern w:val="0"/>
          <w:sz w:val="32"/>
          <w:szCs w:val="32"/>
        </w:rPr>
        <w:t>本部门2021年度收入合计3,165.71万元，其中：财政拨款收入3,165.71万元，占100%；事业收入</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%；经营收入</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%；其他收入</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 w:eastAsia="仿宋" w:cs="仿宋"/>
          <w:color w:val="000000"/>
          <w:sz w:val="32"/>
          <w:szCs w:val="32"/>
        </w:rPr>
        <w:t>图1：收入决算图</w:t>
      </w:r>
    </w:p>
    <w:p>
      <w:pPr>
        <w:autoSpaceDE w:val="0"/>
        <w:autoSpaceDN w:val="0"/>
        <w:adjustRightInd w:val="0"/>
        <w:spacing w:before="100" w:beforeLines="0" w:after="100" w:afterLines="0" w:line="580" w:lineRule="atLeast"/>
        <w:ind w:firstLine="600"/>
        <w:rPr>
          <w:rFonts w:hint="default" w:eastAsia="仿宋"/>
          <w:kern w:val="0"/>
          <w:sz w:val="24"/>
          <w:szCs w:val="24"/>
        </w:rPr>
      </w:pPr>
      <w:r>
        <w:rPr>
          <w:rFonts w:hint="default" w:eastAsia="仿宋"/>
          <w:kern w:val="0"/>
          <w:sz w:val="24"/>
          <w:szCs w:val="24"/>
        </w:rPr>
        <w:object>
          <v:shape id="_x0000_i1025" o:spt="75" type="#_x0000_t75" style="height:143.8pt;width:216.55pt;" o:ole="t" filled="f" o:preferrelative="t" stroked="f" coordsize="21600,21600">
            <v:path/>
            <v:fill on="f" alignshape="1" focussize="0,0"/>
            <v:stroke on="f"/>
            <v:imagedata r:id="rId6" grayscale="f" bilevel="f" o:title=""/>
            <o:lock v:ext="edit" aspectratio="t"/>
            <w10:wrap type="none"/>
            <w10:anchorlock/>
          </v:shape>
          <o:OLEObject Type="Embed" ProgID="MSGraph.Chart.8" ShapeID="_x0000_i1025" DrawAspect="Content" ObjectID="_1468075725" r:id="rId5">
            <o:LockedField>false</o:LockedField>
          </o:OLEObject>
        </w:object>
      </w:r>
    </w:p>
    <w:p>
      <w:pPr>
        <w:autoSpaceDE w:val="0"/>
        <w:autoSpaceDN w:val="0"/>
        <w:adjustRightInd w:val="0"/>
        <w:spacing w:before="100" w:beforeLines="0" w:after="100" w:afterLines="0" w:line="580" w:lineRule="atLeast"/>
        <w:ind w:firstLine="600"/>
        <w:rPr>
          <w:rFonts w:hint="default" w:eastAsia="楷体"/>
          <w:b/>
          <w:kern w:val="0"/>
          <w:sz w:val="24"/>
          <w:szCs w:val="24"/>
        </w:rPr>
      </w:pPr>
      <w:r>
        <w:rPr>
          <w:rFonts w:hint="eastAsia" w:ascii="楷体" w:eastAsia="楷体" w:cs="楷体"/>
          <w:b/>
          <w:kern w:val="0"/>
          <w:sz w:val="32"/>
          <w:szCs w:val="32"/>
        </w:rPr>
        <w:t>（三）关于2021年度支出决算情况说明</w:t>
      </w:r>
    </w:p>
    <w:p>
      <w:pPr>
        <w:autoSpaceDE w:val="0"/>
        <w:autoSpaceDN w:val="0"/>
        <w:adjustRightInd w:val="0"/>
        <w:spacing w:before="100" w:beforeLines="0" w:after="100" w:afterLines="0" w:line="580" w:lineRule="atLeast"/>
        <w:ind w:firstLine="600"/>
        <w:rPr>
          <w:rFonts w:hint="default" w:eastAsia="仿宋_GB2312"/>
          <w:color w:val="000000"/>
          <w:kern w:val="0"/>
          <w:sz w:val="32"/>
          <w:szCs w:val="32"/>
        </w:rPr>
      </w:pPr>
      <w:r>
        <w:rPr>
          <w:rFonts w:hint="eastAsia" w:ascii="仿宋_GB2312" w:eastAsia="仿宋_GB2312" w:cs="仿宋_GB2312"/>
          <w:color w:val="000000"/>
          <w:kern w:val="0"/>
          <w:sz w:val="32"/>
          <w:szCs w:val="32"/>
        </w:rPr>
        <w:t>本部门2021年度支出合计3,968.43万元，其中：基本支出1,867.71万元，占47.06%；项目支出2,100.72万元，占52.94%；经营支出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 w:eastAsia="仿宋" w:cs="仿宋"/>
          <w:color w:val="000000"/>
          <w:sz w:val="32"/>
          <w:szCs w:val="32"/>
        </w:rPr>
        <w:t>图2：支出决算图</w:t>
      </w:r>
    </w:p>
    <w:p>
      <w:pPr>
        <w:autoSpaceDE w:val="0"/>
        <w:autoSpaceDN w:val="0"/>
        <w:adjustRightInd w:val="0"/>
        <w:spacing w:before="100" w:beforeLines="0" w:after="100" w:afterLines="0" w:line="580" w:lineRule="atLeast"/>
        <w:ind w:firstLine="600"/>
        <w:rPr>
          <w:rFonts w:hint="default" w:eastAsia="仿宋"/>
          <w:color w:val="FF0000"/>
          <w:kern w:val="0"/>
          <w:sz w:val="32"/>
          <w:szCs w:val="32"/>
        </w:rPr>
      </w:pPr>
      <w:r>
        <w:rPr>
          <w:rFonts w:hint="default" w:eastAsia="仿宋"/>
          <w:color w:val="FF0000"/>
          <w:kern w:val="0"/>
          <w:sz w:val="32"/>
          <w:szCs w:val="32"/>
        </w:rPr>
        <w:object>
          <v:shape id="_x0000_i1026" o:spt="75" type="#_x0000_t75" style="height:143.8pt;width:216.55pt;" o:ole="t" filled="f" o:preferrelative="t" stroked="f" coordsize="21600,21600">
            <v:path/>
            <v:fill on="f" alignshape="1" focussize="0,0"/>
            <v:stroke on="f"/>
            <v:imagedata r:id="rId8" grayscale="f" bilevel="f" o:title=""/>
            <o:lock v:ext="edit" aspectratio="t"/>
            <w10:wrap type="none"/>
            <w10:anchorlock/>
          </v:shape>
          <o:OLEObject Type="Embed" ProgID="MSGraph.Chart.8" ShapeID="_x0000_i1026" DrawAspect="Content" ObjectID="_1468075726" r:id="rId7">
            <o:LockedField>false</o:LockedField>
          </o:OLEObject>
        </w:object>
      </w:r>
    </w:p>
    <w:p>
      <w:pPr>
        <w:autoSpaceDE w:val="0"/>
        <w:autoSpaceDN w:val="0"/>
        <w:adjustRightInd w:val="0"/>
        <w:spacing w:before="100" w:beforeLines="0" w:after="100" w:afterLines="0" w:line="580" w:lineRule="atLeast"/>
        <w:ind w:firstLine="600"/>
        <w:rPr>
          <w:rFonts w:hint="default" w:eastAsia="仿宋"/>
          <w:kern w:val="0"/>
          <w:sz w:val="24"/>
          <w:szCs w:val="24"/>
        </w:rPr>
      </w:pPr>
    </w:p>
    <w:p>
      <w:pPr>
        <w:autoSpaceDE w:val="0"/>
        <w:autoSpaceDN w:val="0"/>
        <w:adjustRightInd w:val="0"/>
        <w:spacing w:before="100" w:beforeLines="0" w:after="100" w:afterLines="0" w:line="580" w:lineRule="atLeast"/>
        <w:ind w:firstLine="600"/>
        <w:rPr>
          <w:rFonts w:hint="default" w:eastAsia="楷体"/>
          <w:b/>
          <w:kern w:val="0"/>
          <w:sz w:val="24"/>
          <w:szCs w:val="24"/>
        </w:rPr>
      </w:pPr>
      <w:r>
        <w:rPr>
          <w:rFonts w:hint="eastAsia" w:ascii="楷体" w:eastAsia="楷体" w:cs="楷体"/>
          <w:b/>
          <w:kern w:val="0"/>
          <w:sz w:val="32"/>
          <w:szCs w:val="32"/>
        </w:rPr>
        <w:t>（四）关于2021年度财政拨款收入支出决算总体情况说明</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本部门2021年度财政拨款收入总计4,023.44万元，其中：年初结转和结余857.73万元；支出总计4,023.44万元，其中：年末结转和结余55.01万元。与2020年度相比，收入支出总计（减少）-12,061.04万元，（下降）-74.99%。主要原因：</w:t>
      </w:r>
      <w:r>
        <w:rPr>
          <w:rFonts w:hint="eastAsia" w:ascii="仿宋" w:eastAsia="仿宋" w:cs="仿宋"/>
          <w:color w:val="000000"/>
          <w:kern w:val="0"/>
          <w:sz w:val="32"/>
          <w:szCs w:val="32"/>
        </w:rPr>
        <w:t>上级下达的市专项增少</w:t>
      </w:r>
      <w:r>
        <w:rPr>
          <w:rFonts w:hint="eastAsia" w:ascii="仿宋_GB2312" w:eastAsia="仿宋_GB2312" w:cs="仿宋_GB2312"/>
          <w:color w:val="000000"/>
          <w:kern w:val="0"/>
          <w:sz w:val="32"/>
          <w:szCs w:val="32"/>
        </w:rPr>
        <w:t>。</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（五）关于2021年度一般公共预算财政拨款支出决算情况说明</w:t>
      </w:r>
    </w:p>
    <w:p>
      <w:pPr>
        <w:autoSpaceDE w:val="0"/>
        <w:autoSpaceDN w:val="0"/>
        <w:adjustRightInd w:val="0"/>
        <w:spacing w:before="100" w:beforeLines="0" w:after="100" w:afterLines="0" w:line="580" w:lineRule="atLeast"/>
        <w:ind w:firstLine="600"/>
        <w:rPr>
          <w:rFonts w:hint="default" w:eastAsia="仿宋_GB2312"/>
          <w:color w:val="000000"/>
          <w:kern w:val="0"/>
          <w:sz w:val="32"/>
          <w:szCs w:val="32"/>
        </w:rPr>
      </w:pPr>
      <w:r>
        <w:rPr>
          <w:rFonts w:hint="eastAsia" w:ascii="仿宋_GB2312" w:eastAsia="仿宋_GB2312" w:cs="仿宋_GB2312"/>
          <w:color w:val="000000"/>
          <w:kern w:val="0"/>
          <w:sz w:val="32"/>
          <w:szCs w:val="32"/>
        </w:rPr>
        <w:t>本部门2021年度一般公共预算财政拨款支出合计3,968.43万元，其中：基本支出1,867.71万元，占47.06%；项目支出2,100.72万元，占52.94%。</w:t>
      </w:r>
    </w:p>
    <w:p>
      <w:pPr>
        <w:autoSpaceDE w:val="0"/>
        <w:autoSpaceDN w:val="0"/>
        <w:adjustRightInd w:val="0"/>
        <w:spacing w:before="100" w:beforeLines="0" w:after="100" w:afterLines="0" w:line="580" w:lineRule="atLeast"/>
        <w:ind w:firstLine="600"/>
        <w:rPr>
          <w:rFonts w:hint="default" w:ascii="仿宋" w:eastAsia="仿宋"/>
          <w:color w:val="000000"/>
          <w:kern w:val="0"/>
          <w:sz w:val="32"/>
          <w:szCs w:val="32"/>
        </w:rPr>
      </w:pPr>
      <w:r>
        <w:rPr>
          <w:rFonts w:hint="eastAsia" w:ascii="仿宋" w:eastAsia="仿宋" w:cs="仿宋"/>
          <w:color w:val="000000"/>
          <w:sz w:val="32"/>
          <w:szCs w:val="32"/>
        </w:rPr>
        <w:t>一般公共预算财政拨款支出</w:t>
      </w:r>
      <w:r>
        <w:rPr>
          <w:rFonts w:hint="eastAsia" w:ascii="仿宋_GB2312" w:eastAsia="仿宋_GB2312" w:cs="仿宋_GB2312"/>
          <w:color w:val="000000"/>
          <w:sz w:val="32"/>
          <w:szCs w:val="32"/>
        </w:rPr>
        <w:t>3,968.43</w:t>
      </w:r>
      <w:r>
        <w:rPr>
          <w:rFonts w:hint="eastAsia" w:ascii="仿宋" w:eastAsia="仿宋" w:cs="仿宋"/>
          <w:color w:val="000000"/>
          <w:sz w:val="32"/>
          <w:szCs w:val="32"/>
        </w:rPr>
        <w:t>万元。与年初预算相比，增加</w:t>
      </w:r>
      <w:r>
        <w:rPr>
          <w:rFonts w:hint="eastAsia" w:ascii="仿宋_GB2312" w:eastAsia="仿宋_GB2312" w:cs="仿宋_GB2312"/>
          <w:color w:val="000000"/>
          <w:sz w:val="32"/>
          <w:szCs w:val="32"/>
        </w:rPr>
        <w:t>264.39</w:t>
      </w:r>
      <w:r>
        <w:rPr>
          <w:rFonts w:hint="eastAsia" w:ascii="仿宋" w:eastAsia="仿宋" w:cs="仿宋"/>
          <w:color w:val="000000"/>
          <w:sz w:val="32"/>
          <w:szCs w:val="32"/>
        </w:rPr>
        <w:t>万元，增长</w:t>
      </w:r>
      <w:r>
        <w:rPr>
          <w:rFonts w:hint="eastAsia" w:ascii="仿宋_GB2312" w:eastAsia="仿宋_GB2312" w:cs="仿宋_GB2312"/>
          <w:color w:val="000000"/>
          <w:sz w:val="32"/>
          <w:szCs w:val="32"/>
        </w:rPr>
        <w:t>7.14,</w:t>
      </w:r>
      <w:r>
        <w:rPr>
          <w:rFonts w:hint="eastAsia" w:ascii="仿宋" w:eastAsia="仿宋" w:cs="仿宋"/>
          <w:color w:val="000000"/>
          <w:sz w:val="32"/>
          <w:szCs w:val="32"/>
        </w:rPr>
        <w:t>变动原因：</w:t>
      </w:r>
      <w:r>
        <w:rPr>
          <w:rFonts w:hint="eastAsia" w:ascii="仿宋" w:eastAsia="仿宋" w:cs="仿宋"/>
          <w:color w:val="000000"/>
          <w:kern w:val="0"/>
          <w:sz w:val="32"/>
          <w:szCs w:val="32"/>
        </w:rPr>
        <w:t>上级下达的市专项增加。</w:t>
      </w:r>
    </w:p>
    <w:p>
      <w:pPr>
        <w:tabs>
          <w:tab w:val="left" w:pos="4275"/>
        </w:tabs>
        <w:autoSpaceDE w:val="0"/>
        <w:autoSpaceDN w:val="0"/>
        <w:adjustRightInd w:val="0"/>
        <w:spacing w:beforeLines="0" w:afterLines="0" w:line="560" w:lineRule="exact"/>
        <w:ind w:firstLine="640"/>
        <w:rPr>
          <w:rFonts w:hint="default" w:eastAsia="楷体"/>
          <w:sz w:val="32"/>
          <w:szCs w:val="32"/>
        </w:rPr>
      </w:pPr>
      <w:r>
        <w:rPr>
          <w:rFonts w:hint="eastAsia" w:ascii="楷体" w:eastAsia="楷体" w:cs="楷体"/>
          <w:sz w:val="32"/>
          <w:szCs w:val="32"/>
        </w:rPr>
        <w:t>（一）一般公共服务（类）</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 w:eastAsia="仿宋" w:cs="仿宋"/>
          <w:color w:val="000000"/>
          <w:sz w:val="32"/>
          <w:szCs w:val="32"/>
        </w:rPr>
        <w:t>1．人大事务（款）行政运行（项）。年初预算</w:t>
      </w:r>
      <w:r>
        <w:rPr>
          <w:rFonts w:hint="default" w:ascii="仿宋_GB2312" w:eastAsia="仿宋_GB2312" w:cs="仿宋_GB2312"/>
          <w:color w:val="000000"/>
          <w:sz w:val="32"/>
          <w:szCs w:val="32"/>
        </w:rPr>
        <w:t>0</w:t>
      </w:r>
      <w:r>
        <w:rPr>
          <w:rFonts w:hint="eastAsia" w:ascii="仿宋" w:eastAsia="仿宋" w:cs="仿宋"/>
          <w:color w:val="000000"/>
          <w:sz w:val="32"/>
          <w:szCs w:val="32"/>
        </w:rPr>
        <w:t>万元，决算支出</w:t>
      </w:r>
      <w:r>
        <w:rPr>
          <w:rFonts w:hint="default" w:ascii="仿宋_GB2312" w:eastAsia="仿宋_GB2312" w:cs="仿宋_GB2312"/>
          <w:color w:val="000000"/>
          <w:sz w:val="32"/>
          <w:szCs w:val="32"/>
        </w:rPr>
        <w:t>0</w:t>
      </w:r>
      <w:r>
        <w:rPr>
          <w:rFonts w:hint="eastAsia" w:ascii="仿宋" w:eastAsia="仿宋" w:cs="仿宋"/>
          <w:color w:val="000000"/>
          <w:sz w:val="32"/>
          <w:szCs w:val="32"/>
        </w:rPr>
        <w:t>万元，完成年初预算的</w:t>
      </w:r>
      <w:r>
        <w:rPr>
          <w:rFonts w:hint="default" w:ascii="仿宋_GB2312" w:eastAsia="仿宋_GB2312" w:cs="仿宋_GB2312"/>
          <w:color w:val="000000"/>
          <w:sz w:val="32"/>
          <w:szCs w:val="32"/>
        </w:rPr>
        <w:t>0</w:t>
      </w:r>
      <w:r>
        <w:rPr>
          <w:rFonts w:hint="eastAsia" w:ascii="仿宋" w:eastAsia="仿宋" w:cs="仿宋"/>
          <w:color w:val="000000"/>
          <w:sz w:val="32"/>
          <w:szCs w:val="32"/>
        </w:rPr>
        <w:t>%。决算数与年初预算数的差异原因：本部门本年度末发生</w:t>
      </w:r>
      <w:r>
        <w:rPr>
          <w:rFonts w:hint="eastAsia" w:ascii="楷体" w:eastAsia="楷体" w:cs="楷体"/>
          <w:color w:val="000000"/>
          <w:sz w:val="32"/>
          <w:szCs w:val="32"/>
        </w:rPr>
        <w:t>一般公共服务</w:t>
      </w:r>
      <w:r>
        <w:rPr>
          <w:rFonts w:hint="eastAsia" w:ascii="仿宋" w:eastAsia="仿宋" w:cs="仿宋"/>
          <w:color w:val="000000"/>
          <w:sz w:val="32"/>
          <w:szCs w:val="32"/>
        </w:rPr>
        <w:t>支出。</w:t>
      </w:r>
    </w:p>
    <w:p>
      <w:pPr>
        <w:autoSpaceDE w:val="0"/>
        <w:autoSpaceDN w:val="0"/>
        <w:adjustRightInd w:val="0"/>
        <w:spacing w:beforeLines="0" w:afterLines="0" w:line="560" w:lineRule="exact"/>
        <w:ind w:firstLine="640"/>
        <w:rPr>
          <w:rFonts w:hint="default" w:eastAsia="仿宋"/>
          <w:i/>
          <w:color w:val="000000"/>
          <w:sz w:val="32"/>
          <w:szCs w:val="32"/>
        </w:rPr>
      </w:pPr>
      <w:r>
        <w:rPr>
          <w:rFonts w:hint="eastAsia" w:ascii="仿宋_GB2312" w:eastAsia="仿宋_GB2312" w:cs="仿宋_GB2312"/>
          <w:color w:val="000000"/>
          <w:sz w:val="32"/>
          <w:szCs w:val="32"/>
        </w:rPr>
        <w:t xml:space="preserve">                                  </w:t>
      </w:r>
    </w:p>
    <w:p>
      <w:pPr>
        <w:tabs>
          <w:tab w:val="left" w:pos="4275"/>
        </w:tabs>
        <w:autoSpaceDE w:val="0"/>
        <w:autoSpaceDN w:val="0"/>
        <w:adjustRightInd w:val="0"/>
        <w:spacing w:beforeLines="0" w:afterLines="0" w:line="560" w:lineRule="exact"/>
        <w:ind w:firstLine="640"/>
        <w:rPr>
          <w:rFonts w:hint="default" w:eastAsia="楷体"/>
          <w:color w:val="000000"/>
          <w:sz w:val="32"/>
          <w:szCs w:val="32"/>
        </w:rPr>
      </w:pPr>
      <w:r>
        <w:rPr>
          <w:rFonts w:hint="eastAsia" w:ascii="楷体" w:eastAsia="楷体" w:cs="楷体"/>
          <w:i/>
          <w:color w:val="000000"/>
          <w:sz w:val="32"/>
          <w:szCs w:val="32"/>
        </w:rPr>
        <w:t>（二）公</w:t>
      </w:r>
      <w:r>
        <w:rPr>
          <w:rFonts w:hint="eastAsia" w:ascii="楷体" w:eastAsia="楷体" w:cs="楷体"/>
          <w:color w:val="000000"/>
          <w:sz w:val="32"/>
          <w:szCs w:val="32"/>
        </w:rPr>
        <w:t>共安全（类）</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 w:eastAsia="仿宋" w:cs="仿宋"/>
          <w:color w:val="000000"/>
          <w:sz w:val="32"/>
          <w:szCs w:val="32"/>
        </w:rPr>
        <w:t>1．公安（款）行政运行（项）。年初预算</w:t>
      </w:r>
      <w:r>
        <w:rPr>
          <w:rFonts w:hint="default" w:ascii="仿宋_GB2312" w:eastAsia="仿宋_GB2312" w:cs="仿宋_GB2312"/>
          <w:color w:val="000000"/>
          <w:sz w:val="32"/>
          <w:szCs w:val="32"/>
        </w:rPr>
        <w:t>0</w:t>
      </w:r>
      <w:r>
        <w:rPr>
          <w:rFonts w:hint="eastAsia" w:ascii="仿宋" w:eastAsia="仿宋" w:cs="仿宋"/>
          <w:color w:val="000000"/>
          <w:sz w:val="32"/>
          <w:szCs w:val="32"/>
        </w:rPr>
        <w:t>万元，决算支出</w:t>
      </w:r>
      <w:r>
        <w:rPr>
          <w:rFonts w:hint="default" w:ascii="仿宋_GB2312" w:eastAsia="仿宋_GB2312" w:cs="仿宋_GB2312"/>
          <w:color w:val="000000"/>
          <w:sz w:val="32"/>
          <w:szCs w:val="32"/>
        </w:rPr>
        <w:t>0</w:t>
      </w:r>
      <w:r>
        <w:rPr>
          <w:rFonts w:hint="eastAsia" w:ascii="仿宋" w:eastAsia="仿宋" w:cs="仿宋"/>
          <w:color w:val="000000"/>
          <w:sz w:val="32"/>
          <w:szCs w:val="32"/>
        </w:rPr>
        <w:t>万元，完成年初预算的</w:t>
      </w:r>
      <w:r>
        <w:rPr>
          <w:rFonts w:hint="default" w:ascii="仿宋_GB2312" w:eastAsia="仿宋_GB2312" w:cs="仿宋_GB2312"/>
          <w:color w:val="000000"/>
          <w:sz w:val="32"/>
          <w:szCs w:val="32"/>
        </w:rPr>
        <w:t>0</w:t>
      </w:r>
      <w:r>
        <w:rPr>
          <w:rFonts w:hint="eastAsia" w:ascii="仿宋" w:eastAsia="仿宋" w:cs="仿宋"/>
          <w:color w:val="000000"/>
          <w:sz w:val="32"/>
          <w:szCs w:val="32"/>
        </w:rPr>
        <w:t>。决算数与年初预算数的差异原因：本部门本年度末发生公共安全支出。</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（六）关于2021年度一般公共预算财政拨款基本支出决算情况说明</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_GB2312" w:eastAsia="仿宋_GB2312" w:cs="仿宋_GB2312"/>
          <w:color w:val="000000"/>
          <w:kern w:val="0"/>
          <w:sz w:val="32"/>
          <w:szCs w:val="32"/>
        </w:rPr>
        <w:t>本部门2021年度一般公共预算财政拨款基本支出1,867.71万元，其中：人员经费1,410.38万元，主要包括：基本工资、津贴补贴、奖金、社会保障缴费较上年增加85.54万元，主要原因是：人员增加及调资，公用经费457.33万元，主要包括：办公费、咨询费、电费，邮电费，取暖费，差旅费，租赁费，劳务费，商品和服务支出），较上年增加8.29万元，主要原因是：今年比去年文化活动增加。</w:t>
      </w:r>
    </w:p>
    <w:p>
      <w:pPr>
        <w:autoSpaceDE w:val="0"/>
        <w:autoSpaceDN w:val="0"/>
        <w:adjustRightInd w:val="0"/>
        <w:spacing w:before="100" w:beforeLines="0" w:after="100" w:afterLines="0" w:line="580" w:lineRule="atLeast"/>
        <w:ind w:firstLine="600"/>
        <w:rPr>
          <w:rFonts w:hint="default" w:eastAsia="楷体"/>
          <w:b/>
          <w:kern w:val="0"/>
          <w:sz w:val="24"/>
          <w:szCs w:val="24"/>
        </w:rPr>
      </w:pPr>
      <w:r>
        <w:rPr>
          <w:rFonts w:hint="eastAsia" w:ascii="楷体" w:eastAsia="楷体" w:cs="楷体"/>
          <w:b/>
          <w:color w:val="000000"/>
          <w:kern w:val="0"/>
          <w:sz w:val="32"/>
          <w:szCs w:val="32"/>
        </w:rPr>
        <w:t>（七）关于2021年</w:t>
      </w:r>
      <w:r>
        <w:rPr>
          <w:rFonts w:hint="eastAsia" w:ascii="楷体" w:eastAsia="楷体" w:cs="楷体"/>
          <w:b/>
          <w:kern w:val="0"/>
          <w:sz w:val="32"/>
          <w:szCs w:val="32"/>
        </w:rPr>
        <w:t>度财政拨款</w:t>
      </w:r>
      <w:r>
        <w:rPr>
          <w:rFonts w:hint="default" w:eastAsia="楷体"/>
          <w:b/>
          <w:kern w:val="0"/>
          <w:sz w:val="32"/>
          <w:szCs w:val="32"/>
        </w:rPr>
        <w:t>“</w:t>
      </w:r>
      <w:r>
        <w:rPr>
          <w:rFonts w:hint="eastAsia" w:ascii="楷体" w:eastAsia="楷体" w:cs="楷体"/>
          <w:b/>
          <w:kern w:val="0"/>
          <w:sz w:val="32"/>
          <w:szCs w:val="32"/>
        </w:rPr>
        <w:t>三公</w:t>
      </w:r>
      <w:r>
        <w:rPr>
          <w:rFonts w:hint="default" w:eastAsia="楷体"/>
          <w:b/>
          <w:kern w:val="0"/>
          <w:sz w:val="32"/>
          <w:szCs w:val="32"/>
        </w:rPr>
        <w:t>”</w:t>
      </w:r>
      <w:r>
        <w:rPr>
          <w:rFonts w:hint="eastAsia" w:ascii="楷体" w:eastAsia="楷体" w:cs="楷体"/>
          <w:b/>
          <w:kern w:val="0"/>
          <w:sz w:val="32"/>
          <w:szCs w:val="32"/>
        </w:rPr>
        <w:t>经费支出决算情况说明</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kern w:val="0"/>
          <w:sz w:val="32"/>
          <w:szCs w:val="32"/>
        </w:rPr>
        <w:t>1、财政拨款</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经费支出决算总体情况说明</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本部门2021年度财政拨款</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经费预算为12.86万元，支出决算为11.59万元，完成预算的90.13%，其中：因公出国（境）费预算为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万元，支出决算为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万元，完成预算的</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%；公务用车购置及运行维护费预算为12.86万元，支出决算为11.59万元，完成预算的90.13%；公务接待费预算为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万元，支出决算为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万元，完成预算的</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%。2021年度财政拨款</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经费支出决算与预算差异情况的原因：节约开支，减少不必要的支出。</w:t>
      </w:r>
    </w:p>
    <w:p>
      <w:pPr>
        <w:autoSpaceDE w:val="0"/>
        <w:autoSpaceDN w:val="0"/>
        <w:adjustRightInd w:val="0"/>
        <w:spacing w:before="100" w:beforeLines="0" w:after="100" w:afterLines="0" w:line="580" w:lineRule="atLeast"/>
        <w:ind w:firstLine="600"/>
        <w:jc w:val="left"/>
        <w:rPr>
          <w:rFonts w:hint="default" w:eastAsia="仿宋_GB2312"/>
          <w:color w:val="000000"/>
          <w:kern w:val="0"/>
          <w:sz w:val="24"/>
          <w:szCs w:val="24"/>
        </w:rPr>
      </w:pPr>
      <w:r>
        <w:rPr>
          <w:rFonts w:hint="eastAsia" w:ascii="仿宋_GB2312" w:eastAsia="仿宋_GB2312" w:cs="仿宋_GB2312"/>
          <w:color w:val="000000"/>
          <w:kern w:val="0"/>
          <w:sz w:val="32"/>
          <w:szCs w:val="32"/>
        </w:rPr>
        <w:t>2、财政拨款</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经费支出决算具体情况说明</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本部门2021年度财政拨款</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经费支出11.59万元，因公出国（境）费支出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经费支出的</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%；公务用车购置及运行维护费支出11.59万元，占100%；公务接待费支出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%。具体情况如下：</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b/>
          <w:color w:val="000000"/>
          <w:kern w:val="0"/>
          <w:sz w:val="32"/>
          <w:szCs w:val="32"/>
        </w:rPr>
        <w:t>因公出国（境）费支出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万元。全年因公出国（境）团组</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个，累计</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人次。较上年增加（减少）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万元，主要原因是主要原因是</w:t>
      </w:r>
      <w:r>
        <w:rPr>
          <w:rFonts w:hint="eastAsia" w:ascii="仿宋" w:eastAsia="仿宋" w:cs="仿宋"/>
          <w:color w:val="000000"/>
          <w:sz w:val="32"/>
          <w:szCs w:val="32"/>
        </w:rPr>
        <w:t>本部门本年度末发生</w:t>
      </w:r>
      <w:r>
        <w:rPr>
          <w:rFonts w:hint="eastAsia" w:ascii="仿宋_GB2312" w:eastAsia="仿宋_GB2312" w:cs="仿宋_GB2312"/>
          <w:b/>
          <w:color w:val="000000"/>
          <w:kern w:val="0"/>
          <w:sz w:val="32"/>
          <w:szCs w:val="32"/>
        </w:rPr>
        <w:t>因公出国</w:t>
      </w:r>
      <w:r>
        <w:rPr>
          <w:rFonts w:hint="eastAsia" w:ascii="仿宋" w:eastAsia="仿宋" w:cs="仿宋"/>
          <w:color w:val="000000"/>
          <w:sz w:val="32"/>
          <w:szCs w:val="32"/>
        </w:rPr>
        <w:t>支出</w:t>
      </w:r>
      <w:r>
        <w:rPr>
          <w:rFonts w:hint="eastAsia" w:ascii="仿宋_GB2312" w:eastAsia="仿宋_GB2312" w:cs="仿宋_GB2312"/>
          <w:color w:val="000000"/>
          <w:kern w:val="0"/>
          <w:sz w:val="32"/>
          <w:szCs w:val="32"/>
        </w:rPr>
        <w:t>。</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b/>
          <w:color w:val="000000"/>
          <w:kern w:val="0"/>
          <w:sz w:val="32"/>
          <w:szCs w:val="32"/>
        </w:rPr>
        <w:t>公务用车购置及运行维护费支出</w:t>
      </w:r>
      <w:r>
        <w:rPr>
          <w:rFonts w:hint="eastAsia" w:ascii="仿宋_GB2312" w:eastAsia="仿宋_GB2312" w:cs="仿宋_GB2312"/>
          <w:color w:val="000000"/>
          <w:kern w:val="0"/>
          <w:sz w:val="32"/>
          <w:szCs w:val="32"/>
        </w:rPr>
        <w:t>11.59万元。其中：公务用车购置支出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万元，车均购置费</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万元，公务用车购置支出较上年增加（减少）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万元，公务用车运行维护费支出11.59万元，用于公务用车运行维护费车均运维费1.93万元，公务用车运行维护费支出较上年增加1.4万元，主要原因是下乡活动，财政拨款开支的公务用车保有量为6辆。</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b/>
          <w:color w:val="000000"/>
          <w:kern w:val="0"/>
          <w:sz w:val="32"/>
          <w:szCs w:val="32"/>
        </w:rPr>
        <w:t>公务接待费支出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万元。其中：国内公务接待费</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万元，接待</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批次，共接待</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人次。国（境）外接待费</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万元，接待</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批次，共接待</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人次。。公务接待费支出较上年增加（减少）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万元，主要原因是</w:t>
      </w:r>
      <w:r>
        <w:rPr>
          <w:rFonts w:hint="eastAsia" w:ascii="仿宋" w:eastAsia="仿宋" w:cs="仿宋"/>
          <w:color w:val="000000"/>
          <w:sz w:val="32"/>
          <w:szCs w:val="32"/>
        </w:rPr>
        <w:t>本部门本年度末发生</w:t>
      </w:r>
      <w:r>
        <w:rPr>
          <w:rFonts w:hint="eastAsia" w:ascii="仿宋_GB2312" w:eastAsia="仿宋_GB2312" w:cs="仿宋_GB2312"/>
          <w:b/>
          <w:color w:val="000000"/>
          <w:kern w:val="0"/>
          <w:sz w:val="32"/>
          <w:szCs w:val="32"/>
        </w:rPr>
        <w:t>公务接待费</w:t>
      </w:r>
      <w:r>
        <w:rPr>
          <w:rFonts w:hint="eastAsia" w:ascii="仿宋" w:eastAsia="仿宋" w:cs="仿宋"/>
          <w:color w:val="000000"/>
          <w:sz w:val="32"/>
          <w:szCs w:val="32"/>
        </w:rPr>
        <w:t>支出</w:t>
      </w:r>
      <w:r>
        <w:rPr>
          <w:rFonts w:hint="eastAsia" w:ascii="仿宋_GB2312" w:eastAsia="仿宋_GB2312" w:cs="仿宋_GB2312"/>
          <w:color w:val="000000"/>
          <w:kern w:val="0"/>
          <w:sz w:val="32"/>
          <w:szCs w:val="32"/>
        </w:rPr>
        <w:t>。</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（八）关于2021年度政府性基金预算财政拨款支出决算情况说明</w:t>
      </w:r>
    </w:p>
    <w:p>
      <w:pPr>
        <w:autoSpaceDE w:val="0"/>
        <w:autoSpaceDN w:val="0"/>
        <w:adjustRightInd w:val="0"/>
        <w:spacing w:beforeLines="0" w:afterLines="0" w:line="560" w:lineRule="exact"/>
        <w:ind w:firstLine="640"/>
        <w:rPr>
          <w:rFonts w:hint="default" w:ascii="仿宋_GB2312" w:eastAsia="仿宋_GB2312"/>
          <w:color w:val="000000"/>
          <w:sz w:val="32"/>
          <w:szCs w:val="32"/>
        </w:rPr>
      </w:pPr>
      <w:r>
        <w:rPr>
          <w:rFonts w:hint="eastAsia" w:ascii="仿宋_GB2312" w:eastAsia="仿宋_GB2312" w:cs="仿宋_GB2312"/>
          <w:color w:val="000000"/>
          <w:sz w:val="32"/>
          <w:szCs w:val="32"/>
        </w:rPr>
        <w:t>2021年度政府性基金预算收入决算</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万元。与上年相比，增加（减少）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万元，增长（下降）100%，支出决算</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万元。与上年相比，增加（减少）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万元，增长（下降）100%，变动原因：本年无政府性基金预算拨款支出。</w:t>
      </w:r>
    </w:p>
    <w:p>
      <w:pPr>
        <w:autoSpaceDE w:val="0"/>
        <w:autoSpaceDN w:val="0"/>
        <w:adjustRightInd w:val="0"/>
        <w:spacing w:before="100" w:beforeLines="0" w:after="100" w:afterLines="0" w:line="580" w:lineRule="atLeast"/>
        <w:ind w:firstLine="600"/>
        <w:rPr>
          <w:rFonts w:hint="default" w:eastAsia="楷体"/>
          <w:b/>
          <w:color w:val="000000"/>
          <w:kern w:val="0"/>
          <w:sz w:val="32"/>
          <w:szCs w:val="32"/>
        </w:rPr>
      </w:pPr>
      <w:r>
        <w:rPr>
          <w:rFonts w:hint="eastAsia" w:ascii="楷体" w:eastAsia="楷体" w:cs="楷体"/>
          <w:b/>
          <w:color w:val="000000"/>
          <w:kern w:val="0"/>
          <w:sz w:val="32"/>
          <w:szCs w:val="32"/>
        </w:rPr>
        <w:t>（九）关于2021年度国有资本经营预算支出决算情况说明</w:t>
      </w:r>
    </w:p>
    <w:p>
      <w:pPr>
        <w:autoSpaceDE w:val="0"/>
        <w:autoSpaceDN w:val="0"/>
        <w:adjustRightInd w:val="0"/>
        <w:spacing w:beforeLines="0" w:afterLines="0" w:line="560" w:lineRule="exact"/>
        <w:ind w:firstLine="640"/>
        <w:rPr>
          <w:rFonts w:hint="default" w:ascii="仿宋_GB2312" w:eastAsia="仿宋_GB2312"/>
          <w:color w:val="000000"/>
          <w:sz w:val="32"/>
          <w:szCs w:val="32"/>
        </w:rPr>
      </w:pPr>
      <w:r>
        <w:rPr>
          <w:rFonts w:hint="eastAsia" w:ascii="仿宋_GB2312" w:eastAsia="仿宋_GB2312" w:cs="仿宋_GB2312"/>
          <w:color w:val="000000"/>
          <w:sz w:val="32"/>
          <w:szCs w:val="32"/>
        </w:rPr>
        <w:t>2021年度国有资本经营预算收入决算</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万元，与上年相比，与上年相比，增加（减少）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万元，增长（下降）</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%；支出决算</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万元。与上年相比，增加（减少）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万元，增长（减少）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%，变动原因：本年无国有资本经营预算拨款支出。</w:t>
      </w:r>
    </w:p>
    <w:p>
      <w:pPr>
        <w:autoSpaceDE w:val="0"/>
        <w:autoSpaceDN w:val="0"/>
        <w:adjustRightInd w:val="0"/>
        <w:spacing w:before="100" w:beforeLines="0" w:after="100" w:afterLines="0" w:line="580" w:lineRule="atLeast"/>
        <w:ind w:firstLine="600"/>
        <w:rPr>
          <w:rFonts w:hint="default" w:eastAsia="楷体"/>
          <w:b/>
          <w:color w:val="000000"/>
          <w:kern w:val="0"/>
          <w:sz w:val="32"/>
          <w:szCs w:val="32"/>
        </w:rPr>
      </w:pPr>
      <w:r>
        <w:rPr>
          <w:rFonts w:hint="eastAsia" w:ascii="楷体" w:eastAsia="楷体" w:cs="楷体"/>
          <w:b/>
          <w:color w:val="000000"/>
          <w:kern w:val="0"/>
          <w:sz w:val="32"/>
          <w:szCs w:val="32"/>
        </w:rPr>
        <w:t>（十）关于2021年度项目支出决算情况说明</w:t>
      </w:r>
    </w:p>
    <w:p>
      <w:pPr>
        <w:autoSpaceDE w:val="0"/>
        <w:autoSpaceDN w:val="0"/>
        <w:adjustRightInd w:val="0"/>
        <w:spacing w:beforeLines="0" w:afterLines="0" w:line="560" w:lineRule="exact"/>
        <w:ind w:firstLine="640"/>
        <w:rPr>
          <w:rFonts w:hint="default" w:eastAsia="仿宋_GB2312"/>
          <w:color w:val="000000"/>
          <w:kern w:val="0"/>
          <w:sz w:val="32"/>
          <w:szCs w:val="32"/>
        </w:rPr>
      </w:pPr>
      <w:r>
        <w:rPr>
          <w:rFonts w:hint="eastAsia" w:ascii="仿宋_GB2312" w:eastAsia="仿宋_GB2312" w:cs="仿宋_GB2312"/>
          <w:color w:val="000000"/>
          <w:kern w:val="0"/>
          <w:sz w:val="32"/>
          <w:szCs w:val="32"/>
        </w:rPr>
        <w:t>2021年，部门（单位）预算安排项目3个，实施项目3个，完成项目3个，项目支出总金额2,100.72万元。财政本年拨款金额1,392.17万元，财政拨款结转结余2.78万元，其他资金结转结余</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w:t>
      </w:r>
    </w:p>
    <w:p>
      <w:pPr>
        <w:autoSpaceDE w:val="0"/>
        <w:autoSpaceDN w:val="0"/>
        <w:adjustRightInd w:val="0"/>
        <w:spacing w:before="100" w:beforeLines="0" w:after="100" w:afterLines="0" w:line="580" w:lineRule="atLeast"/>
        <w:ind w:firstLine="600"/>
        <w:jc w:val="left"/>
        <w:rPr>
          <w:rFonts w:hint="default" w:eastAsia="楷体"/>
          <w:b/>
          <w:color w:val="000000"/>
          <w:kern w:val="0"/>
          <w:sz w:val="32"/>
          <w:szCs w:val="32"/>
        </w:rPr>
      </w:pPr>
      <w:r>
        <w:rPr>
          <w:rFonts w:hint="default" w:eastAsia="仿宋_GB2312"/>
          <w:color w:val="000000"/>
          <w:kern w:val="0"/>
          <w:sz w:val="32"/>
          <w:szCs w:val="32"/>
        </w:rPr>
        <w:t xml:space="preserve"> </w:t>
      </w:r>
      <w:r>
        <w:rPr>
          <w:rFonts w:hint="eastAsia" w:ascii="楷体" w:eastAsia="楷体" w:cs="楷体"/>
          <w:b/>
          <w:color w:val="000000"/>
          <w:kern w:val="0"/>
          <w:sz w:val="32"/>
          <w:szCs w:val="32"/>
        </w:rPr>
        <w:t>（十一）政府采购支出情况</w:t>
      </w:r>
    </w:p>
    <w:p>
      <w:pPr>
        <w:autoSpaceDE w:val="0"/>
        <w:autoSpaceDN w:val="0"/>
        <w:adjustRightInd w:val="0"/>
        <w:spacing w:before="100" w:beforeLines="0" w:after="100" w:afterLines="0" w:line="580" w:lineRule="atLeast"/>
        <w:ind w:firstLine="600"/>
        <w:rPr>
          <w:rFonts w:hint="default" w:eastAsia="仿宋_GB2312"/>
          <w:color w:val="000000"/>
          <w:kern w:val="0"/>
          <w:sz w:val="32"/>
          <w:szCs w:val="32"/>
        </w:rPr>
      </w:pPr>
      <w:r>
        <w:rPr>
          <w:rFonts w:hint="eastAsia" w:ascii="仿宋_GB2312" w:eastAsia="仿宋_GB2312" w:cs="仿宋_GB2312"/>
          <w:color w:val="000000"/>
          <w:kern w:val="0"/>
          <w:sz w:val="32"/>
          <w:szCs w:val="32"/>
        </w:rPr>
        <w:t>本部门2021年度政府采购支出合计</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万元，其中：政府采购货物支出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万元，比2020年增加（减少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万元，增长（降低）-100%，；政府采购工程支出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万元，比2020年增加（减少）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万元，增长（降低）</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%，政府采购服务支出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万元，比2020年增加（减少）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万元，增长（降低）</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%，授予中小企业合同金额</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万元，占政府采购支出合同总额的</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%。其中：授予小微企业合同金额</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万元，占政府采购支出合同总额的</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w:t>
      </w:r>
    </w:p>
    <w:p>
      <w:pPr>
        <w:autoSpaceDE w:val="0"/>
        <w:autoSpaceDN w:val="0"/>
        <w:adjustRightInd w:val="0"/>
        <w:spacing w:before="100" w:beforeLines="0" w:after="100" w:afterLines="0" w:line="580" w:lineRule="atLeast"/>
        <w:ind w:firstLine="600"/>
        <w:rPr>
          <w:rFonts w:hint="default" w:eastAsia="楷体"/>
          <w:b/>
          <w:color w:val="000000"/>
          <w:kern w:val="0"/>
          <w:sz w:val="32"/>
          <w:szCs w:val="32"/>
        </w:rPr>
      </w:pPr>
      <w:r>
        <w:rPr>
          <w:rFonts w:hint="eastAsia" w:ascii="楷体" w:eastAsia="楷体" w:cs="楷体"/>
          <w:b/>
          <w:color w:val="000000"/>
          <w:kern w:val="0"/>
          <w:sz w:val="32"/>
          <w:szCs w:val="32"/>
        </w:rPr>
        <w:t>（十二）机关运行经费支出情况</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_GB2312" w:eastAsia="仿宋_GB2312" w:cs="仿宋_GB2312"/>
          <w:color w:val="000000"/>
          <w:kern w:val="0"/>
          <w:sz w:val="32"/>
          <w:szCs w:val="32"/>
        </w:rPr>
        <w:t>本部门2021年度机关运行经费支出259.98万元，比2020年增加28.33万元，增长12.23%。主要原因是：今年比去年文化活动增加。</w:t>
      </w:r>
    </w:p>
    <w:p>
      <w:pPr>
        <w:autoSpaceDE w:val="0"/>
        <w:autoSpaceDN w:val="0"/>
        <w:adjustRightInd w:val="0"/>
        <w:spacing w:before="100" w:beforeLines="0" w:after="100" w:afterLines="0" w:line="580" w:lineRule="atLeast"/>
        <w:ind w:firstLine="600"/>
        <w:rPr>
          <w:rFonts w:hint="default" w:eastAsia="楷体"/>
          <w:b/>
          <w:color w:val="000000"/>
          <w:kern w:val="0"/>
          <w:sz w:val="32"/>
          <w:szCs w:val="32"/>
        </w:rPr>
      </w:pPr>
      <w:r>
        <w:rPr>
          <w:rFonts w:hint="eastAsia" w:ascii="楷体" w:eastAsia="楷体" w:cs="楷体"/>
          <w:b/>
          <w:color w:val="000000"/>
          <w:kern w:val="0"/>
          <w:sz w:val="32"/>
          <w:szCs w:val="32"/>
        </w:rPr>
        <w:t>（十三）国有资产占用情况</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截至2021年12月31日，本部门共有车辆7辆，其中，副部（省）级及以上领导用车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w:t>
      </w:r>
      <w:r>
        <w:rPr>
          <w:rFonts w:hint="eastAsia" w:ascii="宋体" w:cs="宋体"/>
          <w:color w:val="000000"/>
          <w:kern w:val="0"/>
          <w:sz w:val="32"/>
          <w:szCs w:val="32"/>
        </w:rPr>
        <w:t>、</w:t>
      </w:r>
      <w:r>
        <w:rPr>
          <w:rFonts w:hint="eastAsia" w:ascii="仿宋_GB2312" w:eastAsia="仿宋_GB2312" w:cs="仿宋_GB2312"/>
          <w:color w:val="000000"/>
          <w:kern w:val="0"/>
          <w:sz w:val="32"/>
          <w:szCs w:val="32"/>
        </w:rPr>
        <w:t>主要领导干部用车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辆、机要通信用车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辆、应急保障用车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辆、执法执勤用车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w:t>
      </w:r>
      <w:r>
        <w:rPr>
          <w:rFonts w:hint="eastAsia" w:ascii="宋体" w:cs="宋体"/>
          <w:color w:val="000000"/>
          <w:kern w:val="0"/>
          <w:sz w:val="32"/>
          <w:szCs w:val="32"/>
        </w:rPr>
        <w:t>、</w:t>
      </w:r>
      <w:r>
        <w:rPr>
          <w:rFonts w:hint="eastAsia" w:ascii="仿宋_GB2312" w:eastAsia="仿宋_GB2312" w:cs="仿宋_GB2312"/>
          <w:color w:val="000000"/>
          <w:kern w:val="0"/>
          <w:sz w:val="32"/>
          <w:szCs w:val="32"/>
        </w:rPr>
        <w:t>特种专业技术用车1辆</w:t>
      </w:r>
      <w:r>
        <w:rPr>
          <w:rFonts w:hint="eastAsia" w:ascii="宋体" w:cs="宋体"/>
          <w:color w:val="000000"/>
          <w:kern w:val="0"/>
          <w:sz w:val="32"/>
          <w:szCs w:val="32"/>
        </w:rPr>
        <w:t>、</w:t>
      </w:r>
      <w:r>
        <w:rPr>
          <w:rFonts w:hint="eastAsia" w:ascii="仿宋_GB2312" w:eastAsia="仿宋_GB2312" w:cs="仿宋_GB2312"/>
          <w:color w:val="000000"/>
          <w:kern w:val="0"/>
          <w:sz w:val="32"/>
          <w:szCs w:val="32"/>
        </w:rPr>
        <w:t>离退休干部用车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w:t>
      </w:r>
      <w:r>
        <w:rPr>
          <w:rFonts w:hint="eastAsia" w:ascii="宋体" w:cs="宋体"/>
          <w:color w:val="000000"/>
          <w:kern w:val="0"/>
          <w:sz w:val="32"/>
          <w:szCs w:val="32"/>
        </w:rPr>
        <w:t>、</w:t>
      </w:r>
      <w:r>
        <w:rPr>
          <w:rFonts w:hint="eastAsia" w:ascii="仿宋_GB2312" w:eastAsia="仿宋_GB2312" w:cs="仿宋_GB2312"/>
          <w:color w:val="000000"/>
          <w:kern w:val="0"/>
          <w:sz w:val="32"/>
          <w:szCs w:val="32"/>
        </w:rPr>
        <w:t>其他用车6辆；单位价值50万元以上通用设备</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台（套），主要是维护日常办公所需，比2020年增加（减少）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台（套），单位价值100万元以上专用设备</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台（套），比2020年增加（减少）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台（套），</w:t>
      </w:r>
    </w:p>
    <w:p>
      <w:pPr>
        <w:autoSpaceDE w:val="0"/>
        <w:autoSpaceDN w:val="0"/>
        <w:adjustRightInd w:val="0"/>
        <w:spacing w:before="100" w:beforeLines="0" w:after="100" w:afterLines="0" w:line="580" w:lineRule="atLeast"/>
        <w:ind w:firstLine="600"/>
        <w:rPr>
          <w:rFonts w:hint="default" w:eastAsia="仿宋_GB2312"/>
          <w:b/>
          <w:color w:val="000000"/>
          <w:kern w:val="0"/>
          <w:sz w:val="32"/>
          <w:szCs w:val="32"/>
        </w:rPr>
      </w:pPr>
      <w:r>
        <w:rPr>
          <w:rFonts w:hint="eastAsia" w:ascii="仿宋_GB2312" w:eastAsia="仿宋_GB2312" w:cs="仿宋_GB2312"/>
          <w:b/>
          <w:color w:val="000000"/>
          <w:kern w:val="0"/>
          <w:sz w:val="32"/>
          <w:szCs w:val="32"/>
        </w:rPr>
        <w:t>三、预算绩效评价工作开展情况</w:t>
      </w:r>
    </w:p>
    <w:p>
      <w:pPr>
        <w:autoSpaceDE w:val="0"/>
        <w:autoSpaceDN w:val="0"/>
        <w:adjustRightInd w:val="0"/>
        <w:spacing w:beforeLines="0" w:afterLines="0" w:line="580" w:lineRule="exact"/>
        <w:ind w:firstLine="600"/>
        <w:rPr>
          <w:rFonts w:hint="default" w:eastAsia="仿宋_GB2312"/>
          <w:color w:val="000000"/>
          <w:sz w:val="32"/>
          <w:szCs w:val="32"/>
        </w:rPr>
      </w:pPr>
      <w:r>
        <w:rPr>
          <w:rFonts w:hint="eastAsia" w:ascii="仿宋_GB2312" w:eastAsia="仿宋_GB2312" w:cs="仿宋_GB2312"/>
          <w:color w:val="000000"/>
          <w:sz w:val="32"/>
          <w:szCs w:val="32"/>
        </w:rPr>
        <w:t>（一）预算绩效管理工作开展情况</w:t>
      </w:r>
    </w:p>
    <w:p>
      <w:pPr>
        <w:autoSpaceDE w:val="0"/>
        <w:autoSpaceDN w:val="0"/>
        <w:adjustRightInd w:val="0"/>
        <w:spacing w:beforeLines="0" w:afterLines="0" w:line="580" w:lineRule="exact"/>
        <w:ind w:firstLine="600"/>
        <w:rPr>
          <w:rFonts w:hint="default" w:eastAsia="仿宋_GB2312"/>
          <w:color w:val="000000"/>
          <w:sz w:val="32"/>
          <w:szCs w:val="32"/>
        </w:rPr>
      </w:pPr>
      <w:r>
        <w:rPr>
          <w:rFonts w:hint="eastAsia" w:ascii="仿宋_GB2312" w:eastAsia="仿宋_GB2312" w:cs="仿宋_GB2312"/>
          <w:color w:val="000000"/>
          <w:sz w:val="32"/>
          <w:szCs w:val="32"/>
        </w:rPr>
        <w:t>（一）预算绩效管理工作开展情况</w:t>
      </w:r>
    </w:p>
    <w:p>
      <w:pPr>
        <w:widowControl/>
        <w:spacing w:beforeLines="0" w:afterLines="0"/>
        <w:ind w:firstLine="604"/>
        <w:jc w:val="left"/>
        <w:rPr>
          <w:rFonts w:hint="eastAsia" w:ascii="仿宋" w:hAnsi="仿宋" w:eastAsia="仿宋" w:cs="仿宋"/>
          <w:color w:val="000000"/>
          <w:spacing w:val="1"/>
          <w:sz w:val="30"/>
          <w:szCs w:val="30"/>
        </w:rPr>
      </w:pPr>
      <w:r>
        <w:rPr>
          <w:rFonts w:hint="eastAsia" w:ascii="仿宋_GB2312" w:eastAsia="仿宋_GB2312" w:cs="仿宋_GB2312"/>
          <w:color w:val="000000"/>
          <w:sz w:val="32"/>
          <w:szCs w:val="32"/>
        </w:rPr>
        <w:t>根据预算绩效管理要求，我部门（单位）组织对2021年度一般公共预算目项支出全面开展绩效自评，其中，一级项目  0个，二级项目1  个，共涉及资金   5 万元，占一般公共预算项目支出总额的100%（必须达到100%）；政府性基金预算项目</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个，共涉及资金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万元，占应纳入绩效自评的政府性基金预算项目支出总额的100%；组织对文化推介费1个项目开展了部门评价，涉及一般公共预算支出5万元，政府性基金支出</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万元，其中对文化推介费项目委托相关第三方机构开展绩效评价。从评价情况来看，以上项目已完成项目工程量的100%。</w:t>
      </w:r>
      <w:r>
        <w:rPr>
          <w:rFonts w:hint="eastAsia" w:ascii="仿宋" w:hAnsi="仿宋" w:eastAsia="仿宋" w:cs="仿宋"/>
          <w:color w:val="000000"/>
          <w:spacing w:val="1"/>
          <w:sz w:val="30"/>
          <w:szCs w:val="30"/>
        </w:rPr>
        <w:t xml:space="preserve"> </w:t>
      </w:r>
    </w:p>
    <w:p>
      <w:pPr>
        <w:autoSpaceDE w:val="0"/>
        <w:autoSpaceDN w:val="0"/>
        <w:adjustRightInd w:val="0"/>
        <w:spacing w:beforeLines="0" w:afterLines="0" w:line="580" w:lineRule="exact"/>
        <w:ind w:firstLine="600"/>
        <w:rPr>
          <w:rFonts w:hint="default" w:eastAsia="仿宋_GB2312"/>
          <w:color w:val="000000"/>
          <w:sz w:val="32"/>
          <w:szCs w:val="32"/>
        </w:rPr>
      </w:pPr>
      <w:r>
        <w:rPr>
          <w:rFonts w:hint="eastAsia" w:ascii="仿宋_GB2312" w:eastAsia="仿宋_GB2312" w:cs="仿宋_GB2312"/>
          <w:color w:val="000000"/>
          <w:sz w:val="32"/>
          <w:szCs w:val="32"/>
        </w:rPr>
        <w:t>（二）部门决算中项目绩效自评结果</w:t>
      </w:r>
    </w:p>
    <w:p>
      <w:pPr>
        <w:autoSpaceDE w:val="0"/>
        <w:autoSpaceDN w:val="0"/>
        <w:adjustRightInd w:val="0"/>
        <w:spacing w:beforeLines="0" w:afterLines="0" w:line="580" w:lineRule="exact"/>
        <w:ind w:firstLine="600"/>
        <w:rPr>
          <w:rFonts w:hint="default" w:eastAsia="仿宋_GB2312"/>
          <w:color w:val="000000"/>
          <w:sz w:val="32"/>
          <w:szCs w:val="32"/>
        </w:rPr>
      </w:pPr>
      <w:r>
        <w:rPr>
          <w:rFonts w:hint="eastAsia" w:ascii="仿宋_GB2312" w:eastAsia="仿宋_GB2312" w:cs="仿宋_GB2312"/>
          <w:color w:val="000000"/>
          <w:sz w:val="32"/>
          <w:szCs w:val="32"/>
        </w:rPr>
        <w:t>我单位今年在部门决算中反映文化推介费部门决算中反映1个一般公共预算项目，共1个项目的绩效自评结果。</w:t>
      </w:r>
    </w:p>
    <w:p>
      <w:pPr>
        <w:autoSpaceDE w:val="0"/>
        <w:autoSpaceDN w:val="0"/>
        <w:adjustRightInd w:val="0"/>
        <w:spacing w:beforeLines="0" w:afterLines="0" w:line="580" w:lineRule="exact"/>
        <w:ind w:firstLine="600"/>
        <w:rPr>
          <w:rFonts w:hint="default" w:ascii="仿宋_GB2312" w:eastAsia="仿宋_GB2312" w:cs="仿宋_GB2312"/>
          <w:color w:val="000000"/>
          <w:sz w:val="32"/>
          <w:szCs w:val="32"/>
        </w:rPr>
      </w:pPr>
      <w:r>
        <w:rPr>
          <w:rFonts w:hint="eastAsia" w:ascii="仿宋_GB2312" w:eastAsia="仿宋_GB2312" w:cs="仿宋_GB2312"/>
          <w:color w:val="000000"/>
          <w:sz w:val="32"/>
          <w:szCs w:val="32"/>
        </w:rPr>
        <w:t>1. 文化推介费项目自评综述：根据年初设定的绩效目标，项目自评得分15分。全年预算数为5万元，执行数为5万元，完成预算的100%。项目绩效目标完成情况：</w:t>
      </w:r>
    </w:p>
    <w:p>
      <w:pPr>
        <w:autoSpaceDE w:val="0"/>
        <w:autoSpaceDN w:val="0"/>
        <w:adjustRightInd w:val="0"/>
        <w:spacing w:beforeLines="0" w:afterLines="0" w:line="580" w:lineRule="exact"/>
        <w:ind w:firstLine="600"/>
        <w:rPr>
          <w:rFonts w:hint="default" w:ascii="仿宋_GB2312" w:eastAsia="仿宋_GB2312" w:cs="仿宋_GB2312"/>
          <w:color w:val="000000"/>
          <w:sz w:val="32"/>
          <w:szCs w:val="32"/>
        </w:rPr>
      </w:pPr>
      <w:r>
        <w:rPr>
          <w:rFonts w:hint="eastAsia" w:ascii="仿宋_GB2312" w:eastAsia="仿宋_GB2312" w:cs="仿宋_GB2312"/>
          <w:color w:val="000000"/>
          <w:sz w:val="32"/>
          <w:szCs w:val="32"/>
        </w:rPr>
        <w:t>参加由上级部门组织的宣传推介活动，借助更大的宣传平台展现莫旗文化旅游优秀资源，进一步扩大游客市场，吸引全吸引全国游客来到莫旗，制作文化旅游宣传产品，发现的主要问题及原因：宣传产品力度不构，下一步改进措施：完善宣传</w:t>
      </w:r>
    </w:p>
    <w:p>
      <w:pPr>
        <w:autoSpaceDE w:val="0"/>
        <w:autoSpaceDN w:val="0"/>
        <w:adjustRightInd w:val="0"/>
        <w:spacing w:beforeLines="0" w:afterLines="0" w:line="580" w:lineRule="exact"/>
        <w:ind w:firstLine="600"/>
        <w:rPr>
          <w:rFonts w:hint="default" w:eastAsia="仿宋_GB2312"/>
          <w:color w:val="000000"/>
          <w:sz w:val="32"/>
          <w:szCs w:val="32"/>
        </w:rPr>
      </w:pPr>
    </w:p>
    <w:p>
      <w:pPr>
        <w:autoSpaceDE w:val="0"/>
        <w:autoSpaceDN w:val="0"/>
        <w:adjustRightInd w:val="0"/>
        <w:spacing w:beforeLines="0" w:afterLines="0" w:line="580" w:lineRule="exact"/>
        <w:ind w:firstLine="600"/>
        <w:rPr>
          <w:rFonts w:hint="default" w:eastAsia="仿宋_GB2312"/>
          <w:color w:val="000000"/>
          <w:sz w:val="32"/>
          <w:szCs w:val="32"/>
        </w:rPr>
      </w:pPr>
    </w:p>
    <w:tbl>
      <w:tblPr>
        <w:tblStyle w:val="2"/>
        <w:tblW w:w="13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40"/>
        <w:gridCol w:w="740"/>
        <w:gridCol w:w="1460"/>
        <w:gridCol w:w="1360"/>
        <w:gridCol w:w="980"/>
        <w:gridCol w:w="1240"/>
        <w:gridCol w:w="1160"/>
        <w:gridCol w:w="980"/>
        <w:gridCol w:w="880"/>
        <w:gridCol w:w="1060"/>
        <w:gridCol w:w="1120"/>
        <w:gridCol w:w="1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3620" w:type="dxa"/>
            <w:gridSpan w:val="12"/>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宋体" w:hAnsi="宋体" w:eastAsia="宋体" w:cs="宋体"/>
                <w:b/>
                <w:kern w:val="0"/>
                <w:sz w:val="40"/>
                <w:szCs w:val="40"/>
                <w:shd w:val="pct10" w:color="auto" w:fill="FFFFFF"/>
                <w:lang w:eastAsia="zh-CN"/>
              </w:rPr>
            </w:pPr>
            <w:r>
              <w:rPr>
                <w:rFonts w:hint="eastAsia" w:ascii="宋体" w:hAnsi="宋体" w:cs="宋体"/>
                <w:b/>
                <w:kern w:val="0"/>
                <w:sz w:val="40"/>
                <w:szCs w:val="40"/>
                <w:shd w:val="pct10" w:color="auto" w:fill="FFFFFF"/>
              </w:rPr>
              <w:t>项目支出绩效自评表</w:t>
            </w:r>
          </w:p>
          <w:p>
            <w:pPr>
              <w:widowControl/>
              <w:spacing w:beforeLines="0" w:afterLines="0"/>
              <w:jc w:val="center"/>
              <w:rPr>
                <w:rFonts w:hint="default" w:ascii="宋体" w:cs="宋体"/>
                <w:b/>
                <w:kern w:val="0"/>
                <w:sz w:val="40"/>
                <w:szCs w:val="40"/>
                <w:shd w:val="pct10" w:color="auto" w:fill="FFFFFF"/>
              </w:rPr>
            </w:pPr>
            <w:r>
              <w:rPr>
                <w:rFonts w:hint="eastAsia" w:ascii="宋体" w:hAnsi="宋体" w:cs="宋体"/>
                <w:b/>
                <w:kern w:val="0"/>
                <w:sz w:val="40"/>
                <w:szCs w:val="40"/>
                <w:shd w:val="pct10" w:color="auto" w:fill="FFFFFF"/>
              </w:rPr>
              <w:t>(2021年度）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righ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项目名称</w:t>
            </w:r>
          </w:p>
        </w:tc>
        <w:tc>
          <w:tcPr>
            <w:tcW w:w="11540" w:type="dxa"/>
            <w:gridSpan w:val="10"/>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文化推介费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righ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主管部门</w:t>
            </w:r>
          </w:p>
        </w:tc>
        <w:tc>
          <w:tcPr>
            <w:tcW w:w="5040" w:type="dxa"/>
            <w:gridSpan w:val="4"/>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莫力达瓦达斡尔族自治旗文化和旅游局（部门）</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righ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实施单位</w:t>
            </w:r>
          </w:p>
        </w:tc>
        <w:tc>
          <w:tcPr>
            <w:tcW w:w="4360" w:type="dxa"/>
            <w:gridSpan w:val="4"/>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莫力达瓦达斡尔族自治旗文化和旅游局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restart"/>
            <w:tcBorders>
              <w:top w:val="single" w:color="auto" w:sz="4" w:space="0"/>
              <w:left w:val="single" w:color="auto" w:sz="4" w:space="0"/>
              <w:bottom w:val="single" w:color="000000" w:sz="4" w:space="0"/>
              <w:right w:val="single" w:color="000000" w:sz="4" w:space="0"/>
              <w:tl2br w:val="nil"/>
              <w:tr2bl w:val="nil"/>
            </w:tcBorders>
            <w:noWrap w:val="0"/>
            <w:vAlign w:val="center"/>
          </w:tcPr>
          <w:p>
            <w:pPr>
              <w:widowControl/>
              <w:spacing w:beforeLines="0" w:afterLines="0"/>
              <w:jc w:val="center"/>
              <w:rPr>
                <w:rFonts w:hint="eastAsia" w:ascii="宋体" w:hAnsi="宋体" w:eastAsia="宋体" w:cs="宋体"/>
                <w:kern w:val="0"/>
                <w:sz w:val="18"/>
                <w:szCs w:val="18"/>
                <w:shd w:val="pct10" w:color="auto" w:fill="FFFFFF"/>
                <w:lang w:eastAsia="zh-CN"/>
              </w:rPr>
            </w:pPr>
            <w:r>
              <w:rPr>
                <w:rFonts w:hint="eastAsia" w:ascii="宋体" w:hAnsi="宋体" w:cs="宋体"/>
                <w:kern w:val="0"/>
                <w:sz w:val="18"/>
                <w:szCs w:val="18"/>
                <w:shd w:val="pct10" w:color="auto" w:fill="FFFFFF"/>
              </w:rPr>
              <w:t>项目资金</w:t>
            </w:r>
          </w:p>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（万元）</w:t>
            </w: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年初预算数</w:t>
            </w:r>
          </w:p>
        </w:tc>
        <w:tc>
          <w:tcPr>
            <w:tcW w:w="222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全年预算数</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全年执行数</w:t>
            </w:r>
          </w:p>
        </w:tc>
        <w:tc>
          <w:tcPr>
            <w:tcW w:w="88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分值</w:t>
            </w:r>
          </w:p>
        </w:tc>
        <w:tc>
          <w:tcPr>
            <w:tcW w:w="218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执行率（%）</w:t>
            </w:r>
          </w:p>
        </w:tc>
        <w:tc>
          <w:tcPr>
            <w:tcW w:w="130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continue"/>
            <w:tcBorders>
              <w:top w:val="single" w:color="auto" w:sz="4" w:space="0"/>
              <w:left w:val="single" w:color="auto" w:sz="4" w:space="0"/>
              <w:bottom w:val="single" w:color="000000" w:sz="4" w:space="0"/>
              <w:right w:val="single" w:color="000000"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年度资金总额</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5.00</w:t>
            </w:r>
          </w:p>
        </w:tc>
        <w:tc>
          <w:tcPr>
            <w:tcW w:w="222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5.00</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5.00</w:t>
            </w:r>
          </w:p>
        </w:tc>
        <w:tc>
          <w:tcPr>
            <w:tcW w:w="88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218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100.00</w:t>
            </w:r>
          </w:p>
        </w:tc>
        <w:tc>
          <w:tcPr>
            <w:tcW w:w="130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continue"/>
            <w:tcBorders>
              <w:top w:val="single" w:color="auto" w:sz="4" w:space="0"/>
              <w:left w:val="single" w:color="auto" w:sz="4" w:space="0"/>
              <w:bottom w:val="single" w:color="000000" w:sz="4" w:space="0"/>
              <w:right w:val="single" w:color="000000"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其中：财政拨款</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5.00</w:t>
            </w:r>
          </w:p>
        </w:tc>
        <w:tc>
          <w:tcPr>
            <w:tcW w:w="222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5.00</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5.00</w:t>
            </w:r>
          </w:p>
        </w:tc>
        <w:tc>
          <w:tcPr>
            <w:tcW w:w="88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kern w:val="0"/>
                <w:sz w:val="20"/>
                <w:szCs w:val="20"/>
                <w:shd w:val="pct10" w:color="auto" w:fill="FFFFFF"/>
              </w:rPr>
            </w:pPr>
            <w:r>
              <w:rPr>
                <w:rFonts w:hint="default" w:ascii="Arial" w:hAnsi="Arial" w:cs="Arial"/>
                <w:kern w:val="0"/>
                <w:sz w:val="20"/>
                <w:szCs w:val="20"/>
                <w:shd w:val="pct10" w:color="auto" w:fill="FFFFFF"/>
              </w:rPr>
              <w:t>——</w:t>
            </w:r>
          </w:p>
        </w:tc>
        <w:tc>
          <w:tcPr>
            <w:tcW w:w="218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100</w:t>
            </w:r>
          </w:p>
        </w:tc>
        <w:tc>
          <w:tcPr>
            <w:tcW w:w="130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kern w:val="0"/>
                <w:sz w:val="20"/>
                <w:szCs w:val="20"/>
                <w:shd w:val="pct10" w:color="auto" w:fill="FFFFFF"/>
              </w:rPr>
            </w:pPr>
            <w:r>
              <w:rPr>
                <w:rFonts w:hint="default" w:ascii="Arial" w:hAnsi="Arial" w:cs="Arial"/>
                <w:kern w:val="0"/>
                <w:sz w:val="20"/>
                <w:szCs w:val="20"/>
                <w:shd w:val="pct10" w:color="auto" w:fill="FFFFFF"/>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continue"/>
            <w:tcBorders>
              <w:top w:val="single" w:color="auto" w:sz="4" w:space="0"/>
              <w:left w:val="single" w:color="auto" w:sz="4" w:space="0"/>
              <w:bottom w:val="single" w:color="000000" w:sz="4" w:space="0"/>
              <w:right w:val="single" w:color="000000"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上年结转资金</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r>
              <w:rPr>
                <w:rFonts w:hint="default" w:ascii="宋体" w:cs="宋体"/>
                <w:kern w:val="0"/>
                <w:sz w:val="18"/>
                <w:szCs w:val="18"/>
                <w:shd w:val="pct10" w:color="auto" w:fill="FFFFFF"/>
              </w:rPr>
              <w:t>0.00</w:t>
            </w:r>
          </w:p>
        </w:tc>
        <w:tc>
          <w:tcPr>
            <w:tcW w:w="222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default" w:ascii="宋体" w:cs="宋体"/>
                <w:kern w:val="0"/>
                <w:sz w:val="18"/>
                <w:szCs w:val="18"/>
                <w:shd w:val="pct10" w:color="auto" w:fill="FFFFFF"/>
              </w:rPr>
              <w:t>0.00</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default" w:ascii="宋体" w:cs="宋体"/>
                <w:kern w:val="0"/>
                <w:sz w:val="18"/>
                <w:szCs w:val="18"/>
                <w:shd w:val="pct10" w:color="auto" w:fill="FFFFFF"/>
              </w:rPr>
              <w:t>0.00</w:t>
            </w:r>
          </w:p>
        </w:tc>
        <w:tc>
          <w:tcPr>
            <w:tcW w:w="88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kern w:val="0"/>
                <w:sz w:val="20"/>
                <w:szCs w:val="20"/>
                <w:shd w:val="pct10" w:color="auto" w:fill="FFFFFF"/>
              </w:rPr>
            </w:pPr>
            <w:r>
              <w:rPr>
                <w:rFonts w:hint="default" w:ascii="Arial" w:hAnsi="Arial" w:cs="Arial"/>
                <w:kern w:val="0"/>
                <w:sz w:val="20"/>
                <w:szCs w:val="20"/>
                <w:shd w:val="pct10" w:color="auto" w:fill="FFFFFF"/>
              </w:rPr>
              <w:t>——</w:t>
            </w:r>
          </w:p>
        </w:tc>
        <w:tc>
          <w:tcPr>
            <w:tcW w:w="218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default" w:ascii="宋体" w:cs="宋体"/>
                <w:kern w:val="0"/>
                <w:sz w:val="18"/>
                <w:szCs w:val="18"/>
                <w:shd w:val="pct10" w:color="auto" w:fill="FFFFFF"/>
              </w:rPr>
              <w:t>0</w:t>
            </w:r>
          </w:p>
        </w:tc>
        <w:tc>
          <w:tcPr>
            <w:tcW w:w="130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kern w:val="0"/>
                <w:sz w:val="20"/>
                <w:szCs w:val="20"/>
                <w:shd w:val="pct10" w:color="auto" w:fill="FFFFFF"/>
              </w:rPr>
            </w:pPr>
            <w:r>
              <w:rPr>
                <w:rFonts w:hint="default" w:ascii="Arial" w:hAnsi="Arial" w:cs="Arial"/>
                <w:kern w:val="0"/>
                <w:sz w:val="20"/>
                <w:szCs w:val="20"/>
                <w:shd w:val="pct10" w:color="auto" w:fill="FFFFFF"/>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continue"/>
            <w:tcBorders>
              <w:top w:val="single" w:color="auto" w:sz="4" w:space="0"/>
              <w:left w:val="single" w:color="auto" w:sz="4" w:space="0"/>
              <w:bottom w:val="single" w:color="000000" w:sz="4" w:space="0"/>
              <w:right w:val="single" w:color="000000"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其他资金</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r>
              <w:rPr>
                <w:rFonts w:hint="default" w:ascii="宋体" w:cs="宋体"/>
                <w:kern w:val="0"/>
                <w:sz w:val="18"/>
                <w:szCs w:val="18"/>
                <w:shd w:val="pct10" w:color="auto" w:fill="FFFFFF"/>
              </w:rPr>
              <w:t>0.00</w:t>
            </w:r>
          </w:p>
        </w:tc>
        <w:tc>
          <w:tcPr>
            <w:tcW w:w="222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default" w:ascii="宋体" w:cs="宋体"/>
                <w:kern w:val="0"/>
                <w:sz w:val="18"/>
                <w:szCs w:val="18"/>
                <w:shd w:val="pct10" w:color="auto" w:fill="FFFFFF"/>
              </w:rPr>
              <w:t>0.00</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default" w:ascii="宋体" w:cs="宋体"/>
                <w:kern w:val="0"/>
                <w:sz w:val="18"/>
                <w:szCs w:val="18"/>
                <w:shd w:val="pct10" w:color="auto" w:fill="FFFFFF"/>
              </w:rPr>
              <w:t>0.00</w:t>
            </w:r>
          </w:p>
        </w:tc>
        <w:tc>
          <w:tcPr>
            <w:tcW w:w="88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kern w:val="0"/>
                <w:sz w:val="20"/>
                <w:szCs w:val="20"/>
                <w:shd w:val="pct10" w:color="auto" w:fill="FFFFFF"/>
              </w:rPr>
            </w:pPr>
            <w:r>
              <w:rPr>
                <w:rFonts w:hint="default" w:ascii="Arial" w:hAnsi="Arial" w:cs="Arial"/>
                <w:kern w:val="0"/>
                <w:sz w:val="20"/>
                <w:szCs w:val="20"/>
                <w:shd w:val="pct10" w:color="auto" w:fill="FFFFFF"/>
              </w:rPr>
              <w:t>——</w:t>
            </w:r>
          </w:p>
        </w:tc>
        <w:tc>
          <w:tcPr>
            <w:tcW w:w="218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default" w:ascii="宋体" w:cs="宋体"/>
                <w:kern w:val="0"/>
                <w:sz w:val="18"/>
                <w:szCs w:val="18"/>
                <w:shd w:val="pct10" w:color="auto" w:fill="FFFFFF"/>
              </w:rPr>
              <w:t>0</w:t>
            </w:r>
          </w:p>
        </w:tc>
        <w:tc>
          <w:tcPr>
            <w:tcW w:w="130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kern w:val="0"/>
                <w:sz w:val="20"/>
                <w:szCs w:val="20"/>
                <w:shd w:val="pct10" w:color="auto" w:fill="FFFFFF"/>
              </w:rPr>
            </w:pPr>
            <w:r>
              <w:rPr>
                <w:rFonts w:hint="default" w:ascii="Arial" w:hAnsi="Arial" w:cs="Arial"/>
                <w:kern w:val="0"/>
                <w:sz w:val="20"/>
                <w:szCs w:val="20"/>
                <w:shd w:val="pct10" w:color="auto" w:fill="FFFFFF"/>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年度总体目标</w:t>
            </w:r>
          </w:p>
        </w:tc>
        <w:tc>
          <w:tcPr>
            <w:tcW w:w="6200" w:type="dxa"/>
            <w:gridSpan w:val="5"/>
            <w:tcBorders>
              <w:top w:val="single" w:color="auto" w:sz="4" w:space="0"/>
              <w:left w:val="nil"/>
              <w:bottom w:val="single" w:color="auto" w:sz="4" w:space="0"/>
              <w:right w:val="single" w:color="000000"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预期目标</w:t>
            </w:r>
          </w:p>
        </w:tc>
        <w:tc>
          <w:tcPr>
            <w:tcW w:w="5340" w:type="dxa"/>
            <w:gridSpan w:val="5"/>
            <w:tcBorders>
              <w:top w:val="single" w:color="auto" w:sz="4" w:space="0"/>
              <w:left w:val="nil"/>
              <w:bottom w:val="single" w:color="auto" w:sz="4" w:space="0"/>
              <w:right w:val="single" w:color="000000"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2" w:hRule="atLeast"/>
        </w:trPr>
        <w:tc>
          <w:tcPr>
            <w:tcW w:w="2080" w:type="dxa"/>
            <w:gridSpan w:val="2"/>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6200" w:type="dxa"/>
            <w:gridSpan w:val="5"/>
            <w:tcBorders>
              <w:top w:val="single" w:color="auto" w:sz="4" w:space="0"/>
              <w:left w:val="nil"/>
              <w:bottom w:val="single" w:color="auto" w:sz="4" w:space="0"/>
              <w:right w:val="single" w:color="000000"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一、参加由上级部门组织的宣传推介活动，借助更大的宣传平台展现莫旗文化旅游优秀资源，进一步扩大游客市场，吸引全国游客来到莫旗，制作文化旅游宣传产品</w:t>
            </w:r>
          </w:p>
        </w:tc>
        <w:tc>
          <w:tcPr>
            <w:tcW w:w="5340" w:type="dxa"/>
            <w:gridSpan w:val="5"/>
            <w:tcBorders>
              <w:top w:val="single" w:color="auto" w:sz="4" w:space="0"/>
              <w:left w:val="nil"/>
              <w:bottom w:val="single" w:color="auto" w:sz="4" w:space="0"/>
              <w:right w:val="single" w:color="000000"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已完成当年目标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340" w:type="dxa"/>
            <w:tcBorders>
              <w:top w:val="nil"/>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绩效指标</w:t>
            </w:r>
          </w:p>
        </w:tc>
        <w:tc>
          <w:tcPr>
            <w:tcW w:w="74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一级指标</w:t>
            </w: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二级指标</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三级指标</w:t>
            </w:r>
          </w:p>
        </w:tc>
        <w:tc>
          <w:tcPr>
            <w:tcW w:w="98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指标性质</w:t>
            </w:r>
          </w:p>
        </w:tc>
        <w:tc>
          <w:tcPr>
            <w:tcW w:w="124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指标方向</w:t>
            </w:r>
          </w:p>
        </w:tc>
        <w:tc>
          <w:tcPr>
            <w:tcW w:w="11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年度指标值</w:t>
            </w:r>
          </w:p>
        </w:tc>
        <w:tc>
          <w:tcPr>
            <w:tcW w:w="98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实际完成值</w:t>
            </w:r>
          </w:p>
        </w:tc>
        <w:tc>
          <w:tcPr>
            <w:tcW w:w="88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计量单位</w:t>
            </w:r>
          </w:p>
        </w:tc>
        <w:tc>
          <w:tcPr>
            <w:tcW w:w="10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分值</w:t>
            </w:r>
          </w:p>
        </w:tc>
        <w:tc>
          <w:tcPr>
            <w:tcW w:w="112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得分</w:t>
            </w:r>
          </w:p>
        </w:tc>
        <w:tc>
          <w:tcPr>
            <w:tcW w:w="130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restart"/>
            <w:tcBorders>
              <w:top w:val="nil"/>
              <w:left w:val="single" w:color="auto" w:sz="4" w:space="0"/>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绩效指标</w:t>
            </w:r>
          </w:p>
        </w:tc>
        <w:tc>
          <w:tcPr>
            <w:tcW w:w="740" w:type="dxa"/>
            <w:vMerge w:val="restart"/>
            <w:tcBorders>
              <w:top w:val="nil"/>
              <w:left w:val="single" w:color="auto" w:sz="4" w:space="0"/>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产出指标</w:t>
            </w:r>
          </w:p>
        </w:tc>
        <w:tc>
          <w:tcPr>
            <w:tcW w:w="146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数量指标</w:t>
            </w:r>
          </w:p>
        </w:tc>
        <w:tc>
          <w:tcPr>
            <w:tcW w:w="136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对外文化宣传指标</w:t>
            </w:r>
          </w:p>
        </w:tc>
        <w:tc>
          <w:tcPr>
            <w:tcW w:w="98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正向</w:t>
            </w:r>
          </w:p>
        </w:tc>
        <w:tc>
          <w:tcPr>
            <w:tcW w:w="124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大于等于</w:t>
            </w:r>
          </w:p>
        </w:tc>
        <w:tc>
          <w:tcPr>
            <w:tcW w:w="116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99.0</w:t>
            </w:r>
          </w:p>
        </w:tc>
        <w:tc>
          <w:tcPr>
            <w:tcW w:w="98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99</w:t>
            </w:r>
          </w:p>
        </w:tc>
        <w:tc>
          <w:tcPr>
            <w:tcW w:w="88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w:t>
            </w:r>
          </w:p>
        </w:tc>
        <w:tc>
          <w:tcPr>
            <w:tcW w:w="106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15</w:t>
            </w:r>
          </w:p>
        </w:tc>
        <w:tc>
          <w:tcPr>
            <w:tcW w:w="112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15</w:t>
            </w:r>
          </w:p>
        </w:tc>
        <w:tc>
          <w:tcPr>
            <w:tcW w:w="130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7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质量指标</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宣传材料数量</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正向</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大于等于</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99.0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99</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15</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15</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7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时效指标</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及时</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正向</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大于等于</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99.0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99</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7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成本指标</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严控</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反向</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等于</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740" w:type="dxa"/>
            <w:vMerge w:val="restart"/>
            <w:tcBorders>
              <w:top w:val="single" w:color="auto" w:sz="4" w:space="0"/>
              <w:left w:val="single" w:color="auto" w:sz="4" w:space="0"/>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效益指标</w:t>
            </w: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经济效益</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发展</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正向</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大于等于</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740" w:type="dxa"/>
            <w:vMerge w:val="continue"/>
            <w:tcBorders>
              <w:top w:val="single" w:color="auto" w:sz="4" w:space="0"/>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社会效益</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参加宣传活动人数</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正向</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大于等于</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740" w:type="dxa"/>
            <w:vMerge w:val="continue"/>
            <w:tcBorders>
              <w:top w:val="single" w:color="auto" w:sz="4" w:space="0"/>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生态效益</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环保</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定性</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5</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5</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740" w:type="dxa"/>
            <w:vMerge w:val="continue"/>
            <w:tcBorders>
              <w:top w:val="single" w:color="auto" w:sz="4" w:space="0"/>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可持续影响</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长期</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定性</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5</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5</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kern w:val="0"/>
                <w:sz w:val="18"/>
                <w:szCs w:val="18"/>
                <w:shd w:val="pct10" w:color="auto" w:fill="FFFFFF"/>
              </w:rPr>
            </w:pPr>
          </w:p>
        </w:tc>
        <w:tc>
          <w:tcPr>
            <w:tcW w:w="7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满意度指标</w:t>
            </w: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服务对象满意度</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参加活动群众满意率</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定性</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0140" w:type="dxa"/>
            <w:gridSpan w:val="9"/>
            <w:tcBorders>
              <w:top w:val="single" w:color="auto" w:sz="4" w:space="0"/>
              <w:left w:val="single" w:color="auto" w:sz="4" w:space="0"/>
              <w:bottom w:val="single" w:color="auto" w:sz="4" w:space="0"/>
              <w:right w:val="single" w:color="000000"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总分</w:t>
            </w:r>
          </w:p>
        </w:tc>
        <w:tc>
          <w:tcPr>
            <w:tcW w:w="1060" w:type="dxa"/>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100</w:t>
            </w:r>
          </w:p>
        </w:tc>
        <w:tc>
          <w:tcPr>
            <w:tcW w:w="1120" w:type="dxa"/>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100</w:t>
            </w:r>
          </w:p>
        </w:tc>
        <w:tc>
          <w:tcPr>
            <w:tcW w:w="1300" w:type="dxa"/>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kern w:val="0"/>
                <w:sz w:val="18"/>
                <w:szCs w:val="18"/>
                <w:shd w:val="pct10" w:color="auto" w:fill="FFFFFF"/>
              </w:rPr>
            </w:pPr>
            <w:r>
              <w:rPr>
                <w:rFonts w:hint="eastAsia" w:ascii="宋体" w:hAnsi="宋体" w:cs="宋体"/>
                <w:kern w:val="0"/>
                <w:sz w:val="18"/>
                <w:szCs w:val="18"/>
                <w:shd w:val="pct10" w:color="auto" w:fill="FFFFFF"/>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74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4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3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24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1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88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0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12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30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74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4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3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24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1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88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0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12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30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74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4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3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24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1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88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06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12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c>
          <w:tcPr>
            <w:tcW w:w="1300" w:type="dxa"/>
            <w:tcBorders>
              <w:top w:val="nil"/>
              <w:left w:val="nil"/>
              <w:bottom w:val="nil"/>
              <w:right w:val="nil"/>
              <w:tl2br w:val="nil"/>
              <w:tr2bl w:val="nil"/>
            </w:tcBorders>
            <w:noWrap/>
            <w:vAlign w:val="center"/>
          </w:tcPr>
          <w:p>
            <w:pPr>
              <w:widowControl/>
              <w:spacing w:beforeLines="0" w:afterLines="0"/>
              <w:jc w:val="left"/>
              <w:rPr>
                <w:rFonts w:hint="default" w:ascii="宋体" w:cs="宋体"/>
                <w:kern w:val="0"/>
                <w:sz w:val="22"/>
                <w:szCs w:val="22"/>
                <w:shd w:val="pct10" w:color="auto" w:fill="FFFFFF"/>
              </w:rPr>
            </w:pPr>
          </w:p>
        </w:tc>
      </w:tr>
    </w:tbl>
    <w:p>
      <w:pPr>
        <w:autoSpaceDE w:val="0"/>
        <w:autoSpaceDN w:val="0"/>
        <w:adjustRightInd w:val="0"/>
        <w:spacing w:beforeLines="0" w:afterLines="0" w:line="580" w:lineRule="exact"/>
        <w:ind w:firstLine="600"/>
        <w:rPr>
          <w:rFonts w:hint="default" w:eastAsia="仿宋_GB2312"/>
          <w:color w:val="000000"/>
          <w:sz w:val="32"/>
          <w:szCs w:val="32"/>
        </w:rPr>
      </w:pPr>
    </w:p>
    <w:p>
      <w:pPr>
        <w:autoSpaceDE w:val="0"/>
        <w:autoSpaceDN w:val="0"/>
        <w:adjustRightInd w:val="0"/>
        <w:spacing w:beforeLines="0" w:afterLines="0" w:line="580" w:lineRule="exact"/>
        <w:ind w:firstLine="600"/>
        <w:rPr>
          <w:rFonts w:hint="default" w:eastAsia="仿宋_GB2312"/>
          <w:color w:val="000000"/>
          <w:sz w:val="32"/>
          <w:szCs w:val="32"/>
        </w:rPr>
      </w:pPr>
    </w:p>
    <w:p>
      <w:pPr>
        <w:autoSpaceDE w:val="0"/>
        <w:autoSpaceDN w:val="0"/>
        <w:adjustRightInd w:val="0"/>
        <w:spacing w:beforeLines="0" w:afterLines="0" w:line="580" w:lineRule="exact"/>
        <w:ind w:firstLine="600"/>
        <w:rPr>
          <w:rFonts w:hint="default" w:eastAsia="仿宋_GB2312"/>
          <w:sz w:val="32"/>
          <w:szCs w:val="32"/>
        </w:rPr>
      </w:pPr>
    </w:p>
    <w:p>
      <w:pPr>
        <w:autoSpaceDE w:val="0"/>
        <w:autoSpaceDN w:val="0"/>
        <w:adjustRightInd w:val="0"/>
        <w:spacing w:beforeLines="0" w:afterLines="0" w:line="580" w:lineRule="exact"/>
        <w:ind w:firstLine="600"/>
        <w:rPr>
          <w:rFonts w:hint="default" w:eastAsia="仿宋_GB2312"/>
          <w:color w:val="FF0000"/>
          <w:sz w:val="32"/>
          <w:szCs w:val="32"/>
        </w:rPr>
      </w:pPr>
    </w:p>
    <w:p>
      <w:pPr>
        <w:autoSpaceDE w:val="0"/>
        <w:autoSpaceDN w:val="0"/>
        <w:adjustRightInd w:val="0"/>
        <w:spacing w:beforeLines="0" w:afterLines="0" w:line="580" w:lineRule="exact"/>
        <w:ind w:firstLine="600"/>
        <w:rPr>
          <w:rFonts w:hint="default" w:eastAsia="仿宋_GB2312"/>
          <w:b/>
          <w:color w:val="FF0000"/>
          <w:sz w:val="32"/>
          <w:szCs w:val="32"/>
        </w:rPr>
      </w:pPr>
      <w:r>
        <w:rPr>
          <w:rFonts w:hint="eastAsia" w:ascii="仿宋_GB2312" w:eastAsia="仿宋_GB2312" w:cs="仿宋_GB2312"/>
          <w:color w:val="000000"/>
          <w:sz w:val="32"/>
          <w:szCs w:val="32"/>
        </w:rPr>
        <w:t>（三）部门评价项目绩效评价结果。</w:t>
      </w:r>
    </w:p>
    <w:p>
      <w:pPr>
        <w:autoSpaceDE w:val="0"/>
        <w:autoSpaceDN w:val="0"/>
        <w:adjustRightInd w:val="0"/>
        <w:spacing w:beforeLines="0" w:afterLines="0" w:line="580" w:lineRule="exact"/>
        <w:ind w:firstLine="600"/>
        <w:rPr>
          <w:rFonts w:hint="default" w:eastAsia="仿宋_GB2312"/>
          <w:color w:val="000000"/>
          <w:sz w:val="32"/>
          <w:szCs w:val="32"/>
        </w:rPr>
      </w:pPr>
      <w:r>
        <w:rPr>
          <w:rFonts w:hint="eastAsia" w:ascii="仿宋_GB2312" w:eastAsia="仿宋_GB2312" w:cs="仿宋_GB2312"/>
          <w:color w:val="000000"/>
          <w:sz w:val="32"/>
          <w:szCs w:val="32"/>
        </w:rPr>
        <w:t>文化推介费项目，该项目绩效评价综合得分为100分，绩效评价结果为</w:t>
      </w:r>
      <w:r>
        <w:rPr>
          <w:rFonts w:hint="default" w:eastAsia="仿宋_GB2312"/>
          <w:color w:val="000000"/>
          <w:sz w:val="32"/>
          <w:szCs w:val="32"/>
        </w:rPr>
        <w:t>“</w:t>
      </w:r>
      <w:r>
        <w:rPr>
          <w:rFonts w:hint="eastAsia" w:ascii="仿宋_GB2312" w:eastAsia="仿宋_GB2312" w:cs="仿宋_GB2312"/>
          <w:color w:val="000000"/>
          <w:sz w:val="32"/>
          <w:szCs w:val="32"/>
        </w:rPr>
        <w:t>优</w:t>
      </w:r>
      <w:r>
        <w:rPr>
          <w:rFonts w:hint="default" w:eastAsia="仿宋_GB2312"/>
          <w:color w:val="000000"/>
          <w:sz w:val="32"/>
          <w:szCs w:val="32"/>
        </w:rPr>
        <w:t>”</w:t>
      </w:r>
      <w:r>
        <w:rPr>
          <w:rFonts w:hint="eastAsia" w:ascii="仿宋_GB2312" w:eastAsia="仿宋_GB2312" w:cs="仿宋_GB2312"/>
          <w:color w:val="000000"/>
          <w:sz w:val="32"/>
          <w:szCs w:val="32"/>
        </w:rPr>
        <w:t>。重点项目绩效评价得分情况详见部门（单位）具体绩效评价结果。</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b/>
          <w:kern w:val="0"/>
          <w:sz w:val="32"/>
          <w:szCs w:val="32"/>
        </w:rPr>
        <w:t>第三部分 名词解释</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（一）财政拨款收入：指本年度从本级财政部门取得的财政拨款，包括一般公共预算财政拨款、政府性基金预算财政拨款和国有资本经营预算财政拨款。</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（二）事业收入：指事业单位开展专业业务活动及其辅助活动取得的收入；事业单位收到的财政专户实际核拨的教育收费等资金。</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（三）经营收入：指事业单位在专业业务活动及其辅助活动之外开展非独立核算经营活动取得的收入。</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（五）使用非财政拨款结余：指事业单位使用以前年度积累的非财政拨款结余弥补当年收支差额的金额。</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（六）年初结转和结余：指以前年度支出预算因客观条件变化未执行完毕、结转到本年度按有关规定继续使用的资金。</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（七）结余分配：指事业单位按照会计制度规定缴纳的所得税以及从非财政拨款结余中提取的职工福利基金、事业基金等。</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（八）年末结转和结余：指单位本年度或以前年度预算安排、因客观条件发生变化未全部执行或未执行，结转到以后年度继续使用的资金，或项目已完成等产生的结余资金。</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（九）基本支出：指为保障机构正常运转、完成日常工作任务而发生的人员经费和公用经费。其中：人员经费指政府收支分类经济科目中的</w:t>
      </w:r>
      <w:r>
        <w:rPr>
          <w:rFonts w:hint="default" w:eastAsia="仿宋_GB2312"/>
          <w:kern w:val="0"/>
          <w:sz w:val="32"/>
          <w:szCs w:val="32"/>
        </w:rPr>
        <w:t>“</w:t>
      </w:r>
      <w:r>
        <w:rPr>
          <w:rFonts w:hint="eastAsia" w:ascii="仿宋_GB2312" w:eastAsia="仿宋_GB2312" w:cs="仿宋_GB2312"/>
          <w:kern w:val="0"/>
          <w:sz w:val="32"/>
          <w:szCs w:val="32"/>
        </w:rPr>
        <w:t>工资福利支出</w:t>
      </w:r>
      <w:r>
        <w:rPr>
          <w:rFonts w:hint="default" w:eastAsia="仿宋_GB2312"/>
          <w:kern w:val="0"/>
          <w:sz w:val="32"/>
          <w:szCs w:val="32"/>
        </w:rPr>
        <w:t>”</w:t>
      </w:r>
      <w:r>
        <w:rPr>
          <w:rFonts w:hint="eastAsia" w:ascii="仿宋_GB2312" w:eastAsia="仿宋_GB2312" w:cs="仿宋_GB2312"/>
          <w:kern w:val="0"/>
          <w:sz w:val="32"/>
          <w:szCs w:val="32"/>
        </w:rPr>
        <w:t>和</w:t>
      </w:r>
      <w:r>
        <w:rPr>
          <w:rFonts w:hint="default" w:eastAsia="仿宋_GB2312"/>
          <w:kern w:val="0"/>
          <w:sz w:val="32"/>
          <w:szCs w:val="32"/>
        </w:rPr>
        <w:t>“</w:t>
      </w:r>
      <w:r>
        <w:rPr>
          <w:rFonts w:hint="eastAsia" w:ascii="仿宋_GB2312" w:eastAsia="仿宋_GB2312" w:cs="仿宋_GB2312"/>
          <w:kern w:val="0"/>
          <w:sz w:val="32"/>
          <w:szCs w:val="32"/>
        </w:rPr>
        <w:t>对个人和家庭的补助</w:t>
      </w:r>
      <w:r>
        <w:rPr>
          <w:rFonts w:hint="default" w:eastAsia="仿宋_GB2312"/>
          <w:kern w:val="0"/>
          <w:sz w:val="32"/>
          <w:szCs w:val="32"/>
        </w:rPr>
        <w:t>”</w:t>
      </w:r>
      <w:r>
        <w:rPr>
          <w:rFonts w:hint="eastAsia" w:ascii="仿宋_GB2312" w:eastAsia="仿宋_GB2312" w:cs="仿宋_GB2312"/>
          <w:kern w:val="0"/>
          <w:sz w:val="32"/>
          <w:szCs w:val="32"/>
        </w:rPr>
        <w:t>；公用经费指政府收支分类经济科目中除</w:t>
      </w:r>
      <w:r>
        <w:rPr>
          <w:rFonts w:hint="default" w:eastAsia="仿宋_GB2312"/>
          <w:kern w:val="0"/>
          <w:sz w:val="32"/>
          <w:szCs w:val="32"/>
        </w:rPr>
        <w:t>“</w:t>
      </w:r>
      <w:r>
        <w:rPr>
          <w:rFonts w:hint="eastAsia" w:ascii="仿宋_GB2312" w:eastAsia="仿宋_GB2312" w:cs="仿宋_GB2312"/>
          <w:kern w:val="0"/>
          <w:sz w:val="32"/>
          <w:szCs w:val="32"/>
        </w:rPr>
        <w:t>工资福利支出</w:t>
      </w:r>
      <w:r>
        <w:rPr>
          <w:rFonts w:hint="default" w:eastAsia="仿宋_GB2312"/>
          <w:kern w:val="0"/>
          <w:sz w:val="32"/>
          <w:szCs w:val="32"/>
        </w:rPr>
        <w:t>”</w:t>
      </w:r>
      <w:r>
        <w:rPr>
          <w:rFonts w:hint="eastAsia" w:ascii="仿宋_GB2312" w:eastAsia="仿宋_GB2312" w:cs="仿宋_GB2312"/>
          <w:kern w:val="0"/>
          <w:sz w:val="32"/>
          <w:szCs w:val="32"/>
        </w:rPr>
        <w:t>和</w:t>
      </w:r>
      <w:r>
        <w:rPr>
          <w:rFonts w:hint="default" w:eastAsia="仿宋_GB2312"/>
          <w:kern w:val="0"/>
          <w:sz w:val="32"/>
          <w:szCs w:val="32"/>
        </w:rPr>
        <w:t>“</w:t>
      </w:r>
      <w:r>
        <w:rPr>
          <w:rFonts w:hint="eastAsia" w:ascii="仿宋_GB2312" w:eastAsia="仿宋_GB2312" w:cs="仿宋_GB2312"/>
          <w:kern w:val="0"/>
          <w:sz w:val="32"/>
          <w:szCs w:val="32"/>
        </w:rPr>
        <w:t>对个人和家庭的补助</w:t>
      </w:r>
      <w:r>
        <w:rPr>
          <w:rFonts w:hint="default" w:eastAsia="仿宋_GB2312"/>
          <w:kern w:val="0"/>
          <w:sz w:val="32"/>
          <w:szCs w:val="32"/>
        </w:rPr>
        <w:t>”</w:t>
      </w:r>
      <w:r>
        <w:rPr>
          <w:rFonts w:hint="eastAsia" w:ascii="仿宋_GB2312" w:eastAsia="仿宋_GB2312" w:cs="仿宋_GB2312"/>
          <w:kern w:val="0"/>
          <w:sz w:val="32"/>
          <w:szCs w:val="32"/>
        </w:rPr>
        <w:t>外的其他支出。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（十）项目支出：指在基本支出之外为完成特定任务和事业发展目标所发生的支出。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（十一）经营支出：指事业单位在专业业务活动及其辅助活动之外开展非独立核算经营活动发生的支出。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（十二）</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三）机关运行经费：指行政单位和参照公务员法管理的事业单位使用一般公共预算财政拨款安排的基本支出中的日常公用经费支出。未包含行政单位或参照公务员法管理事业单位的部门，参照此口径公开本部门的日常公用经费，并与预算公开保持一致。</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（十四）工资福利支出（支出经济分类科目类级）：反映单位开支的在职职工和编制外长期聘用人员的各类劳动报酬，以及为上述人员缴纳的各项社会保险费等。</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（十五）商品和服务支出（支出经济分类科目类级）：反映单位购买商品和服务的支出（不包括用于购置固定资产的支出、战略性和应急储备支出）。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（十六）对个人和家庭的补助（支出经济分类科目类级）：反映用于对个人和家庭的补助支出。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default" w:eastAsia="仿宋_GB2312"/>
          <w:kern w:val="0"/>
          <w:sz w:val="32"/>
          <w:szCs w:val="32"/>
        </w:rPr>
        <w:t xml:space="preserve"> </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b/>
          <w:kern w:val="0"/>
          <w:sz w:val="32"/>
          <w:szCs w:val="32"/>
        </w:rPr>
        <w:t>第四部分 决算公开联系方式及信息反馈渠道</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kern w:val="0"/>
          <w:sz w:val="32"/>
          <w:szCs w:val="32"/>
        </w:rPr>
        <w:t>本单位决算公开信息反馈和联系方式：</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kern w:val="0"/>
          <w:sz w:val="32"/>
          <w:szCs w:val="32"/>
        </w:rPr>
        <w:t xml:space="preserve">联系人：海英 </w:t>
      </w:r>
      <w:r>
        <w:rPr>
          <w:rFonts w:hint="default" w:eastAsia="仿宋_GB2312"/>
          <w:kern w:val="0"/>
          <w:sz w:val="32"/>
          <w:szCs w:val="32"/>
        </w:rPr>
        <w:t xml:space="preserve">   </w:t>
      </w:r>
      <w:r>
        <w:rPr>
          <w:rFonts w:hint="eastAsia" w:ascii="仿宋_GB2312" w:eastAsia="仿宋_GB2312" w:cs="仿宋_GB2312"/>
          <w:kern w:val="0"/>
          <w:sz w:val="32"/>
          <w:szCs w:val="32"/>
        </w:rPr>
        <w:t>联系电话：0470</w:t>
      </w:r>
      <w:r>
        <w:rPr>
          <w:rFonts w:hint="default" w:eastAsia="仿宋_GB2312"/>
          <w:kern w:val="0"/>
          <w:sz w:val="32"/>
          <w:szCs w:val="32"/>
        </w:rPr>
        <w:t>-</w:t>
      </w:r>
      <w:r>
        <w:rPr>
          <w:rFonts w:hint="eastAsia" w:ascii="仿宋_GB2312" w:eastAsia="仿宋_GB2312" w:cs="仿宋_GB2312"/>
          <w:kern w:val="0"/>
          <w:sz w:val="32"/>
          <w:szCs w:val="32"/>
        </w:rPr>
        <w:t>4613403</w:t>
      </w:r>
    </w:p>
    <w:p>
      <w:pPr>
        <w:autoSpaceDE w:val="0"/>
        <w:autoSpaceDN w:val="0"/>
        <w:adjustRightInd w:val="0"/>
        <w:spacing w:beforeLines="0" w:afterLines="0"/>
        <w:jc w:val="left"/>
        <w:rPr>
          <w:rFonts w:hint="default" w:eastAsia="仿宋_GB2312"/>
          <w:kern w:val="0"/>
          <w:sz w:val="18"/>
          <w:szCs w:val="18"/>
          <w:lang w:val="zh-CN"/>
        </w:rPr>
      </w:pPr>
    </w:p>
    <w:p>
      <w:pPr>
        <w:autoSpaceDE w:val="0"/>
        <w:autoSpaceDN w:val="0"/>
        <w:adjustRightInd w:val="0"/>
        <w:spacing w:beforeLines="0" w:afterLines="0"/>
        <w:jc w:val="left"/>
        <w:rPr>
          <w:rFonts w:hint="default" w:ascii="仿宋_GB2312" w:eastAsia="仿宋_GB2312"/>
          <w:b/>
          <w:color w:val="FF0000"/>
          <w:kern w:val="0"/>
          <w:sz w:val="44"/>
          <w:szCs w:val="44"/>
        </w:rPr>
      </w:pPr>
    </w:p>
    <w:p>
      <w:pPr>
        <w:autoSpaceDE w:val="0"/>
        <w:autoSpaceDN w:val="0"/>
        <w:adjustRightInd w:val="0"/>
        <w:spacing w:beforeLines="0" w:afterLines="0"/>
        <w:jc w:val="left"/>
        <w:rPr>
          <w:rFonts w:hint="default" w:eastAsia="仿宋_GB2312"/>
          <w:b/>
          <w:sz w:val="36"/>
          <w:szCs w:val="36"/>
        </w:rPr>
      </w:pPr>
    </w:p>
    <w:p>
      <w:bookmarkStart w:id="0" w:name="_GoBack"/>
      <w:bookmarkEnd w:id="0"/>
    </w:p>
    <w:sectPr>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B002993"/>
    <w:multiLevelType w:val="multilevel"/>
    <w:tmpl w:val="6B002993"/>
    <w:lvl w:ilvl="0" w:tentative="0">
      <w:start w:val="1"/>
      <w:numFmt w:val="japaneseCounting"/>
      <w:lvlText w:val="%1、"/>
      <w:lvlJc w:val="left"/>
      <w:pPr>
        <w:tabs>
          <w:tab w:val="left" w:pos="1245"/>
        </w:tabs>
        <w:ind w:left="1245" w:hanging="645"/>
      </w:pPr>
      <w:rPr>
        <w:rFonts w:hint="default" w:cs="Times New Roman"/>
        <w:u w:val="none" w:color="auto"/>
      </w:rPr>
    </w:lvl>
    <w:lvl w:ilvl="1" w:tentative="0">
      <w:start w:val="1"/>
      <w:numFmt w:val="lowerLetter"/>
      <w:lvlText w:val="%2)"/>
      <w:lvlJc w:val="left"/>
      <w:pPr>
        <w:tabs>
          <w:tab w:val="left" w:pos="1440"/>
        </w:tabs>
        <w:ind w:left="1440" w:hanging="420"/>
      </w:pPr>
      <w:rPr>
        <w:rFonts w:hint="default" w:cs="Times New Roman"/>
        <w:u w:val="none" w:color="auto"/>
      </w:rPr>
    </w:lvl>
    <w:lvl w:ilvl="2" w:tentative="0">
      <w:start w:val="1"/>
      <w:numFmt w:val="lowerRoman"/>
      <w:lvlText w:val="%3."/>
      <w:lvlJc w:val="right"/>
      <w:pPr>
        <w:tabs>
          <w:tab w:val="left" w:pos="1860"/>
        </w:tabs>
        <w:ind w:left="1860" w:hanging="420"/>
      </w:pPr>
      <w:rPr>
        <w:rFonts w:hint="default" w:cs="Times New Roman"/>
        <w:u w:val="none" w:color="auto"/>
      </w:rPr>
    </w:lvl>
    <w:lvl w:ilvl="3" w:tentative="0">
      <w:start w:val="1"/>
      <w:numFmt w:val="decimal"/>
      <w:lvlText w:val="%4."/>
      <w:lvlJc w:val="left"/>
      <w:pPr>
        <w:tabs>
          <w:tab w:val="left" w:pos="2280"/>
        </w:tabs>
        <w:ind w:left="2280" w:hanging="420"/>
      </w:pPr>
      <w:rPr>
        <w:rFonts w:hint="default" w:cs="Times New Roman"/>
        <w:u w:val="none" w:color="auto"/>
      </w:rPr>
    </w:lvl>
    <w:lvl w:ilvl="4" w:tentative="0">
      <w:start w:val="1"/>
      <w:numFmt w:val="lowerLetter"/>
      <w:lvlText w:val="%5)"/>
      <w:lvlJc w:val="left"/>
      <w:pPr>
        <w:tabs>
          <w:tab w:val="left" w:pos="2700"/>
        </w:tabs>
        <w:ind w:left="2700" w:hanging="420"/>
      </w:pPr>
      <w:rPr>
        <w:rFonts w:hint="default" w:cs="Times New Roman"/>
        <w:u w:val="none" w:color="auto"/>
      </w:rPr>
    </w:lvl>
    <w:lvl w:ilvl="5" w:tentative="0">
      <w:start w:val="1"/>
      <w:numFmt w:val="lowerRoman"/>
      <w:lvlText w:val="%6."/>
      <w:lvlJc w:val="right"/>
      <w:pPr>
        <w:tabs>
          <w:tab w:val="left" w:pos="3120"/>
        </w:tabs>
        <w:ind w:left="3120" w:hanging="420"/>
      </w:pPr>
      <w:rPr>
        <w:rFonts w:hint="default" w:cs="Times New Roman"/>
        <w:u w:val="none" w:color="auto"/>
      </w:rPr>
    </w:lvl>
    <w:lvl w:ilvl="6" w:tentative="0">
      <w:start w:val="1"/>
      <w:numFmt w:val="decimal"/>
      <w:lvlText w:val="%7."/>
      <w:lvlJc w:val="left"/>
      <w:pPr>
        <w:tabs>
          <w:tab w:val="left" w:pos="3540"/>
        </w:tabs>
        <w:ind w:left="3540" w:hanging="420"/>
      </w:pPr>
      <w:rPr>
        <w:rFonts w:hint="default" w:cs="Times New Roman"/>
        <w:u w:val="none" w:color="auto"/>
      </w:rPr>
    </w:lvl>
    <w:lvl w:ilvl="7" w:tentative="0">
      <w:start w:val="1"/>
      <w:numFmt w:val="lowerLetter"/>
      <w:lvlText w:val="%8)"/>
      <w:lvlJc w:val="left"/>
      <w:pPr>
        <w:tabs>
          <w:tab w:val="left" w:pos="3960"/>
        </w:tabs>
        <w:ind w:left="3960" w:hanging="420"/>
      </w:pPr>
      <w:rPr>
        <w:rFonts w:hint="default" w:cs="Times New Roman"/>
        <w:u w:val="none" w:color="auto"/>
      </w:rPr>
    </w:lvl>
    <w:lvl w:ilvl="8" w:tentative="0">
      <w:start w:val="1"/>
      <w:numFmt w:val="lowerRoman"/>
      <w:lvlText w:val="%9."/>
      <w:lvlJc w:val="right"/>
      <w:pPr>
        <w:tabs>
          <w:tab w:val="left" w:pos="4380"/>
        </w:tabs>
        <w:ind w:left="4380" w:hanging="420"/>
      </w:pPr>
      <w:rPr>
        <w:rFonts w:hint="default" w:cs="Times New Roman"/>
        <w:u w:val="none" w:color="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0ZGZhNTNiZjBmNjVlNWZmMjZjOGZkNWU3YjkzOTkifQ=="/>
  </w:docVars>
  <w:rsids>
    <w:rsidRoot w:val="321F4052"/>
    <w:rsid w:val="321F40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spacing w:beforeLines="0" w:afterLines="0"/>
      <w:jc w:val="both"/>
    </w:pPr>
    <w:rPr>
      <w:rFonts w:hint="eastAsia" w:ascii="Times New Roman" w:hAnsi="Times New Roman" w:eastAsia="宋体" w:cs="Times New Roman"/>
      <w:kern w:val="2"/>
      <w:sz w:val="21"/>
      <w:szCs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emf"/><Relationship Id="rId7" Type="http://schemas.openxmlformats.org/officeDocument/2006/relationships/oleObject" Target="embeddings/oleObject2.bin"/><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2022-10-31T03:38:00Z</dcterms:created>
  <dc:creator>Administrator</dc:creator>
  <cp:lastModifiedBy>Administrator</cp:lastModifiedBy>
  <dcterms:modified xsi:type="dcterms:W3CDTF">2022-10-31T03:39:16Z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18E050D9811C49FBA01E6F4786B690C3</vt:lpwstr>
  </property>
</Properties>
</file>