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22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年莫旗地方财政预算公开说明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按照《中华人民共和国预算法》及地方政府预算公开相关要求，现就20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年莫旗地方政府预算公开相关内容说明如下：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22</w:t>
      </w:r>
      <w:r>
        <w:rPr>
          <w:rFonts w:hint="eastAsia" w:ascii="黑体" w:hAnsi="黑体" w:eastAsia="黑体" w:cs="黑体"/>
          <w:sz w:val="32"/>
          <w:szCs w:val="32"/>
        </w:rPr>
        <w:t>年本级一般公共预算收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支</w:t>
      </w:r>
      <w:r>
        <w:rPr>
          <w:rFonts w:hint="eastAsia" w:ascii="黑体" w:hAnsi="黑体" w:eastAsia="黑体" w:cs="黑体"/>
          <w:sz w:val="32"/>
          <w:szCs w:val="32"/>
        </w:rPr>
        <w:t>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根据</w:t>
      </w:r>
      <w:r>
        <w:rPr>
          <w:rFonts w:hint="eastAsia" w:ascii="仿宋" w:hAnsi="仿宋" w:eastAsia="仿宋" w:cs="仿宋"/>
          <w:sz w:val="32"/>
          <w:szCs w:val="32"/>
        </w:rPr>
        <w:t>莫旗实际，综合分析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收支增减因素</w:t>
      </w:r>
      <w:r>
        <w:rPr>
          <w:rFonts w:hint="eastAsia" w:ascii="仿宋" w:hAnsi="仿宋" w:eastAsia="仿宋" w:cs="仿宋"/>
          <w:sz w:val="32"/>
          <w:szCs w:val="32"/>
        </w:rPr>
        <w:t>，经测算，20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年旗本级一般公共预算收入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  <w:t>27,520</w:t>
      </w:r>
      <w:r>
        <w:rPr>
          <w:rFonts w:hint="eastAsia" w:ascii="仿宋" w:hAnsi="仿宋" w:eastAsia="仿宋" w:cs="仿宋"/>
          <w:sz w:val="32"/>
          <w:szCs w:val="32"/>
        </w:rPr>
        <w:t>万元，较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  <w:t>,232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增长42.68%，</w:t>
      </w:r>
      <w:r>
        <w:rPr>
          <w:rFonts w:hint="eastAsia" w:ascii="仿宋" w:hAnsi="仿宋" w:eastAsia="仿宋" w:cs="仿宋"/>
          <w:sz w:val="32"/>
          <w:szCs w:val="32"/>
        </w:rPr>
        <w:t>其中：税收收入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10,068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246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增长2.5%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非税收入1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452</w:t>
      </w:r>
      <w:r>
        <w:rPr>
          <w:rFonts w:hint="eastAsia" w:ascii="仿宋" w:hAnsi="仿宋" w:eastAsia="仿宋" w:cs="仿宋"/>
          <w:sz w:val="32"/>
          <w:szCs w:val="32"/>
        </w:rPr>
        <w:t>万元，较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986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增长84.37%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年旗本级一般公共预算支出安排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203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109</w:t>
      </w:r>
      <w:r>
        <w:rPr>
          <w:rFonts w:hint="eastAsia" w:ascii="仿宋" w:hAnsi="仿宋" w:eastAsia="仿宋" w:cs="仿宋"/>
          <w:sz w:val="32"/>
          <w:szCs w:val="32"/>
        </w:rPr>
        <w:t>万元，包括：基本支出预算安排1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33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32</w:t>
      </w:r>
      <w:r>
        <w:rPr>
          <w:rFonts w:hint="eastAsia" w:ascii="仿宋" w:hAnsi="仿宋" w:eastAsia="仿宋" w:cs="仿宋"/>
          <w:sz w:val="32"/>
          <w:szCs w:val="32"/>
        </w:rPr>
        <w:t>0万元，较上年增加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870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10.68</w:t>
      </w:r>
      <w:r>
        <w:rPr>
          <w:rFonts w:hint="eastAsia" w:ascii="仿宋" w:hAnsi="仿宋" w:eastAsia="仿宋" w:cs="仿宋"/>
          <w:sz w:val="32"/>
          <w:szCs w:val="32"/>
        </w:rPr>
        <w:t>%，占总财力的5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47</w:t>
      </w:r>
      <w:r>
        <w:rPr>
          <w:rFonts w:hint="eastAsia" w:ascii="仿宋" w:hAnsi="仿宋" w:eastAsia="仿宋" w:cs="仿宋"/>
          <w:sz w:val="32"/>
          <w:szCs w:val="32"/>
        </w:rPr>
        <w:t>%；项目支出安排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789</w:t>
      </w:r>
      <w:r>
        <w:rPr>
          <w:rFonts w:hint="eastAsia" w:ascii="仿宋" w:hAnsi="仿宋" w:eastAsia="仿宋" w:cs="仿宋"/>
          <w:sz w:val="32"/>
          <w:szCs w:val="32"/>
        </w:rPr>
        <w:t>万元，较上年增加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735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30.02</w:t>
      </w:r>
      <w:r>
        <w:rPr>
          <w:rFonts w:hint="eastAsia" w:ascii="仿宋" w:hAnsi="仿宋" w:eastAsia="仿宋" w:cs="仿宋"/>
          <w:sz w:val="32"/>
          <w:szCs w:val="32"/>
        </w:rPr>
        <w:t>%，占总财力的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43.53</w:t>
      </w:r>
      <w:r>
        <w:rPr>
          <w:rFonts w:hint="eastAsia" w:ascii="仿宋" w:hAnsi="仿宋" w:eastAsia="仿宋" w:cs="仿宋"/>
          <w:sz w:val="32"/>
          <w:szCs w:val="32"/>
        </w:rPr>
        <w:t>%，主要为提前下达市专项及民生性、政策性和考核性支出。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二、转移性支付情况</w:t>
      </w:r>
    </w:p>
    <w:p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（一）转移支付情况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年，年初预算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转移支付</w:t>
      </w:r>
      <w:r>
        <w:rPr>
          <w:rFonts w:hint="eastAsia" w:ascii="仿宋" w:hAnsi="仿宋" w:eastAsia="仿宋" w:cs="仿宋"/>
          <w:sz w:val="32"/>
          <w:szCs w:val="32"/>
        </w:rPr>
        <w:t>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375</w:t>
      </w:r>
      <w:r>
        <w:rPr>
          <w:rFonts w:hint="eastAsia" w:ascii="仿宋" w:hAnsi="仿宋" w:eastAsia="仿宋" w:cs="仿宋"/>
          <w:sz w:val="32"/>
          <w:szCs w:val="32"/>
        </w:rPr>
        <w:t>万元，其中：一般性转移支付收入1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77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130</w:t>
      </w:r>
      <w:r>
        <w:rPr>
          <w:rFonts w:hint="eastAsia" w:ascii="仿宋" w:hAnsi="仿宋" w:eastAsia="仿宋" w:cs="仿宋"/>
          <w:sz w:val="32"/>
          <w:szCs w:val="32"/>
        </w:rPr>
        <w:t>万元，专项转移支付收入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1,547</w:t>
      </w:r>
      <w:r>
        <w:rPr>
          <w:rFonts w:hint="eastAsia" w:ascii="仿宋" w:hAnsi="仿宋" w:eastAsia="仿宋" w:cs="仿宋"/>
          <w:sz w:val="32"/>
          <w:szCs w:val="32"/>
        </w:rPr>
        <w:t>万元，结转上年专项转移支付收入2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991</w:t>
      </w:r>
      <w:r>
        <w:rPr>
          <w:rFonts w:hint="eastAsia" w:ascii="仿宋" w:hAnsi="仿宋" w:eastAsia="仿宋" w:cs="仿宋"/>
          <w:sz w:val="32"/>
          <w:szCs w:val="32"/>
        </w:rPr>
        <w:t>万元，税收返还性收入4,707万元。</w:t>
      </w:r>
    </w:p>
    <w:p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（二）转移支付安排情况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一般公共预算支出按资金来源划分，年初预算财力安排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538</w:t>
      </w:r>
      <w:r>
        <w:rPr>
          <w:rFonts w:hint="eastAsia" w:ascii="仿宋" w:hAnsi="仿宋" w:eastAsia="仿宋" w:cs="仿宋"/>
          <w:sz w:val="32"/>
          <w:szCs w:val="32"/>
        </w:rPr>
        <w:t>万元，专项转移支付收入安排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1,547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，动用上年结转安排</w:t>
      </w:r>
      <w:r>
        <w:rPr>
          <w:rFonts w:hint="eastAsia" w:ascii="仿宋" w:hAnsi="仿宋" w:eastAsia="仿宋" w:cs="仿宋"/>
          <w:sz w:val="32"/>
          <w:szCs w:val="32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991万元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专项转移支付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1,547万元，按照指标下达要求，分配用于教育附加支出523万元，推动红色村组织500万元，公路养护288万元，纪检监察、法律援助类等支出68万元，高龄津补贴及殡葬服务等168万元。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上年结转资金</w:t>
      </w:r>
      <w:r>
        <w:rPr>
          <w:rFonts w:hint="eastAsia" w:ascii="仿宋" w:hAnsi="仿宋" w:eastAsia="仿宋" w:cs="仿宋"/>
          <w:sz w:val="32"/>
          <w:szCs w:val="32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991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万元，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按照指标下达要求，分配用于社会保障等方面支出2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304万元、农林水利支出7,789万元，教育支出5,933万元，中央基建支出4,102万元，政法转移支付及基层组织建设支出609万元，林业草原及自然灾害等方面支出3,534万元，其他支出720万元。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三、政府性基金预算收支情况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年，旗本级政府性基金收入预算安排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618</w:t>
      </w:r>
      <w:r>
        <w:rPr>
          <w:rFonts w:hint="eastAsia" w:ascii="仿宋" w:hAnsi="仿宋" w:eastAsia="仿宋" w:cs="仿宋"/>
          <w:sz w:val="32"/>
          <w:szCs w:val="32"/>
        </w:rPr>
        <w:t>万元，加上上级提前下达基金转移支付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万元，结转上年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846</w:t>
      </w:r>
      <w:r>
        <w:rPr>
          <w:rFonts w:hint="eastAsia" w:ascii="仿宋" w:hAnsi="仿宋" w:eastAsia="仿宋" w:cs="仿宋"/>
          <w:sz w:val="32"/>
          <w:szCs w:val="32"/>
        </w:rPr>
        <w:t>万元，旗本级政府性基金预算财力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466</w:t>
      </w:r>
      <w:r>
        <w:rPr>
          <w:rFonts w:hint="eastAsia" w:ascii="仿宋" w:hAnsi="仿宋" w:eastAsia="仿宋" w:cs="仿宋"/>
          <w:sz w:val="32"/>
          <w:szCs w:val="32"/>
        </w:rPr>
        <w:t>万元，同比增加1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142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99.06</w:t>
      </w:r>
      <w:r>
        <w:rPr>
          <w:rFonts w:hint="eastAsia" w:ascii="仿宋" w:hAnsi="仿宋" w:eastAsia="仿宋" w:cs="仿宋"/>
          <w:sz w:val="32"/>
          <w:szCs w:val="32"/>
        </w:rPr>
        <w:t>%。与收入相对应，按照基金支出项目需求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以及指标下达要求</w:t>
      </w:r>
      <w:r>
        <w:rPr>
          <w:rFonts w:hint="eastAsia" w:ascii="仿宋" w:hAnsi="仿宋" w:eastAsia="仿宋" w:cs="仿宋"/>
          <w:sz w:val="32"/>
          <w:szCs w:val="32"/>
        </w:rPr>
        <w:t>安排相关支出，主要用于债务化解、基础设施配套费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污水处理费安排的支出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以及农林水及交通运输方面支出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四、社保基金预算收入情况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按照统筹级次，202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年社会保险基金预算收入安排5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555</w:t>
      </w:r>
      <w:r>
        <w:rPr>
          <w:rFonts w:hint="eastAsia" w:ascii="仿宋" w:hAnsi="仿宋" w:eastAsia="仿宋" w:cs="仿宋"/>
          <w:sz w:val="32"/>
          <w:szCs w:val="32"/>
        </w:rPr>
        <w:t>万元，主要包括社会保险费收入、财政补贴收入、利息收入等。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全年社会保险基金支出预算安排5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555</w:t>
      </w:r>
      <w:r>
        <w:rPr>
          <w:rFonts w:hint="eastAsia" w:ascii="仿宋" w:hAnsi="仿宋" w:eastAsia="仿宋" w:cs="仿宋"/>
          <w:sz w:val="32"/>
          <w:szCs w:val="32"/>
        </w:rPr>
        <w:t>万元，主要用于各项保险待遇支出和按照《社会保障法》及相关规定安排的其他社会保险基金支出。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五、国有资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本</w:t>
      </w:r>
      <w:r>
        <w:rPr>
          <w:rFonts w:hint="eastAsia" w:ascii="黑体" w:hAnsi="黑体" w:eastAsia="黑体" w:cs="黑体"/>
          <w:sz w:val="32"/>
          <w:szCs w:val="32"/>
        </w:rPr>
        <w:t>经营收支预算情况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年，旗本级国有资本经营收入预算安排1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万元,收入来源是国有企业利润收入。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按照“以收定支、统筹兼顾、突出重点”的原则，202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年国有资本经营支出安排1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万元，用于补充国有企业注册资本金。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六、地方政府举借债务情况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截至20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，上级下达莫旗政府性债务限额191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000万元，其中一般债务限额150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000万元，专项债务限额41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截至20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莫旗地方政府性债务余额1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596</w:t>
      </w:r>
      <w:r>
        <w:rPr>
          <w:rFonts w:hint="eastAsia" w:ascii="仿宋" w:hAnsi="仿宋" w:eastAsia="仿宋" w:cs="仿宋"/>
          <w:sz w:val="32"/>
          <w:szCs w:val="32"/>
        </w:rPr>
        <w:t>万元，其中一般债务1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47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825</w:t>
      </w:r>
      <w:r>
        <w:rPr>
          <w:rFonts w:hint="eastAsia" w:ascii="仿宋" w:hAnsi="仿宋" w:eastAsia="仿宋" w:cs="仿宋"/>
          <w:sz w:val="32"/>
          <w:szCs w:val="32"/>
        </w:rPr>
        <w:t>万元；专项债务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0,771万元。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2021年度，自治区发行地方政府债券下达莫旗39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566万元（新增24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000万元、再融资15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566万元），其中：一般债券29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566万元（新增14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000万元、再融资15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566万元），专项债券10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000万元（新增10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000万元，再融资0万元）。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2021年度，莫旗偿还到期政府性债务本金17,305万元，使用再融资债券还本15,566万元，使用地方预算资金还本1,739万元；到期利息5,658万元。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2022年度，莫旗到期政府性债务本息 18,942万元，其中本金 12,524万元，利息 6,418 万元，年初预算安排偿还本金1,253万元、拟申请再融资债券偿还到期债券本金 11,271万元，年初预算安排资金偿还到期债券利息6,418 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2022年度，莫旗拟申请发行地方政府债券119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434万元，包括：一般债券10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410万元、专项债券109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024万元，已逐级上报自治区，截止报告日，上级未下达2022年度限额，待上级下达限额后，再进行预算调整。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七、莫旗本级一般公共预算“三公”经费预算安排情况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年，莫旗本级一般公共预算“三公”经费预算安排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996</w:t>
      </w:r>
      <w:r>
        <w:rPr>
          <w:rFonts w:hint="eastAsia" w:ascii="仿宋" w:hAnsi="仿宋" w:eastAsia="仿宋" w:cs="仿宋"/>
          <w:sz w:val="32"/>
          <w:szCs w:val="32"/>
        </w:rPr>
        <w:t>万元，较20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年预算减少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39</w:t>
      </w:r>
      <w:r>
        <w:rPr>
          <w:rFonts w:hint="eastAsia" w:ascii="仿宋" w:hAnsi="仿宋" w:eastAsia="仿宋" w:cs="仿宋"/>
          <w:sz w:val="32"/>
          <w:szCs w:val="32"/>
        </w:rPr>
        <w:t>万元，下降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3.77%，2022年仅保留最低运转“三公”经费，“三公”经费形成“可压尽压”情况</w:t>
      </w:r>
      <w:r>
        <w:rPr>
          <w:rFonts w:hint="eastAsia" w:ascii="仿宋" w:hAnsi="仿宋" w:eastAsia="仿宋" w:cs="仿宋"/>
          <w:sz w:val="32"/>
          <w:szCs w:val="32"/>
        </w:rPr>
        <w:t>。其中：1、因公出国（境）费用0万元；2、公务接待费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213</w:t>
      </w:r>
      <w:r>
        <w:rPr>
          <w:rFonts w:hint="eastAsia" w:ascii="仿宋" w:hAnsi="仿宋" w:eastAsia="仿宋" w:cs="仿宋"/>
          <w:sz w:val="32"/>
          <w:szCs w:val="32"/>
        </w:rPr>
        <w:t>万元；3、公务用车购置及运行费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860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八、政府采购预算情况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年，政府采购预算安排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1143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主要</w:t>
      </w:r>
      <w:r>
        <w:rPr>
          <w:rFonts w:hint="eastAsia" w:ascii="仿宋" w:hAnsi="仿宋" w:eastAsia="仿宋" w:cs="仿宋"/>
          <w:sz w:val="32"/>
          <w:szCs w:val="32"/>
        </w:rPr>
        <w:t>用于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办公物品采购、营养餐改善计划、建筑物修缮、软件运维及技术服务等方面支出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九、财政衔接资金安排及分配情况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年初预算共计安排衔接推进乡村振兴资金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9,747万元，已分配到项目主管部门乡村振兴局，按级次划分：中央财政衔接推进乡村振兴补助资金7,647万元，旗本级安排2,100万元。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十、重点项目绩效目标说明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因财力有限，年初预算未安排重点项目，所以无重点项目绩效目标。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《莫旗财政专项扶贫资金管理办法》（莫财字[2017]264号）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此说明。</w:t>
      </w:r>
    </w:p>
    <w:p>
      <w:pPr>
        <w:ind w:firstLine="4480" w:firstLineChars="14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 w:cs="仿宋"/>
          <w:sz w:val="32"/>
          <w:szCs w:val="32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A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22A50"/>
    <w:rsid w:val="010C7813"/>
    <w:rsid w:val="01120F21"/>
    <w:rsid w:val="049B4957"/>
    <w:rsid w:val="05513CC8"/>
    <w:rsid w:val="06357D08"/>
    <w:rsid w:val="0A565FA5"/>
    <w:rsid w:val="0B771433"/>
    <w:rsid w:val="114C32A2"/>
    <w:rsid w:val="139624C9"/>
    <w:rsid w:val="174526BB"/>
    <w:rsid w:val="17DE3E7E"/>
    <w:rsid w:val="1D1A4543"/>
    <w:rsid w:val="205E7064"/>
    <w:rsid w:val="24072B09"/>
    <w:rsid w:val="2470169E"/>
    <w:rsid w:val="276C0662"/>
    <w:rsid w:val="298E115C"/>
    <w:rsid w:val="2E1C33BF"/>
    <w:rsid w:val="309E2100"/>
    <w:rsid w:val="30A11864"/>
    <w:rsid w:val="31054E69"/>
    <w:rsid w:val="32FB642F"/>
    <w:rsid w:val="34F32FC7"/>
    <w:rsid w:val="35115042"/>
    <w:rsid w:val="369633A8"/>
    <w:rsid w:val="37F0513D"/>
    <w:rsid w:val="39F7724D"/>
    <w:rsid w:val="3A2D7007"/>
    <w:rsid w:val="3A3F5E92"/>
    <w:rsid w:val="3AAC3FE7"/>
    <w:rsid w:val="3B052520"/>
    <w:rsid w:val="3C083199"/>
    <w:rsid w:val="3D121943"/>
    <w:rsid w:val="3D955849"/>
    <w:rsid w:val="3F943FF8"/>
    <w:rsid w:val="4342383B"/>
    <w:rsid w:val="43622A50"/>
    <w:rsid w:val="43F20E54"/>
    <w:rsid w:val="45D41FEB"/>
    <w:rsid w:val="48DA130D"/>
    <w:rsid w:val="4AEF389D"/>
    <w:rsid w:val="4B8B6E19"/>
    <w:rsid w:val="4C890B8C"/>
    <w:rsid w:val="4D732165"/>
    <w:rsid w:val="4FE82013"/>
    <w:rsid w:val="51B52654"/>
    <w:rsid w:val="51CE1511"/>
    <w:rsid w:val="57935ACA"/>
    <w:rsid w:val="57A71FE7"/>
    <w:rsid w:val="58935443"/>
    <w:rsid w:val="5F370C97"/>
    <w:rsid w:val="614771E3"/>
    <w:rsid w:val="63082656"/>
    <w:rsid w:val="64FD20DE"/>
    <w:rsid w:val="6BF26527"/>
    <w:rsid w:val="6CC3173F"/>
    <w:rsid w:val="7129729C"/>
    <w:rsid w:val="71754506"/>
    <w:rsid w:val="72695B25"/>
    <w:rsid w:val="74C94560"/>
    <w:rsid w:val="754B799E"/>
    <w:rsid w:val="7B010CBA"/>
    <w:rsid w:val="7B5C4051"/>
    <w:rsid w:val="7CD467C6"/>
    <w:rsid w:val="7CDB08D6"/>
    <w:rsid w:val="7D52219D"/>
    <w:rsid w:val="7F64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205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2020-04-15T01:26:00Z</dcterms:created>
  <dc:creator>李晶岩</dc:creator>
  <cp:lastModifiedBy>何辉</cp:lastModifiedBy>
  <dcterms:modified xsi:type="dcterms:W3CDTF">2022-02-28T07:05:24Z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