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华文中宋" w:hAnsi="华文中宋" w:eastAsia="华文中宋" w:cs="华文中宋"/>
          <w:sz w:val="52"/>
          <w:szCs w:val="52"/>
        </w:rPr>
      </w:pPr>
      <w:r>
        <w:rPr>
          <w:rFonts w:hint="eastAsia" w:ascii="华文中宋" w:hAnsi="华文中宋" w:eastAsia="华文中宋" w:cs="华文中宋"/>
          <w:sz w:val="52"/>
          <w:szCs w:val="52"/>
        </w:rPr>
        <w:t>2020年度内蒙古自治区呼伦贝尔市莫力达瓦达斡尔族自治旗腾克镇人民政府部门财务报告</w:t>
      </w:r>
    </w:p>
    <w:p>
      <w:pPr>
        <w:jc w:val="center"/>
        <w:rPr>
          <w:rFonts w:ascii="Times New Roman" w:hAnsi="Times New Roman" w:eastAsia="微软雅黑" w:cs="Times New Roman"/>
          <w:b/>
          <w:bCs/>
          <w:sz w:val="52"/>
          <w:szCs w:val="52"/>
        </w:rPr>
      </w:pPr>
    </w:p>
    <w:p>
      <w:pPr>
        <w:jc w:val="center"/>
        <w:rPr>
          <w:rFonts w:ascii="Times New Roman" w:hAnsi="Times New Roman" w:eastAsia="微软雅黑"/>
          <w:b/>
          <w:bCs/>
          <w:sz w:val="52"/>
          <w:szCs w:val="52"/>
        </w:rPr>
      </w:pPr>
    </w:p>
    <w:p>
      <w:pPr>
        <w:jc w:val="center"/>
        <w:rPr>
          <w:rFonts w:ascii="Times New Roman" w:hAnsi="Times New Roman"/>
          <w:b/>
          <w:bCs/>
          <w:sz w:val="36"/>
          <w:szCs w:val="36"/>
        </w:rPr>
      </w:pPr>
    </w:p>
    <w:p>
      <w:pPr>
        <w:jc w:val="center"/>
        <w:rPr>
          <w:rFonts w:ascii="Times New Roman" w:hAnsi="Times New Roman"/>
          <w:b/>
          <w:bCs/>
          <w:sz w:val="36"/>
          <w:szCs w:val="36"/>
        </w:rPr>
      </w:pPr>
    </w:p>
    <w:p>
      <w:pPr>
        <w:jc w:val="center"/>
        <w:rPr>
          <w:rFonts w:ascii="Times New Roman" w:hAnsi="Times New Roman"/>
          <w:b/>
          <w:bCs/>
          <w:sz w:val="36"/>
          <w:szCs w:val="36"/>
        </w:rPr>
      </w:pPr>
    </w:p>
    <w:p>
      <w:pPr>
        <w:jc w:val="center"/>
        <w:rPr>
          <w:rFonts w:ascii="Times New Roman" w:hAnsi="Times New Roman"/>
          <w:b/>
          <w:bCs/>
          <w:sz w:val="36"/>
          <w:szCs w:val="36"/>
        </w:rPr>
      </w:pPr>
    </w:p>
    <w:p>
      <w:pPr>
        <w:widowControl w:val="0"/>
        <w:ind w:firstLine="1120" w:firstLineChars="350"/>
        <w:jc w:val="both"/>
        <w:rPr>
          <w:rFonts w:hint="eastAsia" w:cs="仿宋_GB2312" w:asciiTheme="minorEastAsia" w:hAnsiTheme="minorEastAsia" w:eastAsiaTheme="minorEastAsia"/>
          <w:bCs/>
          <w:kern w:val="16"/>
          <w:sz w:val="32"/>
          <w:szCs w:val="32"/>
          <w:lang w:eastAsia="zh-CN"/>
        </w:rPr>
      </w:pPr>
      <w:r>
        <w:rPr>
          <w:rFonts w:hint="eastAsia" w:cs="微软雅黑" w:asciiTheme="minorEastAsia" w:hAnsiTheme="minorEastAsia" w:eastAsiaTheme="minorEastAsia"/>
          <w:bCs/>
          <w:sz w:val="32"/>
          <w:szCs w:val="52"/>
        </w:rPr>
        <w:t>部门</w:t>
      </w:r>
      <w:r>
        <w:rPr>
          <w:rFonts w:hint="eastAsia" w:cs="仿宋_GB2312" w:asciiTheme="minorEastAsia" w:hAnsiTheme="minorEastAsia" w:eastAsiaTheme="minorEastAsia"/>
          <w:bCs/>
          <w:kern w:val="16"/>
          <w:sz w:val="32"/>
          <w:szCs w:val="32"/>
        </w:rPr>
        <w:t>名称：</w:t>
      </w:r>
      <w:r>
        <w:rPr>
          <w:rFonts w:hint="eastAsia" w:cs="仿宋_GB2312" w:asciiTheme="minorEastAsia" w:hAnsiTheme="minorEastAsia" w:eastAsiaTheme="minorEastAsia"/>
          <w:bCs/>
          <w:kern w:val="16"/>
          <w:sz w:val="32"/>
          <w:szCs w:val="32"/>
          <w:lang w:val="en-US" w:eastAsia="zh-CN"/>
        </w:rPr>
        <w:t>莫力达瓦达斡尔族自治旗腾克镇人民政府</w:t>
      </w:r>
      <w:r>
        <w:rPr>
          <w:rFonts w:hint="eastAsia" w:cs="仿宋_GB2312" w:asciiTheme="minorEastAsia" w:hAnsiTheme="minorEastAsia" w:eastAsiaTheme="minorEastAsia"/>
          <w:bCs/>
          <w:kern w:val="16"/>
          <w:sz w:val="32"/>
          <w:szCs w:val="32"/>
        </w:rPr>
        <w:t>（公章</w:t>
      </w:r>
      <w:r>
        <w:rPr>
          <w:rFonts w:hint="eastAsia" w:cs="仿宋_GB2312" w:asciiTheme="minorEastAsia" w:hAnsiTheme="minorEastAsia" w:eastAsiaTheme="minorEastAsia"/>
          <w:bCs/>
          <w:kern w:val="16"/>
          <w:sz w:val="32"/>
          <w:szCs w:val="32"/>
          <w:lang w:eastAsia="zh-CN"/>
        </w:rPr>
        <w:t>）</w:t>
      </w:r>
    </w:p>
    <w:p>
      <w:pPr>
        <w:widowControl w:val="0"/>
        <w:ind w:firstLine="1120" w:firstLineChars="350"/>
        <w:jc w:val="both"/>
        <w:rPr>
          <w:rFonts w:cs="仿宋_GB2312" w:asciiTheme="minorEastAsia" w:hAnsiTheme="minorEastAsia" w:eastAsiaTheme="minorEastAsia"/>
          <w:bCs/>
          <w:kern w:val="16"/>
          <w:sz w:val="32"/>
          <w:szCs w:val="32"/>
        </w:rPr>
      </w:pP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单位负责人：</w:t>
      </w:r>
      <w:r>
        <w:rPr>
          <w:rFonts w:hint="eastAsia" w:cs="仿宋_GB2312" w:asciiTheme="minorEastAsia" w:hAnsiTheme="minorEastAsia" w:eastAsiaTheme="minorEastAsia"/>
          <w:bCs/>
          <w:kern w:val="16"/>
          <w:sz w:val="32"/>
          <w:szCs w:val="32"/>
          <w:lang w:val="en-US" w:eastAsia="zh-CN"/>
        </w:rPr>
        <w:t>吴成胜</w:t>
      </w:r>
      <w:r>
        <w:rPr>
          <w:rFonts w:hint="eastAsia" w:cs="仿宋_GB2312" w:asciiTheme="minorEastAsia" w:hAnsiTheme="minorEastAsia" w:eastAsiaTheme="minorEastAsia"/>
          <w:bCs/>
          <w:kern w:val="16"/>
          <w:sz w:val="32"/>
          <w:szCs w:val="32"/>
        </w:rPr>
        <w:t>（签名并盖章）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财务负责人：</w:t>
      </w:r>
      <w:r>
        <w:rPr>
          <w:rFonts w:hint="eastAsia" w:cs="仿宋_GB2312" w:asciiTheme="minorEastAsia" w:hAnsiTheme="minorEastAsia" w:eastAsiaTheme="minorEastAsia"/>
          <w:bCs/>
          <w:kern w:val="16"/>
          <w:sz w:val="32"/>
          <w:szCs w:val="32"/>
          <w:lang w:val="en-US" w:eastAsia="zh-CN"/>
        </w:rPr>
        <w:t>吴成胜</w:t>
      </w:r>
      <w:r>
        <w:rPr>
          <w:rFonts w:hint="eastAsia" w:cs="仿宋_GB2312" w:asciiTheme="minorEastAsia" w:hAnsiTheme="minorEastAsia" w:eastAsiaTheme="minorEastAsia"/>
          <w:bCs/>
          <w:kern w:val="16"/>
          <w:sz w:val="32"/>
          <w:szCs w:val="32"/>
        </w:rPr>
        <w:t>（签名并盖章）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编制人：</w:t>
      </w:r>
      <w:r>
        <w:rPr>
          <w:rFonts w:hint="eastAsia" w:cs="仿宋_GB2312" w:asciiTheme="minorEastAsia" w:hAnsiTheme="minorEastAsia" w:eastAsiaTheme="minorEastAsia"/>
          <w:bCs/>
          <w:kern w:val="16"/>
          <w:sz w:val="32"/>
          <w:szCs w:val="32"/>
          <w:lang w:val="en-US" w:eastAsia="zh-CN"/>
        </w:rPr>
        <w:t>郭玉英</w:t>
      </w:r>
      <w:r>
        <w:rPr>
          <w:rFonts w:hint="eastAsia" w:cs="仿宋_GB2312" w:asciiTheme="minorEastAsia" w:hAnsiTheme="minorEastAsia" w:eastAsiaTheme="minorEastAsia"/>
          <w:bCs/>
          <w:kern w:val="16"/>
          <w:sz w:val="32"/>
          <w:szCs w:val="32"/>
        </w:rPr>
        <w:t>（签章）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报送日期：2021年5月</w:t>
      </w:r>
    </w:p>
    <w:p>
      <w:pPr>
        <w:pStyle w:val="119"/>
        <w:ind w:firstLine="198"/>
        <w:outlineLvl w:val="3"/>
        <w:rPr>
          <w:sz w:val="36"/>
        </w:rPr>
        <w:sectPr>
          <w:headerReference r:id="rId5" w:type="first"/>
          <w:footerReference r:id="rId7" w:type="first"/>
          <w:headerReference r:id="rId4" w:type="default"/>
          <w:footerReference r:id="rId6" w:type="default"/>
          <w:footnotePr>
            <w:numFmt w:val="decimalEnclosedCircleChinese"/>
          </w:footnotePr>
          <w:pgSz w:w="11906" w:h="16838"/>
          <w:pgMar w:top="1440" w:right="1797" w:bottom="1440" w:left="1797" w:header="851" w:footer="992" w:gutter="0"/>
          <w:pgNumType w:start="1"/>
          <w:cols w:space="425" w:num="1"/>
          <w:titlePg/>
          <w:docGrid w:type="lines" w:linePitch="326" w:charSpace="0"/>
        </w:sectPr>
      </w:pPr>
      <w:bookmarkStart w:id="0" w:name="_Toc435363359"/>
      <w:bookmarkStart w:id="1" w:name="_Toc435711768"/>
      <w:bookmarkStart w:id="2" w:name="_Toc435714296"/>
      <w:bookmarkStart w:id="3" w:name="_Toc435362709"/>
      <w:bookmarkStart w:id="4" w:name="_Toc436083526"/>
      <w:bookmarkStart w:id="5" w:name="_Toc435363575"/>
      <w:bookmarkStart w:id="6" w:name="_Toc503548883"/>
      <w:bookmarkStart w:id="7" w:name="_Toc435370952"/>
      <w:bookmarkStart w:id="8" w:name="_Toc435361710"/>
      <w:bookmarkStart w:id="9" w:name="_Toc430698577"/>
      <w:bookmarkStart w:id="10" w:name="_Toc435361472"/>
    </w:p>
    <w:p>
      <w:pPr>
        <w:pStyle w:val="119"/>
        <w:ind w:firstLine="198"/>
        <w:outlineLvl w:val="9"/>
        <w:rPr>
          <w:sz w:val="36"/>
        </w:rPr>
      </w:pPr>
      <w:bookmarkStart w:id="11" w:name="_Toc35452574"/>
      <w:r>
        <w:rPr>
          <w:rFonts w:hint="eastAsia"/>
          <w:sz w:val="36"/>
        </w:rPr>
        <w:t>目录</w:t>
      </w:r>
      <w:bookmarkEnd w:id="0"/>
      <w:bookmarkEnd w:id="1"/>
      <w:bookmarkEnd w:id="2"/>
      <w:bookmarkEnd w:id="3"/>
      <w:bookmarkEnd w:id="4"/>
      <w:bookmarkEnd w:id="5"/>
      <w:bookmarkEnd w:id="6"/>
      <w:bookmarkEnd w:id="7"/>
      <w:bookmarkEnd w:id="11"/>
    </w:p>
    <w:bookmarkEnd w:id="8"/>
    <w:bookmarkEnd w:id="9"/>
    <w:bookmarkEnd w:id="10"/>
    <w:p>
      <w:pPr>
        <w:pStyle w:val="23"/>
        <w:tabs>
          <w:tab w:val="right" w:leader="dot" w:pos="8302"/>
        </w:tabs>
        <w:spacing w:before="0" w:after="0" w:line="360" w:lineRule="auto"/>
        <w:rPr>
          <w:rFonts w:ascii="黑体" w:hAnsi="黑体" w:eastAsia="黑体" w:cstheme="minorBidi"/>
          <w:b w:val="0"/>
          <w:bCs w:val="0"/>
          <w:caps w:val="0"/>
          <w:kern w:val="2"/>
          <w:sz w:val="24"/>
          <w:szCs w:val="24"/>
        </w:rPr>
      </w:pPr>
      <w:r>
        <w:rPr>
          <w:rFonts w:asciiTheme="minorEastAsia" w:hAnsiTheme="minorEastAsia" w:eastAsiaTheme="minorEastAsia"/>
          <w:b w:val="0"/>
          <w:smallCaps/>
          <w:sz w:val="28"/>
          <w:szCs w:val="28"/>
        </w:rPr>
        <w:fldChar w:fldCharType="begin"/>
      </w:r>
      <w:r>
        <w:rPr>
          <w:rFonts w:asciiTheme="minorEastAsia" w:hAnsiTheme="minorEastAsia" w:eastAsiaTheme="minorEastAsia"/>
          <w:b w:val="0"/>
          <w:smallCaps/>
          <w:sz w:val="28"/>
          <w:szCs w:val="28"/>
        </w:rPr>
        <w:instrText xml:space="preserve"> TOC \o "1-3" \h \z \u </w:instrText>
      </w:r>
      <w:r>
        <w:rPr>
          <w:rFonts w:asciiTheme="minorEastAsia" w:hAnsiTheme="minorEastAsia" w:eastAsiaTheme="minorEastAsia"/>
          <w:b w:val="0"/>
          <w:smallCaps/>
          <w:sz w:val="28"/>
          <w:szCs w:val="28"/>
        </w:rPr>
        <w:fldChar w:fldCharType="separate"/>
      </w:r>
      <w:r>
        <w:fldChar w:fldCharType="begin"/>
      </w:r>
      <w:r>
        <w:instrText xml:space="preserve"> HYPERLINK \l "_Toc35500801" </w:instrText>
      </w:r>
      <w:r>
        <w:fldChar w:fldCharType="separate"/>
      </w:r>
      <w:r>
        <w:rPr>
          <w:rStyle w:val="40"/>
          <w:rFonts w:ascii="黑体" w:hAnsi="黑体" w:eastAsia="黑体"/>
          <w:sz w:val="24"/>
          <w:szCs w:val="24"/>
        </w:rPr>
        <w:t>一、政府部门财务报表</w:t>
      </w:r>
      <w:r>
        <w:rPr>
          <w:rFonts w:ascii="黑体" w:hAnsi="黑体" w:eastAsia="黑体"/>
          <w:sz w:val="24"/>
          <w:szCs w:val="24"/>
        </w:rPr>
        <w:tab/>
      </w:r>
      <w:r>
        <w:rPr>
          <w:rFonts w:ascii="黑体" w:hAnsi="黑体" w:eastAsia="黑体"/>
          <w:sz w:val="24"/>
          <w:szCs w:val="24"/>
        </w:rPr>
        <w:fldChar w:fldCharType="begin"/>
      </w:r>
      <w:r>
        <w:rPr>
          <w:rFonts w:ascii="黑体" w:hAnsi="黑体" w:eastAsia="黑体"/>
          <w:sz w:val="24"/>
          <w:szCs w:val="24"/>
        </w:rPr>
        <w:instrText xml:space="preserve"> PAGEREF _Toc35500801 \h </w:instrText>
      </w:r>
      <w:r>
        <w:rPr>
          <w:rFonts w:ascii="黑体" w:hAnsi="黑体" w:eastAsia="黑体"/>
          <w:sz w:val="24"/>
          <w:szCs w:val="24"/>
        </w:rPr>
        <w:fldChar w:fldCharType="separate"/>
      </w:r>
      <w:r>
        <w:rPr>
          <w:rFonts w:ascii="黑体" w:hAnsi="黑体" w:eastAsia="黑体"/>
          <w:sz w:val="24"/>
          <w:szCs w:val="24"/>
        </w:rPr>
        <w:t>3</w:t>
      </w:r>
      <w:r>
        <w:rPr>
          <w:rFonts w:ascii="黑体" w:hAnsi="黑体" w:eastAsia="黑体"/>
          <w:sz w:val="24"/>
          <w:szCs w:val="24"/>
        </w:rPr>
        <w:fldChar w:fldCharType="end"/>
      </w:r>
      <w:r>
        <w:rPr>
          <w:rFonts w:ascii="黑体" w:hAnsi="黑体" w:eastAsia="黑体"/>
          <w:sz w:val="24"/>
          <w:szCs w:val="24"/>
        </w:rPr>
        <w:fldChar w:fldCharType="end"/>
      </w:r>
    </w:p>
    <w:p>
      <w:pPr>
        <w:pStyle w:val="28"/>
        <w:tabs>
          <w:tab w:val="right" w:leader="dot" w:pos="8302"/>
        </w:tabs>
        <w:spacing w:line="360" w:lineRule="auto"/>
        <w:rPr>
          <w:rFonts w:ascii="宋体" w:hAnsi="宋体" w:cstheme="minorBidi"/>
          <w:smallCaps w:val="0"/>
          <w:kern w:val="2"/>
          <w:sz w:val="24"/>
          <w:szCs w:val="24"/>
        </w:rPr>
      </w:pPr>
      <w:r>
        <w:fldChar w:fldCharType="begin"/>
      </w:r>
      <w:r>
        <w:instrText xml:space="preserve"> HYPERLINK \l "_Toc35500802" </w:instrText>
      </w:r>
      <w:r>
        <w:fldChar w:fldCharType="separate"/>
      </w:r>
      <w:r>
        <w:rPr>
          <w:rStyle w:val="40"/>
          <w:rFonts w:ascii="宋体" w:hAnsi="宋体"/>
          <w:sz w:val="24"/>
          <w:szCs w:val="24"/>
        </w:rPr>
        <w:t>（一）政府部门会计报表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_Toc35500802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r>
        <w:rPr>
          <w:rFonts w:ascii="宋体" w:hAnsi="宋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"_Toc35500803" </w:instrText>
      </w:r>
      <w:r>
        <w:fldChar w:fldCharType="separate"/>
      </w:r>
      <w:r>
        <w:rPr>
          <w:rStyle w:val="40"/>
          <w:rFonts w:ascii="宋体" w:hAnsi="宋体"/>
          <w:bCs/>
          <w:i w:val="0"/>
          <w:sz w:val="24"/>
          <w:szCs w:val="24"/>
        </w:rPr>
        <w:t>资产负债表</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_Toc35500803 \h </w:instrText>
      </w:r>
      <w:r>
        <w:rPr>
          <w:rFonts w:ascii="宋体" w:hAnsi="宋体"/>
          <w:i w:val="0"/>
          <w:sz w:val="24"/>
          <w:szCs w:val="24"/>
        </w:rPr>
        <w:fldChar w:fldCharType="separate"/>
      </w:r>
      <w:r>
        <w:rPr>
          <w:rFonts w:ascii="宋体" w:hAnsi="宋体"/>
          <w:i w:val="0"/>
          <w:sz w:val="24"/>
          <w:szCs w:val="24"/>
        </w:rPr>
        <w:t>3</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"_Toc35500804" </w:instrText>
      </w:r>
      <w:r>
        <w:fldChar w:fldCharType="separate"/>
      </w:r>
      <w:r>
        <w:rPr>
          <w:rStyle w:val="40"/>
          <w:rFonts w:ascii="宋体" w:hAnsi="宋体"/>
          <w:bCs/>
          <w:i w:val="0"/>
          <w:sz w:val="24"/>
          <w:szCs w:val="24"/>
        </w:rPr>
        <w:t>收入费用表（1）</w:t>
      </w:r>
      <w:bookmarkStart w:id="88" w:name="_GoBack"/>
      <w:bookmarkEnd w:id="88"/>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_Toc35500804 \h </w:instrText>
      </w:r>
      <w:r>
        <w:rPr>
          <w:rFonts w:ascii="宋体" w:hAnsi="宋体"/>
          <w:i w:val="0"/>
          <w:sz w:val="24"/>
          <w:szCs w:val="24"/>
        </w:rPr>
        <w:fldChar w:fldCharType="separate"/>
      </w:r>
      <w:r>
        <w:rPr>
          <w:rFonts w:ascii="宋体" w:hAnsi="宋体"/>
          <w:i w:val="0"/>
          <w:sz w:val="24"/>
          <w:szCs w:val="24"/>
        </w:rPr>
        <w:t>5</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"_Toc35500805" </w:instrText>
      </w:r>
      <w:r>
        <w:fldChar w:fldCharType="separate"/>
      </w:r>
      <w:r>
        <w:rPr>
          <w:rStyle w:val="40"/>
          <w:rFonts w:ascii="宋体" w:hAnsi="宋体"/>
          <w:bCs/>
          <w:i w:val="0"/>
          <w:sz w:val="24"/>
          <w:szCs w:val="24"/>
        </w:rPr>
        <w:t>收入费用表（2）</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_Toc35500805 \h </w:instrText>
      </w:r>
      <w:r>
        <w:rPr>
          <w:rFonts w:ascii="宋体" w:hAnsi="宋体"/>
          <w:i w:val="0"/>
          <w:sz w:val="24"/>
          <w:szCs w:val="24"/>
        </w:rPr>
        <w:fldChar w:fldCharType="separate"/>
      </w:r>
      <w:r>
        <w:rPr>
          <w:rFonts w:ascii="宋体" w:hAnsi="宋体"/>
          <w:i w:val="0"/>
          <w:sz w:val="24"/>
          <w:szCs w:val="24"/>
        </w:rPr>
        <w:t>5</w:t>
      </w:r>
      <w:r>
        <w:rPr>
          <w:rFonts w:ascii="宋体" w:hAnsi="宋体"/>
          <w:i w:val="0"/>
          <w:sz w:val="24"/>
          <w:szCs w:val="24"/>
        </w:rPr>
        <w:fldChar w:fldCharType="end"/>
      </w:r>
      <w:r>
        <w:rPr>
          <w:rFonts w:ascii="宋体" w:hAnsi="宋体"/>
          <w:i w:val="0"/>
          <w:sz w:val="24"/>
          <w:szCs w:val="24"/>
        </w:rPr>
        <w:fldChar w:fldCharType="end"/>
      </w:r>
    </w:p>
    <w:p>
      <w:pPr>
        <w:pStyle w:val="28"/>
        <w:tabs>
          <w:tab w:val="right" w:leader="dot" w:pos="8302"/>
        </w:tabs>
        <w:spacing w:line="360" w:lineRule="auto"/>
        <w:rPr>
          <w:rFonts w:ascii="宋体" w:hAnsi="宋体" w:cstheme="minorBidi"/>
          <w:smallCaps w:val="0"/>
          <w:kern w:val="2"/>
          <w:sz w:val="24"/>
          <w:szCs w:val="24"/>
        </w:rPr>
      </w:pPr>
      <w:r>
        <w:fldChar w:fldCharType="begin"/>
      </w:r>
      <w:r>
        <w:instrText xml:space="preserve"> HYPERLINK \l "_Toc35500806" </w:instrText>
      </w:r>
      <w:r>
        <w:fldChar w:fldCharType="separate"/>
      </w:r>
      <w:r>
        <w:rPr>
          <w:rStyle w:val="40"/>
          <w:rFonts w:ascii="宋体" w:hAnsi="宋体"/>
          <w:sz w:val="24"/>
          <w:szCs w:val="24"/>
        </w:rPr>
        <w:t>（二）政府部门会计报表附注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_Toc35500806 \h </w:instrText>
      </w:r>
      <w:r>
        <w:rPr>
          <w:rFonts w:ascii="宋体" w:hAnsi="宋体"/>
          <w:sz w:val="24"/>
          <w:szCs w:val="24"/>
        </w:rPr>
        <w:fldChar w:fldCharType="separate"/>
      </w:r>
      <w:r>
        <w:rPr>
          <w:rFonts w:ascii="宋体" w:hAnsi="宋体"/>
          <w:sz w:val="24"/>
          <w:szCs w:val="24"/>
        </w:rPr>
        <w:t>7</w:t>
      </w:r>
      <w:r>
        <w:rPr>
          <w:rFonts w:ascii="宋体" w:hAnsi="宋体"/>
          <w:sz w:val="24"/>
          <w:szCs w:val="24"/>
        </w:rPr>
        <w:fldChar w:fldCharType="end"/>
      </w:r>
      <w:r>
        <w:rPr>
          <w:rFonts w:ascii="宋体" w:hAnsi="宋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"_Toc35500807" </w:instrText>
      </w:r>
      <w:r>
        <w:fldChar w:fldCharType="separate"/>
      </w:r>
      <w:r>
        <w:rPr>
          <w:rStyle w:val="40"/>
          <w:rFonts w:ascii="宋体" w:hAnsi="宋体"/>
          <w:i w:val="0"/>
          <w:sz w:val="24"/>
          <w:szCs w:val="24"/>
        </w:rPr>
        <w:t>1.会计报表编制基础。</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_Toc35500807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"_Toc35500808" </w:instrText>
      </w:r>
      <w:r>
        <w:fldChar w:fldCharType="separate"/>
      </w:r>
      <w:r>
        <w:rPr>
          <w:rStyle w:val="40"/>
          <w:rFonts w:ascii="宋体" w:hAnsi="宋体"/>
          <w:i w:val="0"/>
          <w:sz w:val="24"/>
          <w:szCs w:val="24"/>
        </w:rPr>
        <w:t>2.遵循相关制度规定的声明。</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_Toc35500808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"_Toc35500809" </w:instrText>
      </w:r>
      <w:r>
        <w:fldChar w:fldCharType="separate"/>
      </w:r>
      <w:r>
        <w:rPr>
          <w:rStyle w:val="40"/>
          <w:rFonts w:ascii="宋体" w:hAnsi="宋体"/>
          <w:i w:val="0"/>
          <w:sz w:val="24"/>
          <w:szCs w:val="24"/>
        </w:rPr>
        <w:t>3.合并范围。</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_Toc35500809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"_Toc35500810" </w:instrText>
      </w:r>
      <w:r>
        <w:fldChar w:fldCharType="separate"/>
      </w:r>
      <w:r>
        <w:rPr>
          <w:rStyle w:val="40"/>
          <w:rFonts w:ascii="宋体" w:hAnsi="宋体"/>
          <w:i w:val="0"/>
          <w:sz w:val="24"/>
          <w:szCs w:val="24"/>
        </w:rPr>
        <w:t>4.重要会计政策与会计估计变更情况。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_Toc35500810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"_Toc35500811" </w:instrText>
      </w:r>
      <w:r>
        <w:fldChar w:fldCharType="separate"/>
      </w:r>
      <w:r>
        <w:rPr>
          <w:rStyle w:val="40"/>
          <w:rFonts w:ascii="宋体" w:hAnsi="宋体"/>
          <w:i w:val="0"/>
          <w:sz w:val="24"/>
          <w:szCs w:val="24"/>
        </w:rPr>
        <w:t>5.会计报表重要项目的明细信息及说明</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_Toc35500811 \h </w:instrText>
      </w:r>
      <w:r>
        <w:rPr>
          <w:rFonts w:ascii="宋体" w:hAnsi="宋体"/>
          <w:i w:val="0"/>
          <w:sz w:val="24"/>
          <w:szCs w:val="24"/>
        </w:rPr>
        <w:fldChar w:fldCharType="separate"/>
      </w:r>
      <w:r>
        <w:rPr>
          <w:rFonts w:ascii="宋体" w:hAnsi="宋体"/>
          <w:i w:val="0"/>
          <w:sz w:val="24"/>
          <w:szCs w:val="24"/>
        </w:rPr>
        <w:t>8</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"_Toc35500812" </w:instrText>
      </w:r>
      <w:r>
        <w:fldChar w:fldCharType="separate"/>
      </w:r>
      <w:r>
        <w:rPr>
          <w:rStyle w:val="40"/>
          <w:rFonts w:ascii="宋体" w:hAnsi="宋体"/>
          <w:i w:val="0"/>
          <w:sz w:val="24"/>
          <w:szCs w:val="24"/>
        </w:rPr>
        <w:t>6.需要说明的其他事项。</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_Toc35500812 \h </w:instrText>
      </w:r>
      <w:r>
        <w:rPr>
          <w:rFonts w:ascii="宋体" w:hAnsi="宋体"/>
          <w:i w:val="0"/>
          <w:sz w:val="24"/>
          <w:szCs w:val="24"/>
        </w:rPr>
        <w:fldChar w:fldCharType="separate"/>
      </w:r>
      <w:r>
        <w:rPr>
          <w:rFonts w:ascii="宋体" w:hAnsi="宋体"/>
          <w:i w:val="0"/>
          <w:sz w:val="24"/>
          <w:szCs w:val="24"/>
        </w:rPr>
        <w:t>14</w:t>
      </w:r>
      <w:r>
        <w:rPr>
          <w:rFonts w:ascii="宋体" w:hAnsi="宋体"/>
          <w:i w:val="0"/>
          <w:sz w:val="24"/>
          <w:szCs w:val="24"/>
        </w:rPr>
        <w:fldChar w:fldCharType="end"/>
      </w:r>
      <w:r>
        <w:rPr>
          <w:rFonts w:ascii="宋体" w:hAnsi="宋体"/>
          <w:i w:val="0"/>
          <w:sz w:val="24"/>
          <w:szCs w:val="24"/>
        </w:rPr>
        <w:fldChar w:fldCharType="end"/>
      </w:r>
    </w:p>
    <w:p>
      <w:pPr>
        <w:pStyle w:val="23"/>
        <w:tabs>
          <w:tab w:val="right" w:leader="dot" w:pos="8302"/>
        </w:tabs>
        <w:spacing w:before="0" w:after="0" w:line="360" w:lineRule="auto"/>
        <w:rPr>
          <w:rStyle w:val="40"/>
          <w:rFonts w:ascii="黑体" w:hAnsi="黑体" w:eastAsia="黑体"/>
          <w:sz w:val="24"/>
          <w:szCs w:val="24"/>
        </w:rPr>
      </w:pPr>
      <w:r>
        <w:fldChar w:fldCharType="begin"/>
      </w:r>
      <w:r>
        <w:instrText xml:space="preserve"> HYPERLINK \l "_Toc35500813" </w:instrText>
      </w:r>
      <w:r>
        <w:fldChar w:fldCharType="separate"/>
      </w:r>
      <w:r>
        <w:rPr>
          <w:rStyle w:val="40"/>
          <w:rFonts w:ascii="黑体" w:hAnsi="黑体" w:eastAsia="黑体"/>
          <w:sz w:val="24"/>
          <w:szCs w:val="24"/>
        </w:rPr>
        <w:t>二、政府部门财务分析</w:t>
      </w:r>
      <w:r>
        <w:rPr>
          <w:rStyle w:val="40"/>
          <w:rFonts w:ascii="黑体" w:hAnsi="黑体" w:eastAsia="黑体"/>
          <w:sz w:val="24"/>
          <w:szCs w:val="24"/>
        </w:rPr>
        <w:tab/>
      </w:r>
      <w:r>
        <w:rPr>
          <w:rStyle w:val="40"/>
          <w:rFonts w:ascii="黑体" w:hAnsi="黑体" w:eastAsia="黑体"/>
          <w:sz w:val="24"/>
          <w:szCs w:val="24"/>
        </w:rPr>
        <w:fldChar w:fldCharType="begin"/>
      </w:r>
      <w:r>
        <w:rPr>
          <w:rStyle w:val="40"/>
          <w:rFonts w:ascii="黑体" w:hAnsi="黑体" w:eastAsia="黑体"/>
          <w:sz w:val="24"/>
          <w:szCs w:val="24"/>
        </w:rPr>
        <w:instrText xml:space="preserve"> PAGEREF _Toc35500813 \h </w:instrText>
      </w:r>
      <w:r>
        <w:rPr>
          <w:rStyle w:val="40"/>
          <w:rFonts w:ascii="黑体" w:hAnsi="黑体" w:eastAsia="黑体"/>
          <w:sz w:val="24"/>
          <w:szCs w:val="24"/>
        </w:rPr>
        <w:fldChar w:fldCharType="separate"/>
      </w:r>
      <w:r>
        <w:rPr>
          <w:rStyle w:val="40"/>
          <w:rFonts w:ascii="黑体" w:hAnsi="黑体" w:eastAsia="黑体"/>
          <w:sz w:val="24"/>
          <w:szCs w:val="24"/>
        </w:rPr>
        <w:t>14</w:t>
      </w:r>
      <w:r>
        <w:rPr>
          <w:rStyle w:val="40"/>
          <w:rFonts w:ascii="黑体" w:hAnsi="黑体" w:eastAsia="黑体"/>
          <w:sz w:val="24"/>
          <w:szCs w:val="24"/>
        </w:rPr>
        <w:fldChar w:fldCharType="end"/>
      </w:r>
      <w:r>
        <w:rPr>
          <w:rStyle w:val="40"/>
          <w:rFonts w:ascii="黑体" w:hAnsi="黑体" w:eastAsia="黑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"_Toc35500814" </w:instrText>
      </w:r>
      <w:r>
        <w:fldChar w:fldCharType="separate"/>
      </w:r>
      <w:r>
        <w:rPr>
          <w:rStyle w:val="40"/>
          <w:rFonts w:ascii="宋体" w:hAnsi="宋体"/>
          <w:i w:val="0"/>
          <w:sz w:val="24"/>
          <w:szCs w:val="24"/>
        </w:rPr>
        <w:t>（一）</w:t>
      </w:r>
      <w:r>
        <w:rPr>
          <w:rStyle w:val="40"/>
          <w:rFonts w:ascii="宋体" w:hAnsi="宋体" w:cs="黑体"/>
          <w:i w:val="0"/>
          <w:spacing w:val="-8"/>
          <w:sz w:val="24"/>
          <w:szCs w:val="24"/>
        </w:rPr>
        <w:t>政府部门工作目标完成情况。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_Toc35500814 \h </w:instrText>
      </w:r>
      <w:r>
        <w:rPr>
          <w:rFonts w:ascii="宋体" w:hAnsi="宋体"/>
          <w:i w:val="0"/>
          <w:sz w:val="24"/>
          <w:szCs w:val="24"/>
        </w:rPr>
        <w:fldChar w:fldCharType="separate"/>
      </w:r>
      <w:r>
        <w:rPr>
          <w:rFonts w:ascii="宋体" w:hAnsi="宋体"/>
          <w:i w:val="0"/>
          <w:sz w:val="24"/>
          <w:szCs w:val="24"/>
        </w:rPr>
        <w:t>14</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"_Toc35500815" </w:instrText>
      </w:r>
      <w:r>
        <w:fldChar w:fldCharType="separate"/>
      </w:r>
      <w:r>
        <w:rPr>
          <w:rStyle w:val="40"/>
          <w:rFonts w:ascii="宋体" w:hAnsi="宋体"/>
          <w:i w:val="0"/>
          <w:sz w:val="24"/>
          <w:szCs w:val="24"/>
        </w:rPr>
        <w:t>（二）政府部门财务状况分析。</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_Toc35500815 \h </w:instrText>
      </w:r>
      <w:r>
        <w:rPr>
          <w:rFonts w:ascii="宋体" w:hAnsi="宋体"/>
          <w:i w:val="0"/>
          <w:sz w:val="24"/>
          <w:szCs w:val="24"/>
        </w:rPr>
        <w:fldChar w:fldCharType="separate"/>
      </w:r>
      <w:r>
        <w:rPr>
          <w:rFonts w:ascii="宋体" w:hAnsi="宋体"/>
          <w:i w:val="0"/>
          <w:sz w:val="24"/>
          <w:szCs w:val="24"/>
        </w:rPr>
        <w:t>14</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"_Toc35500816" </w:instrText>
      </w:r>
      <w:r>
        <w:fldChar w:fldCharType="separate"/>
      </w:r>
      <w:r>
        <w:rPr>
          <w:rStyle w:val="40"/>
          <w:rFonts w:ascii="宋体" w:hAnsi="宋体"/>
          <w:i w:val="0"/>
          <w:sz w:val="24"/>
          <w:szCs w:val="24"/>
        </w:rPr>
        <w:t>（三）政府部门运行情况分析。</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_Toc35500816 \h </w:instrText>
      </w:r>
      <w:r>
        <w:rPr>
          <w:rFonts w:ascii="宋体" w:hAnsi="宋体"/>
          <w:i w:val="0"/>
          <w:sz w:val="24"/>
          <w:szCs w:val="24"/>
        </w:rPr>
        <w:fldChar w:fldCharType="separate"/>
      </w:r>
      <w:r>
        <w:rPr>
          <w:rFonts w:ascii="宋体" w:hAnsi="宋体"/>
          <w:i w:val="0"/>
          <w:sz w:val="24"/>
          <w:szCs w:val="24"/>
        </w:rPr>
        <w:t>18</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"_Toc35500817" </w:instrText>
      </w:r>
      <w:r>
        <w:fldChar w:fldCharType="separate"/>
      </w:r>
      <w:r>
        <w:rPr>
          <w:rStyle w:val="40"/>
          <w:rFonts w:ascii="宋体" w:hAnsi="宋体"/>
          <w:i w:val="0"/>
          <w:sz w:val="24"/>
          <w:szCs w:val="24"/>
        </w:rPr>
        <w:t>（四）政府部门财务管理情况。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_Toc35500817 \h </w:instrText>
      </w:r>
      <w:r>
        <w:rPr>
          <w:rFonts w:ascii="宋体" w:hAnsi="宋体"/>
          <w:i w:val="0"/>
          <w:sz w:val="24"/>
          <w:szCs w:val="24"/>
        </w:rPr>
        <w:fldChar w:fldCharType="separate"/>
      </w:r>
      <w:r>
        <w:rPr>
          <w:rFonts w:ascii="宋体" w:hAnsi="宋体"/>
          <w:i w:val="0"/>
          <w:sz w:val="24"/>
          <w:szCs w:val="24"/>
        </w:rPr>
        <w:t>20</w:t>
      </w:r>
      <w:r>
        <w:rPr>
          <w:rFonts w:ascii="宋体" w:hAnsi="宋体"/>
          <w:i w:val="0"/>
          <w:sz w:val="24"/>
          <w:szCs w:val="24"/>
        </w:rPr>
        <w:fldChar w:fldCharType="end"/>
      </w:r>
      <w:r>
        <w:rPr>
          <w:rFonts w:ascii="宋体" w:hAnsi="宋体"/>
          <w:i w:val="0"/>
          <w:sz w:val="24"/>
          <w:szCs w:val="24"/>
        </w:rPr>
        <w:fldChar w:fldCharType="end"/>
      </w:r>
    </w:p>
    <w:p>
      <w:pPr>
        <w:spacing w:line="360" w:lineRule="auto"/>
        <w:jc w:val="both"/>
        <w:rPr>
          <w:rFonts w:eastAsia="仿宋_GB2312"/>
          <w:smallCaps/>
        </w:rPr>
      </w:pPr>
      <w:r>
        <w:rPr>
          <w:rFonts w:asciiTheme="minorEastAsia" w:hAnsiTheme="minorEastAsia" w:eastAsiaTheme="minorEastAsia"/>
          <w:smallCaps/>
          <w:sz w:val="28"/>
          <w:szCs w:val="28"/>
        </w:rPr>
        <w:fldChar w:fldCharType="end"/>
      </w:r>
    </w:p>
    <w:p>
      <w:pPr>
        <w:spacing w:line="360" w:lineRule="auto"/>
        <w:jc w:val="both"/>
        <w:rPr>
          <w:rFonts w:eastAsia="仿宋_GB2312"/>
          <w:smallCaps/>
        </w:rPr>
      </w:pPr>
    </w:p>
    <w:p>
      <w:pPr>
        <w:spacing w:line="360" w:lineRule="auto"/>
        <w:jc w:val="both"/>
        <w:rPr>
          <w:rFonts w:eastAsia="仿宋_GB2312"/>
          <w:smallCaps/>
        </w:rPr>
        <w:sectPr>
          <w:footerReference r:id="rId8" w:type="first"/>
          <w:footnotePr>
            <w:numFmt w:val="decimalEnclosedCircleChinese"/>
          </w:footnotePr>
          <w:pgSz w:w="11906" w:h="16838"/>
          <w:pgMar w:top="1440" w:right="1797" w:bottom="1440" w:left="1797" w:header="851" w:footer="992" w:gutter="0"/>
          <w:cols w:space="425" w:num="1"/>
          <w:docGrid w:type="lines" w:linePitch="326" w:charSpace="0"/>
        </w:sectPr>
      </w:pPr>
    </w:p>
    <w:p>
      <w:pPr>
        <w:pStyle w:val="2"/>
        <w:spacing w:before="0" w:after="0" w:line="360" w:lineRule="auto"/>
        <w:rPr>
          <w:rStyle w:val="43"/>
          <w:rFonts w:ascii="宋体" w:eastAsia="宋体"/>
          <w:b w:val="0"/>
          <w:sz w:val="32"/>
          <w:szCs w:val="32"/>
        </w:rPr>
      </w:pPr>
      <w:bookmarkStart w:id="12" w:name="_Toc35500801"/>
      <w:bookmarkStart w:id="13" w:name="_Toc435361944"/>
      <w:bookmarkStart w:id="14" w:name="_Toc435363360"/>
      <w:bookmarkStart w:id="15" w:name="_Toc503548884"/>
      <w:bookmarkStart w:id="16" w:name="_Toc435362062"/>
      <w:bookmarkStart w:id="17" w:name="_Toc435360895"/>
      <w:bookmarkStart w:id="18" w:name="_Toc435362487"/>
      <w:bookmarkStart w:id="19" w:name="_Toc436083527"/>
      <w:bookmarkStart w:id="20" w:name="_Toc435362289"/>
      <w:bookmarkStart w:id="21" w:name="_Toc35452575"/>
      <w:r>
        <w:rPr>
          <w:rFonts w:hint="eastAsia" w:ascii="宋体" w:eastAsia="宋体"/>
          <w:sz w:val="32"/>
          <w:szCs w:val="32"/>
        </w:rPr>
        <w:t>一、政府部门财务报表</w:t>
      </w:r>
      <w:bookmarkEnd w:id="12"/>
      <w:bookmarkEnd w:id="13"/>
      <w:bookmarkEnd w:id="14"/>
      <w:bookmarkEnd w:id="15"/>
      <w:bookmarkEnd w:id="16"/>
      <w:bookmarkEnd w:id="17"/>
      <w:bookmarkEnd w:id="18"/>
      <w:bookmarkEnd w:id="19"/>
      <w:bookmarkEnd w:id="20"/>
      <w:bookmarkEnd w:id="21"/>
    </w:p>
    <w:p>
      <w:pPr>
        <w:pStyle w:val="3"/>
        <w:spacing w:before="0" w:after="0" w:line="360" w:lineRule="auto"/>
        <w:ind w:firstLine="602" w:firstLineChars="200"/>
        <w:jc w:val="left"/>
        <w:rPr>
          <w:rFonts w:asciiTheme="minorEastAsia" w:hAnsiTheme="minorEastAsia" w:eastAsiaTheme="minorEastAsia"/>
        </w:rPr>
      </w:pPr>
      <w:bookmarkStart w:id="22" w:name="_Toc435361945"/>
      <w:bookmarkStart w:id="23" w:name="_Toc435362488"/>
      <w:bookmarkStart w:id="24" w:name="_Toc35452576"/>
      <w:bookmarkStart w:id="25" w:name="_Toc436083528"/>
      <w:bookmarkStart w:id="26" w:name="_Toc35500802"/>
      <w:bookmarkStart w:id="27" w:name="_Toc435362063"/>
      <w:bookmarkStart w:id="28" w:name="_Toc435362290"/>
      <w:bookmarkStart w:id="29" w:name="_Toc503548885"/>
      <w:r>
        <w:rPr>
          <w:rFonts w:hint="eastAsia" w:asciiTheme="minorEastAsia" w:hAnsiTheme="minorEastAsia" w:eastAsiaTheme="minorEastAsia"/>
        </w:rPr>
        <w:t>（一）政府部门会计报表</w:t>
      </w:r>
      <w:bookmarkEnd w:id="22"/>
      <w:bookmarkEnd w:id="23"/>
      <w:bookmarkEnd w:id="24"/>
      <w:bookmarkEnd w:id="25"/>
      <w:bookmarkEnd w:id="26"/>
      <w:bookmarkEnd w:id="27"/>
      <w:bookmarkEnd w:id="28"/>
      <w:bookmarkEnd w:id="29"/>
    </w:p>
    <w:p/>
    <w:p>
      <w:bookmarkStart w:id="30" w:name="_Toc435362489"/>
      <w:bookmarkStart w:id="31" w:name="_Toc435362291"/>
      <w:bookmarkStart w:id="32" w:name="_Toc435362064"/>
      <w:bookmarkStart w:id="33" w:name="_Toc435361946"/>
      <w:r>
        <w:rPr>
          <w:rFonts w:hint="eastAsia"/>
        </w:rPr>
        <w:t>表</w:t>
      </w:r>
      <w: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34" w:name="_Toc35452577"/>
      <w:bookmarkStart w:id="35" w:name="_Toc35500803"/>
      <w:r>
        <w:rPr>
          <w:rFonts w:hint="eastAsia" w:cs="Times New Roman" w:asciiTheme="majorEastAsia" w:hAnsiTheme="majorEastAsia" w:eastAsiaTheme="majorEastAsia"/>
          <w:b/>
          <w:bCs/>
          <w:kern w:val="2"/>
          <w:sz w:val="28"/>
          <w:szCs w:val="28"/>
        </w:rPr>
        <w:t>资产负债表</w:t>
      </w:r>
      <w:bookmarkEnd w:id="30"/>
      <w:bookmarkEnd w:id="31"/>
      <w:bookmarkEnd w:id="32"/>
      <w:bookmarkEnd w:id="33"/>
      <w:bookmarkEnd w:id="34"/>
      <w:bookmarkEnd w:id="35"/>
    </w:p>
    <w:p>
      <w:pPr>
        <w:tabs>
          <w:tab w:val="left" w:pos="4160"/>
          <w:tab w:val="left" w:pos="717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编制单位：内蒙古自治区呼伦贝尔市莫力达瓦达斡尔族自治旗腾克镇人民政府</w:t>
      </w:r>
      <w:r>
        <w:rPr>
          <w:b/>
          <w:bCs/>
          <w:sz w:val="20"/>
          <w:szCs w:val="20"/>
        </w:rPr>
        <w:tab/>
      </w:r>
      <w:r>
        <w:rPr>
          <w:sz w:val="20"/>
          <w:szCs w:val="20"/>
        </w:rPr>
        <w:t>2020</w:t>
      </w:r>
      <w:r>
        <w:rPr>
          <w:rFonts w:hint="eastAsia"/>
          <w:sz w:val="20"/>
          <w:szCs w:val="20"/>
        </w:rPr>
        <w:t>年12月31日</w:t>
      </w:r>
      <w:r>
        <w:rPr>
          <w:b/>
          <w:bCs/>
          <w:sz w:val="20"/>
          <w:szCs w:val="20"/>
        </w:rPr>
        <w:tab/>
      </w:r>
      <w:r>
        <w:rPr>
          <w:rFonts w:hint="eastAsia"/>
          <w:sz w:val="20"/>
          <w:szCs w:val="20"/>
        </w:rPr>
        <w:t>单位：万元</w:t>
      </w:r>
    </w:p>
    <w:tbl>
      <w:tblPr>
        <w:tblStyle w:val="34"/>
        <w:tblW w:w="8958" w:type="dxa"/>
        <w:jc w:val="center"/>
        <w:tblLayout w:type="fixed"/>
        <w:tblCellMar>
          <w:top w:w="0" w:type="dxa"/>
          <w:left w:w="108" w:type="dxa"/>
          <w:bottom w:w="0" w:type="dxa"/>
          <w:right w:w="108" w:type="dxa"/>
        </w:tblCellMar>
      </w:tblPr>
      <w:tblGrid>
        <w:gridCol w:w="3890"/>
        <w:gridCol w:w="1276"/>
        <w:gridCol w:w="1733"/>
        <w:gridCol w:w="2059"/>
      </w:tblGrid>
      <w:tr>
        <w:tblPrEx>
          <w:tblCellMar>
            <w:top w:w="0" w:type="dxa"/>
            <w:left w:w="108" w:type="dxa"/>
            <w:bottom w:w="0" w:type="dxa"/>
            <w:right w:w="108" w:type="dxa"/>
          </w:tblCellMar>
        </w:tblPrEx>
        <w:trPr>
          <w:trHeight w:val="340" w:hRule="exact"/>
          <w:tblHeader/>
          <w:jc w:val="center"/>
        </w:trPr>
        <w:tc>
          <w:tcPr>
            <w:tcW w:w="3890"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项目</w:t>
            </w:r>
          </w:p>
        </w:tc>
        <w:tc>
          <w:tcPr>
            <w:tcW w:w="1276"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附注</w:t>
            </w:r>
          </w:p>
        </w:tc>
        <w:tc>
          <w:tcPr>
            <w:tcW w:w="1733"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年末数</w:t>
            </w:r>
          </w:p>
        </w:tc>
        <w:tc>
          <w:tcPr>
            <w:tcW w:w="2059"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890"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276"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733"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2059"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货币资金</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663.81</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456.78</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短期投资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财政应返还额度</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735.64</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1,489.70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应收账款净额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应收股利</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其他应收款净额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1,064.06</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存货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1,399.45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3,010.54</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长期股权投资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长期债券投资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518.45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504.72</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减：固定资产累计折旧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260.82</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244.73</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257.63</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259.99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工程物资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在建工程</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附表7</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减：无形资产累计摊销</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附表8</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研发支出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公共基础设施原值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减：公共基础设施累计折旧（摊销）</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政府储备物资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附表10</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文物文化资产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减：保障性住房累计折旧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待处理财产损溢</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257.63</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259.99</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1,657.08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3,270.53</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短期借款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应交增值税</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其他应交税费</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应缴财政款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应付职工薪酬</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应付政府补贴款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预收账款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3,010.54</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预提费用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3,010.54</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长期借款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预计负债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受托代理负债</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负债合计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3,010.54</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净资产: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累计盈余</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1,657.08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259.99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专用基金</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权益法调整</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净资产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1,657.08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259.99</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负债及净资产总计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1,657.08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3,270.53</w:t>
            </w:r>
          </w:p>
        </w:tc>
      </w:tr>
    </w:tbl>
    <w:p>
      <w:pPr>
        <w:pStyle w:val="110"/>
        <w:ind w:firstLine="0" w:firstLineChars="0"/>
        <w:rPr>
          <w:rFonts w:asciiTheme="minorEastAsia" w:hAnsiTheme="minorEastAsia" w:eastAsiaTheme="minorEastAsia"/>
          <w:sz w:val="22"/>
        </w:rPr>
      </w:pPr>
      <w:bookmarkStart w:id="36" w:name="_Toc435362292"/>
      <w:bookmarkStart w:id="37" w:name="_Toc435362065"/>
      <w:bookmarkStart w:id="38" w:name="_Toc435361947"/>
      <w:bookmarkStart w:id="39" w:name="_Toc435362490"/>
    </w:p>
    <w:p>
      <w:r>
        <w:rPr>
          <w:rFonts w:hint="eastAsia"/>
        </w:rPr>
        <w:t>表</w:t>
      </w:r>
      <w:r>
        <w:t>2</w:t>
      </w:r>
      <w:bookmarkEnd w:id="36"/>
      <w:bookmarkEnd w:id="37"/>
      <w:bookmarkEnd w:id="38"/>
      <w:bookmarkEnd w:id="39"/>
      <w:r>
        <w:rPr>
          <w:rFonts w:hint="eastAsia"/>
        </w:rP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0" w:name="_Toc35500804"/>
      <w:bookmarkStart w:id="41" w:name="_Toc35452578"/>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（1）</w:t>
      </w:r>
      <w:bookmarkEnd w:id="40"/>
      <w:bookmarkEnd w:id="41"/>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编制单位：内蒙古自治区呼伦贝尔市莫力达瓦达斡尔族自治旗腾克镇人民政府</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blPrEx>
          <w:tblCellMar>
            <w:top w:w="0" w:type="dxa"/>
            <w:left w:w="108" w:type="dxa"/>
            <w:bottom w:w="0" w:type="dxa"/>
            <w:right w:w="108" w:type="dxa"/>
          </w:tblCellMar>
        </w:tblPrEx>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2,128.03</w:t>
            </w:r>
          </w:p>
        </w:tc>
        <w:tc>
          <w:tcPr>
            <w:tcW w:w="1984" w:type="dxa"/>
            <w:shd w:val="clear" w:color="FFFFFF" w:fill="FFFFFF"/>
            <w:vAlign w:val="center"/>
          </w:tcPr>
          <w:p>
            <w:pPr>
              <w:pageBreakBefore w:val="0"/>
              <w:jc w:val="right"/>
              <w:textAlignment w:val="auto"/>
            </w:pPr>
            <w:r>
              <w:rPr>
                <w:b w:val="0"/>
                <w:i w:val="0"/>
                <w:color w:val="auto"/>
                <w:position w:val="-1"/>
                <w:sz w:val="20"/>
                <w:u w:val="none"/>
              </w:rPr>
              <w:t>5,955.94</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事业收入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上级补助收入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附表19</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投资收益</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1.36</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附表20</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2,128.03</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5,957.30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业务活动费用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附表21</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1,082.13</w:t>
            </w:r>
          </w:p>
        </w:tc>
        <w:tc>
          <w:tcPr>
            <w:tcW w:w="1984" w:type="dxa"/>
            <w:shd w:val="clear" w:color="FFFFFF" w:fill="FFFFFF"/>
            <w:vAlign w:val="center"/>
          </w:tcPr>
          <w:p>
            <w:pPr>
              <w:pageBreakBefore w:val="0"/>
              <w:jc w:val="right"/>
              <w:textAlignment w:val="auto"/>
            </w:pPr>
            <w:r>
              <w:rPr>
                <w:b w:val="0"/>
                <w:i w:val="0"/>
                <w:color w:val="auto"/>
                <w:position w:val="-1"/>
                <w:sz w:val="20"/>
                <w:u w:val="none"/>
              </w:rPr>
              <w:t>4,094.86</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单位管理费用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附表22</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附表23</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上缴上级费用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对附属单位补助费用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附表26</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1,082.13</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4,094.86</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rFonts w:ascii="Times New Roman" w:hAnsi="Times New Roman" w:eastAsia="Times New Roman" w:cs="Times New Roman"/>
                <w:b/>
                <w:i w:val="0"/>
                <w:color w:val="000000"/>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1,045.90</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1,862.44</w:t>
            </w:r>
          </w:p>
        </w:tc>
      </w:tr>
    </w:tbl>
    <w:p>
      <w:pPr>
        <w:pStyle w:val="110"/>
        <w:ind w:firstLine="0" w:firstLineChars="0"/>
        <w:rPr>
          <w:rFonts w:asciiTheme="minorEastAsia" w:hAnsiTheme="minorEastAsia" w:eastAsiaTheme="minorEastAsia"/>
          <w:sz w:val="22"/>
        </w:rPr>
      </w:pPr>
    </w:p>
    <w:p>
      <w:r>
        <w:rPr>
          <w:rFonts w:hint="eastAsia"/>
        </w:rPr>
        <w:t>表</w:t>
      </w:r>
      <w:r>
        <w:t>2</w:t>
      </w:r>
      <w:r>
        <w:rPr>
          <w:rFonts w:hint="eastAsia"/>
        </w:rPr>
        <w:t>-2</w:t>
      </w:r>
      <w:r>
        <w:rPr>
          <w:rStyle w:val="42"/>
        </w:rPr>
        <w:footnoteReference w:id="0"/>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2" w:name="_Toc35500805"/>
      <w:bookmarkStart w:id="43" w:name="_Toc35452579"/>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w:t>
      </w:r>
      <w:r>
        <w:rPr>
          <w:rFonts w:hint="eastAsia" w:cs="Times New Roman" w:asciiTheme="majorEastAsia" w:hAnsiTheme="majorEastAsia" w:eastAsiaTheme="majorEastAsia"/>
          <w:b/>
          <w:bCs/>
          <w:kern w:val="2"/>
          <w:sz w:val="28"/>
          <w:szCs w:val="28"/>
        </w:rPr>
        <w:t>2</w:t>
      </w:r>
      <w:r>
        <w:rPr>
          <w:rFonts w:cs="Times New Roman" w:asciiTheme="majorEastAsia" w:hAnsiTheme="majorEastAsia" w:eastAsiaTheme="majorEastAsia"/>
          <w:b/>
          <w:bCs/>
          <w:kern w:val="2"/>
          <w:sz w:val="28"/>
          <w:szCs w:val="28"/>
        </w:rPr>
        <w:t>）</w:t>
      </w:r>
      <w:bookmarkEnd w:id="42"/>
      <w:bookmarkEnd w:id="43"/>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编制单位：内蒙古自治区呼伦贝尔市莫力达瓦达斡尔族自治旗腾克镇人民政府</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blPrEx>
          <w:tblCellMar>
            <w:top w:w="0" w:type="dxa"/>
            <w:left w:w="108" w:type="dxa"/>
            <w:bottom w:w="0" w:type="dxa"/>
            <w:right w:w="108" w:type="dxa"/>
          </w:tblCellMar>
        </w:tblPrEx>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2,128.03</w:t>
            </w:r>
          </w:p>
        </w:tc>
        <w:tc>
          <w:tcPr>
            <w:tcW w:w="1984" w:type="dxa"/>
            <w:shd w:val="clear" w:color="FFFFFF" w:fill="FFFFFF"/>
            <w:vAlign w:val="center"/>
          </w:tcPr>
          <w:p>
            <w:pPr>
              <w:pageBreakBefore w:val="0"/>
              <w:jc w:val="right"/>
              <w:textAlignment w:val="auto"/>
            </w:pPr>
            <w:r>
              <w:rPr>
                <w:b w:val="0"/>
                <w:i w:val="0"/>
                <w:color w:val="auto"/>
                <w:position w:val="-1"/>
                <w:sz w:val="20"/>
                <w:u w:val="none"/>
              </w:rPr>
              <w:t>5,955.94</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事业收入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上级补助收入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经营收入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附表18</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附表19</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投资收益</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1.36</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附表20</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2,128.03</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5,957.30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工资福利费用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581.53</w:t>
            </w:r>
          </w:p>
        </w:tc>
        <w:tc>
          <w:tcPr>
            <w:tcW w:w="1984" w:type="dxa"/>
            <w:shd w:val="clear" w:color="FFFFFF" w:fill="FFFFFF"/>
            <w:vAlign w:val="center"/>
          </w:tcPr>
          <w:p>
            <w:pPr>
              <w:pageBreakBefore w:val="0"/>
              <w:jc w:val="right"/>
              <w:textAlignment w:val="auto"/>
            </w:pPr>
            <w:r>
              <w:rPr>
                <w:b w:val="0"/>
                <w:i w:val="0"/>
                <w:color w:val="auto"/>
                <w:position w:val="-1"/>
                <w:sz w:val="20"/>
                <w:u w:val="none"/>
              </w:rPr>
              <w:t>657.58</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商品和服务费用</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附表24</w:t>
            </w:r>
          </w:p>
        </w:tc>
        <w:tc>
          <w:tcPr>
            <w:tcW w:w="1985" w:type="dxa"/>
            <w:shd w:val="clear" w:color="FFFFFF" w:fill="FFFFFF"/>
            <w:vAlign w:val="center"/>
          </w:tcPr>
          <w:p>
            <w:pPr>
              <w:pageBreakBefore w:val="0"/>
              <w:jc w:val="right"/>
              <w:textAlignment w:val="auto"/>
            </w:pPr>
            <w:r>
              <w:rPr>
                <w:b w:val="0"/>
                <w:i w:val="0"/>
                <w:color w:val="auto"/>
                <w:position w:val="-1"/>
                <w:sz w:val="20"/>
                <w:u w:val="none"/>
              </w:rPr>
              <w:t>234.49</w:t>
            </w:r>
          </w:p>
        </w:tc>
        <w:tc>
          <w:tcPr>
            <w:tcW w:w="1984" w:type="dxa"/>
            <w:shd w:val="clear" w:color="FFFFFF" w:fill="FFFFFF"/>
            <w:vAlign w:val="center"/>
          </w:tcPr>
          <w:p>
            <w:pPr>
              <w:pageBreakBefore w:val="0"/>
              <w:jc w:val="right"/>
              <w:textAlignment w:val="auto"/>
            </w:pPr>
            <w:r>
              <w:rPr>
                <w:b w:val="0"/>
                <w:i w:val="0"/>
                <w:color w:val="auto"/>
                <w:position w:val="-1"/>
                <w:sz w:val="20"/>
                <w:u w:val="none"/>
              </w:rPr>
              <w:t>3,403.01</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对个人和家庭的补助费用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250.01</w:t>
            </w:r>
          </w:p>
        </w:tc>
        <w:tc>
          <w:tcPr>
            <w:tcW w:w="1984" w:type="dxa"/>
            <w:shd w:val="clear" w:color="FFFFFF" w:fill="FFFFFF"/>
            <w:vAlign w:val="center"/>
          </w:tcPr>
          <w:p>
            <w:pPr>
              <w:pageBreakBefore w:val="0"/>
              <w:jc w:val="right"/>
              <w:textAlignment w:val="auto"/>
            </w:pPr>
            <w:r>
              <w:rPr>
                <w:b w:val="0"/>
                <w:i w:val="0"/>
                <w:color w:val="auto"/>
                <w:position w:val="-1"/>
                <w:sz w:val="20"/>
                <w:u w:val="none"/>
              </w:rPr>
              <w:t>19.00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对企业补助费用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固定资产折旧费用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16.10</w:t>
            </w:r>
          </w:p>
        </w:tc>
        <w:tc>
          <w:tcPr>
            <w:tcW w:w="1984" w:type="dxa"/>
            <w:shd w:val="clear" w:color="FFFFFF" w:fill="FFFFFF"/>
            <w:vAlign w:val="center"/>
          </w:tcPr>
          <w:p>
            <w:pPr>
              <w:pageBreakBefore w:val="0"/>
              <w:jc w:val="right"/>
              <w:textAlignment w:val="auto"/>
            </w:pPr>
            <w:r>
              <w:rPr>
                <w:b w:val="0"/>
                <w:i w:val="0"/>
                <w:color w:val="auto"/>
                <w:position w:val="-1"/>
                <w:sz w:val="20"/>
                <w:u w:val="none"/>
              </w:rPr>
              <w:t>15.27</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无形资产摊销费用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公共基础设施折旧（摊销）费用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保障性住房折旧费用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计提专用基金</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上缴上级费用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对附属单位补助费用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1,082.13</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4,094.86</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b/>
                <w:i w:val="0"/>
                <w:color w:val="auto"/>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1,045.90</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1,862.44</w:t>
            </w:r>
          </w:p>
        </w:tc>
      </w:tr>
    </w:tbl>
    <w:p>
      <w:pPr>
        <w:rPr>
          <w:sz w:val="22"/>
          <w:szCs w:val="22"/>
        </w:rPr>
      </w:pPr>
    </w:p>
    <w:p>
      <w:pPr>
        <w:rPr>
          <w:position w:val="9"/>
          <w:sz w:val="9"/>
          <w:szCs w:val="9"/>
        </w:rPr>
      </w:pPr>
    </w:p>
    <w:p>
      <w:pPr>
        <w:rPr>
          <w:position w:val="9"/>
          <w:sz w:val="9"/>
          <w:szCs w:val="9"/>
        </w:rPr>
      </w:pPr>
    </w:p>
    <w:p/>
    <w:p/>
    <w:p/>
    <w:p/>
    <w:p/>
    <w:p/>
    <w:p/>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pStyle w:val="3"/>
        <w:spacing w:before="0" w:after="0" w:line="360" w:lineRule="auto"/>
        <w:ind w:firstLine="602" w:firstLineChars="200"/>
        <w:jc w:val="left"/>
        <w:rPr>
          <w:rFonts w:asciiTheme="minorEastAsia" w:hAnsiTheme="minorEastAsia" w:eastAsiaTheme="minorEastAsia"/>
        </w:rPr>
      </w:pPr>
      <w:bookmarkStart w:id="44" w:name="_Toc35452580"/>
      <w:bookmarkStart w:id="45" w:name="_Toc35500806"/>
      <w:bookmarkStart w:id="46" w:name="_Toc333610272"/>
      <w:r>
        <w:rPr>
          <w:rFonts w:asciiTheme="minorEastAsia" w:hAnsiTheme="minorEastAsia" w:eastAsiaTheme="minorEastAsia"/>
        </w:rPr>
        <w:t>（二）政府部门会计报表附注</w:t>
      </w:r>
      <w:bookmarkEnd w:id="44"/>
      <w:bookmarkEnd w:id="45"/>
    </w:p>
    <w:p>
      <w:pPr>
        <w:pStyle w:val="4"/>
        <w:spacing w:before="0" w:after="0" w:line="360" w:lineRule="auto"/>
        <w:ind w:firstLine="602"/>
        <w:jc w:val="left"/>
        <w:rPr>
          <w:rFonts w:ascii="仿宋" w:hAnsi="仿宋" w:eastAsia="仿宋"/>
          <w:b/>
        </w:rPr>
      </w:pPr>
      <w:bookmarkStart w:id="47" w:name="2.遵循相关制度规定的声明。（略）"/>
      <w:bookmarkEnd w:id="47"/>
      <w:bookmarkStart w:id="48" w:name="1.会计报表编制基础。（略）"/>
      <w:bookmarkEnd w:id="48"/>
      <w:bookmarkStart w:id="49" w:name="_Toc35500807"/>
      <w:bookmarkStart w:id="50" w:name="_Toc35452581"/>
      <w:bookmarkStart w:id="51" w:name="_Toc35452582"/>
      <w:r>
        <w:rPr>
          <w:rFonts w:ascii="仿宋" w:hAnsi="仿宋" w:eastAsia="仿宋"/>
          <w:b/>
        </w:rPr>
        <w:t>1.会计报表编制基础。</w:t>
      </w:r>
      <w:bookmarkEnd w:id="49"/>
      <w:bookmarkEnd w:id="50"/>
    </w:p>
    <w:p>
      <w:pPr>
        <w:pStyle w:val="110"/>
        <w:jc w:val="both"/>
        <w:rPr>
          <w:rFonts w:hint="eastAsia" w:eastAsia="仿宋_GB2312"/>
          <w:color w:val="auto"/>
          <w:lang w:eastAsia="zh-CN"/>
        </w:rPr>
      </w:pPr>
      <w:r>
        <w:rPr>
          <w:rFonts w:hint="eastAsia" w:ascii="仿宋_GB2312" w:hAnsi="仿宋_GB2312" w:cs="仿宋_GB2312"/>
          <w:color w:val="auto"/>
          <w:szCs w:val="30"/>
        </w:rPr>
        <w:t>莫力达瓦达斡尔族自治旗</w:t>
      </w:r>
      <w:r>
        <w:rPr>
          <w:rFonts w:hint="eastAsia" w:ascii="仿宋_GB2312" w:hAnsi="仿宋_GB2312" w:cs="仿宋_GB2312"/>
          <w:color w:val="auto"/>
          <w:szCs w:val="30"/>
          <w:lang w:val="en-US" w:eastAsia="zh-CN"/>
        </w:rPr>
        <w:t>腾克</w:t>
      </w:r>
      <w:r>
        <w:rPr>
          <w:rFonts w:hint="eastAsia" w:ascii="仿宋_GB2312" w:hAnsi="仿宋_GB2312" w:cs="仿宋_GB2312"/>
          <w:color w:val="auto"/>
          <w:szCs w:val="30"/>
        </w:rPr>
        <w:t>镇人民政府以权责发生制为编制基础</w:t>
      </w:r>
      <w:r>
        <w:rPr>
          <w:rFonts w:hint="eastAsia" w:ascii="仿宋_GB2312" w:hAnsi="仿宋_GB2312" w:cs="仿宋_GB2312"/>
          <w:color w:val="auto"/>
          <w:szCs w:val="30"/>
          <w:lang w:eastAsia="zh-CN"/>
        </w:rPr>
        <w:t>。</w:t>
      </w:r>
    </w:p>
    <w:p>
      <w:pPr>
        <w:spacing w:before="2"/>
        <w:rPr>
          <w:rFonts w:ascii="仿宋" w:hAnsi="仿宋" w:eastAsia="仿宋" w:cs="Times New Roman"/>
          <w:b/>
          <w:bCs/>
          <w:kern w:val="2"/>
          <w:sz w:val="30"/>
          <w:szCs w:val="28"/>
        </w:rPr>
      </w:pPr>
    </w:p>
    <w:p>
      <w:pPr>
        <w:pStyle w:val="4"/>
        <w:spacing w:before="0" w:after="0" w:line="360" w:lineRule="auto"/>
        <w:ind w:firstLine="602"/>
        <w:jc w:val="left"/>
        <w:rPr>
          <w:rFonts w:ascii="仿宋" w:hAnsi="仿宋" w:eastAsia="仿宋"/>
          <w:b/>
        </w:rPr>
      </w:pPr>
      <w:bookmarkStart w:id="52" w:name="_Toc35500808"/>
      <w:r>
        <w:rPr>
          <w:rFonts w:ascii="仿宋" w:hAnsi="仿宋" w:eastAsia="仿宋"/>
          <w:b/>
        </w:rPr>
        <w:t>2.遵循相关制度规定的声明。</w:t>
      </w:r>
      <w:bookmarkEnd w:id="51"/>
      <w:bookmarkEnd w:id="52"/>
    </w:p>
    <w:p>
      <w:pPr>
        <w:pStyle w:val="110"/>
        <w:jc w:val="both"/>
        <w:rPr>
          <w:rFonts w:hint="eastAsia" w:ascii="仿宋_GB2312" w:hAnsi="仿宋_GB2312" w:cs="仿宋_GB2312"/>
          <w:color w:val="auto"/>
          <w:szCs w:val="30"/>
        </w:rPr>
      </w:pPr>
      <w:bookmarkStart w:id="53" w:name="3.合并范围。（略）"/>
      <w:bookmarkEnd w:id="53"/>
      <w:bookmarkStart w:id="54" w:name="_Toc35500809"/>
      <w:bookmarkStart w:id="55" w:name="_Toc35452583"/>
      <w:r>
        <w:rPr>
          <w:rFonts w:hint="eastAsia" w:ascii="仿宋_GB2312" w:hAnsi="仿宋_GB2312" w:cs="仿宋_GB2312"/>
          <w:color w:val="auto"/>
          <w:szCs w:val="30"/>
        </w:rPr>
        <w:t>莫力达瓦达斡尔族自治旗</w:t>
      </w:r>
      <w:r>
        <w:rPr>
          <w:rFonts w:hint="eastAsia" w:ascii="仿宋_GB2312" w:hAnsi="仿宋_GB2312" w:cs="仿宋_GB2312"/>
          <w:color w:val="auto"/>
          <w:szCs w:val="30"/>
          <w:lang w:val="en-US" w:eastAsia="zh-CN"/>
        </w:rPr>
        <w:t>腾克</w:t>
      </w:r>
      <w:r>
        <w:rPr>
          <w:rFonts w:hint="eastAsia" w:ascii="仿宋_GB2312" w:hAnsi="仿宋_GB2312" w:cs="仿宋_GB2312"/>
          <w:color w:val="auto"/>
          <w:szCs w:val="30"/>
        </w:rPr>
        <w:t>镇人民政府声明编制的会计报表符合政府会计准则、相关会计制度和财务报告编制规定的要求，如实反映政府部门的财务状况、运行情况等有关信息。</w:t>
      </w:r>
    </w:p>
    <w:p>
      <w:pPr>
        <w:pStyle w:val="4"/>
        <w:numPr>
          <w:ilvl w:val="0"/>
          <w:numId w:val="1"/>
        </w:numPr>
        <w:spacing w:before="0" w:after="0" w:line="360" w:lineRule="auto"/>
        <w:ind w:firstLine="602"/>
        <w:jc w:val="left"/>
        <w:rPr>
          <w:rFonts w:ascii="仿宋" w:hAnsi="仿宋" w:eastAsia="仿宋"/>
          <w:b/>
        </w:rPr>
      </w:pPr>
      <w:r>
        <w:rPr>
          <w:rFonts w:ascii="仿宋" w:hAnsi="仿宋" w:eastAsia="仿宋"/>
          <w:b/>
        </w:rPr>
        <w:t>合并范围。</w:t>
      </w:r>
      <w:bookmarkEnd w:id="54"/>
      <w:bookmarkEnd w:id="55"/>
    </w:p>
    <w:tbl>
      <w:tblPr>
        <w:tblStyle w:val="34"/>
        <w:tblW w:w="8622" w:type="dxa"/>
        <w:jc w:val="center"/>
        <w:tblLayout w:type="fixed"/>
        <w:tblCellMar>
          <w:top w:w="0" w:type="dxa"/>
          <w:left w:w="0" w:type="dxa"/>
          <w:bottom w:w="0" w:type="dxa"/>
          <w:right w:w="0" w:type="dxa"/>
        </w:tblCellMar>
      </w:tblPr>
      <w:tblGrid>
        <w:gridCol w:w="1031"/>
        <w:gridCol w:w="3910"/>
        <w:gridCol w:w="2230"/>
        <w:gridCol w:w="1451"/>
      </w:tblGrid>
      <w:tr>
        <w:tblPrEx>
          <w:tblCellMar>
            <w:top w:w="0" w:type="dxa"/>
            <w:left w:w="0" w:type="dxa"/>
            <w:bottom w:w="0" w:type="dxa"/>
            <w:right w:w="0" w:type="dxa"/>
          </w:tblCellMar>
        </w:tblPrEx>
        <w:trPr>
          <w:trHeight w:val="23" w:hRule="atLeast"/>
          <w:jc w:val="center"/>
        </w:trPr>
        <w:tc>
          <w:tcPr>
            <w:tcW w:w="8622" w:type="dxa"/>
            <w:gridSpan w:val="4"/>
            <w:tcBorders>
              <w:top w:val="nil"/>
              <w:left w:val="nil"/>
              <w:bottom w:val="single" w:color="auto" w:sz="4" w:space="0"/>
              <w:right w:val="nil"/>
            </w:tcBorders>
            <w:shd w:val="clear" w:color="FFFFFF" w:fill="FFFFFF"/>
          </w:tcPr>
          <w:p>
            <w:pPr>
              <w:pStyle w:val="144"/>
              <w:spacing w:line="260" w:lineRule="exact"/>
              <w:jc w:val="center"/>
              <w:rPr>
                <w:rFonts w:ascii="宋体" w:hAnsi="宋体" w:eastAsia="宋体" w:cs="宋体"/>
                <w:b/>
                <w:bCs/>
                <w:sz w:val="20"/>
                <w:szCs w:val="20"/>
              </w:rPr>
            </w:pPr>
            <w:r>
              <w:rPr>
                <w:rFonts w:ascii="宋体" w:hAnsi="宋体" w:eastAsia="宋体" w:cs="宋体"/>
                <w:b/>
                <w:bCs/>
                <w:sz w:val="20"/>
                <w:szCs w:val="20"/>
              </w:rPr>
              <w:t>××年度部门清单</w:t>
            </w:r>
          </w:p>
        </w:tc>
      </w:tr>
      <w:tr>
        <w:tblPrEx>
          <w:tblCellMar>
            <w:top w:w="0" w:type="dxa"/>
            <w:left w:w="0" w:type="dxa"/>
            <w:bottom w:w="0" w:type="dxa"/>
            <w:right w:w="0" w:type="dxa"/>
          </w:tblCellMar>
        </w:tblPrEx>
        <w:trPr>
          <w:trHeight w:val="23" w:hRule="atLeast"/>
          <w:jc w:val="center"/>
        </w:trPr>
        <w:tc>
          <w:tcPr>
            <w:tcW w:w="103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ascii="宋体" w:hAnsi="宋体" w:eastAsia="宋体" w:cs="宋体"/>
                <w:b/>
                <w:bCs/>
                <w:sz w:val="20"/>
                <w:szCs w:val="20"/>
              </w:rPr>
              <w:t>序号</w:t>
            </w:r>
          </w:p>
        </w:tc>
        <w:tc>
          <w:tcPr>
            <w:tcW w:w="3910"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单位名称</w:t>
            </w:r>
          </w:p>
        </w:tc>
        <w:tc>
          <w:tcPr>
            <w:tcW w:w="2230" w:type="dxa"/>
            <w:tcBorders>
              <w:top w:val="single" w:color="auto" w:sz="4" w:space="0"/>
              <w:left w:val="nil"/>
              <w:bottom w:val="single" w:color="auto" w:sz="4" w:space="0"/>
              <w:right w:val="nil"/>
            </w:tcBorders>
            <w:shd w:val="clear" w:color="FFFFFF" w:fill="FFFFFF"/>
          </w:tcPr>
          <w:p>
            <w:pPr>
              <w:pStyle w:val="144"/>
              <w:spacing w:before="40"/>
              <w:jc w:val="center"/>
              <w:rPr>
                <w:rFonts w:hint="default" w:ascii="宋体" w:hAnsi="宋体" w:eastAsia="宋体" w:cs="宋体"/>
                <w:b/>
                <w:bCs/>
                <w:sz w:val="20"/>
                <w:szCs w:val="20"/>
                <w:lang w:val="en-US" w:eastAsia="zh-CN"/>
              </w:rPr>
            </w:pPr>
            <w:r>
              <w:rPr>
                <w:rFonts w:hint="eastAsia" w:ascii="宋体" w:hAnsi="宋体" w:eastAsia="宋体" w:cs="宋体"/>
                <w:b/>
                <w:bCs/>
                <w:sz w:val="20"/>
                <w:szCs w:val="20"/>
                <w:lang w:val="en-US" w:eastAsia="zh-CN"/>
              </w:rPr>
              <w:t>单位性质</w:t>
            </w:r>
          </w:p>
        </w:tc>
        <w:tc>
          <w:tcPr>
            <w:tcW w:w="145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实有人数</w:t>
            </w:r>
          </w:p>
        </w:tc>
      </w:tr>
      <w:tr>
        <w:tblPrEx>
          <w:tblCellMar>
            <w:top w:w="0" w:type="dxa"/>
            <w:left w:w="0" w:type="dxa"/>
            <w:bottom w:w="0" w:type="dxa"/>
            <w:right w:w="0" w:type="dxa"/>
          </w:tblCellMar>
        </w:tblPrEx>
        <w:trPr>
          <w:trHeight w:val="23" w:hRule="exact"/>
          <w:jc w:val="center"/>
        </w:trPr>
        <w:tc>
          <w:tcPr>
            <w:tcW w:w="1031" w:type="dxa"/>
            <w:tcBorders>
              <w:top w:val="single" w:color="auto" w:sz="4" w:space="0"/>
              <w:left w:val="nil"/>
              <w:bottom w:val="nil"/>
              <w:right w:val="nil"/>
            </w:tcBorders>
            <w:shd w:val="clear" w:color="FFFFFF" w:fill="FFFFFF"/>
          </w:tcPr>
          <w:p>
            <w:pPr>
              <w:pStyle w:val="144"/>
              <w:spacing w:before="40"/>
              <w:ind w:left="460"/>
              <w:rPr>
                <w:rFonts w:ascii="宋体" w:hAnsi="宋体" w:eastAsia="宋体" w:cs="宋体"/>
                <w:b/>
                <w:bCs/>
                <w:sz w:val="20"/>
                <w:szCs w:val="20"/>
              </w:rPr>
            </w:pPr>
          </w:p>
        </w:tc>
        <w:tc>
          <w:tcPr>
            <w:tcW w:w="3910" w:type="dxa"/>
            <w:tcBorders>
              <w:top w:val="single" w:color="auto" w:sz="4" w:space="0"/>
              <w:left w:val="nil"/>
              <w:bottom w:val="nil"/>
              <w:right w:val="single" w:color="auto" w:sz="4" w:space="0"/>
            </w:tcBorders>
            <w:shd w:val="clear" w:color="FFFFFF" w:fill="FFFFFF"/>
          </w:tcPr>
          <w:p>
            <w:pPr>
              <w:pStyle w:val="144"/>
              <w:spacing w:before="40"/>
              <w:ind w:left="759"/>
              <w:rPr>
                <w:rFonts w:ascii="宋体" w:hAnsi="宋体" w:eastAsia="宋体" w:cs="宋体"/>
                <w:b/>
                <w:bCs/>
                <w:sz w:val="20"/>
                <w:szCs w:val="20"/>
              </w:rPr>
            </w:pPr>
          </w:p>
        </w:tc>
        <w:tc>
          <w:tcPr>
            <w:tcW w:w="2230" w:type="dxa"/>
            <w:tcBorders>
              <w:top w:val="single" w:color="auto" w:sz="4" w:space="0"/>
              <w:left w:val="single" w:color="auto" w:sz="4" w:space="0"/>
              <w:bottom w:val="nil"/>
              <w:right w:val="nil"/>
            </w:tcBorders>
            <w:shd w:val="clear" w:color="FFFFFF" w:fill="FFFFFF"/>
          </w:tcPr>
          <w:p>
            <w:pPr>
              <w:pStyle w:val="144"/>
              <w:spacing w:before="40"/>
              <w:ind w:left="759"/>
              <w:rPr>
                <w:rFonts w:ascii="宋体" w:hAnsi="宋体" w:eastAsia="宋体" w:cs="宋体"/>
                <w:b/>
                <w:bCs/>
                <w:sz w:val="20"/>
                <w:szCs w:val="20"/>
              </w:rPr>
            </w:pPr>
          </w:p>
        </w:tc>
        <w:tc>
          <w:tcPr>
            <w:tcW w:w="1451" w:type="dxa"/>
            <w:tcBorders>
              <w:top w:val="single" w:color="auto" w:sz="4" w:space="0"/>
              <w:left w:val="nil"/>
              <w:bottom w:val="nil"/>
              <w:right w:val="nil"/>
            </w:tcBorders>
            <w:shd w:val="clear" w:color="FFFFFF" w:fill="FFFFFF"/>
          </w:tcPr>
          <w:p>
            <w:pPr>
              <w:pStyle w:val="144"/>
              <w:spacing w:before="40"/>
              <w:ind w:left="601"/>
              <w:rPr>
                <w:rFonts w:ascii="宋体" w:hAnsi="宋体" w:eastAsia="宋体" w:cs="宋体"/>
                <w:b/>
                <w:bCs/>
                <w:sz w:val="20"/>
                <w:szCs w:val="20"/>
              </w:rPr>
            </w:pP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1</w:t>
            </w:r>
          </w:p>
        </w:tc>
        <w:tc>
          <w:tcPr>
            <w:tcW w:w="391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内蒙古自治区呼伦贝尔市莫力达瓦达斡尔族自治旗腾克镇人民政府</w:t>
            </w:r>
          </w:p>
        </w:tc>
        <w:tc>
          <w:tcPr>
            <w:tcW w:w="223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行政单位</w:t>
            </w: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82</w:t>
            </w: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合计</w:t>
            </w:r>
          </w:p>
        </w:tc>
        <w:tc>
          <w:tcPr>
            <w:tcW w:w="3910" w:type="dxa"/>
            <w:tcBorders>
              <w:top w:val="nil"/>
              <w:left w:val="nil"/>
              <w:bottom w:val="nil"/>
              <w:right w:val="nil"/>
            </w:tcBorders>
            <w:shd w:val="clear" w:color="FFFFFF" w:fill="FFFFFF"/>
          </w:tcPr>
          <w:p>
            <w:pPr>
              <w:pageBreakBefore w:val="0"/>
              <w:spacing w:before="40"/>
              <w:jc w:val="center"/>
              <w:textAlignment w:val="auto"/>
            </w:pPr>
          </w:p>
        </w:tc>
        <w:tc>
          <w:tcPr>
            <w:tcW w:w="2230" w:type="dxa"/>
            <w:tcBorders>
              <w:top w:val="nil"/>
              <w:left w:val="nil"/>
              <w:bottom w:val="nil"/>
              <w:right w:val="nil"/>
            </w:tcBorders>
            <w:shd w:val="clear" w:color="FFFFFF" w:fill="FFFFFF"/>
          </w:tcPr>
          <w:p>
            <w:pPr>
              <w:pageBreakBefore w:val="0"/>
              <w:spacing w:before="40"/>
              <w:jc w:val="center"/>
              <w:textAlignment w:val="auto"/>
            </w:pP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82</w:t>
            </w:r>
          </w:p>
        </w:tc>
      </w:tr>
    </w:tbl>
    <w:p>
      <w:pPr>
        <w:numPr>
          <w:ilvl w:val="0"/>
          <w:numId w:val="0"/>
        </w:numPr>
      </w:pPr>
    </w:p>
    <w:p>
      <w:pPr>
        <w:pStyle w:val="110"/>
        <w:jc w:val="both"/>
        <w:rPr>
          <w:rFonts w:hint="eastAsia" w:ascii="仿宋_GB2312" w:hAnsi="仿宋_GB2312" w:cs="仿宋_GB2312"/>
          <w:color w:val="auto"/>
          <w:szCs w:val="30"/>
          <w:lang w:val="en-US" w:eastAsia="zh-CN"/>
        </w:rPr>
      </w:pPr>
      <w:bookmarkStart w:id="56" w:name="4.重要会计政策与会计估计变更情况。（略）"/>
      <w:bookmarkEnd w:id="56"/>
      <w:bookmarkStart w:id="57" w:name="_Toc35500810"/>
      <w:bookmarkStart w:id="58" w:name="_Toc35452584"/>
      <w:r>
        <w:rPr>
          <w:rFonts w:hint="eastAsia" w:ascii="仿宋_GB2312" w:hAnsi="仿宋_GB2312" w:cs="仿宋_GB2312"/>
          <w:color w:val="auto"/>
          <w:szCs w:val="30"/>
          <w:lang w:val="en-US" w:eastAsia="zh-CN"/>
        </w:rPr>
        <w:t>2020年度，莫力达瓦达斡尔族自治旗腾克镇人民政府汇编户数共1个，为行政单位。</w:t>
      </w:r>
    </w:p>
    <w:p>
      <w:pPr>
        <w:pStyle w:val="4"/>
        <w:spacing w:before="0" w:after="0" w:line="360" w:lineRule="auto"/>
        <w:ind w:firstLine="602"/>
        <w:jc w:val="left"/>
        <w:rPr>
          <w:rFonts w:ascii="仿宋" w:hAnsi="仿宋" w:eastAsia="仿宋"/>
          <w:b/>
        </w:rPr>
      </w:pPr>
      <w:r>
        <w:rPr>
          <w:rFonts w:ascii="仿宋" w:hAnsi="仿宋" w:eastAsia="仿宋"/>
          <w:b/>
        </w:rPr>
        <w:t>4.重要会计政策与会计估计变更情况。</w:t>
      </w:r>
      <w:bookmarkEnd w:id="57"/>
      <w:bookmarkEnd w:id="58"/>
    </w:p>
    <w:p>
      <w:pPr>
        <w:pStyle w:val="110"/>
        <w:jc w:val="both"/>
        <w:rPr>
          <w:rFonts w:hint="default" w:ascii="仿宋_GB2312" w:hAnsi="仿宋_GB2312" w:cs="仿宋_GB2312"/>
          <w:color w:val="auto"/>
          <w:szCs w:val="30"/>
          <w:lang w:val="en-US" w:eastAsia="zh-CN"/>
        </w:rPr>
      </w:pPr>
      <w:r>
        <w:rPr>
          <w:rFonts w:hint="eastAsia" w:ascii="仿宋_GB2312" w:hAnsi="仿宋_GB2312" w:cs="仿宋_GB2312"/>
          <w:color w:val="auto"/>
          <w:szCs w:val="30"/>
          <w:lang w:val="en-US" w:eastAsia="zh-CN"/>
        </w:rPr>
        <w:t>（1）会计期间2020年1月--12月。</w:t>
      </w:r>
    </w:p>
    <w:p>
      <w:pPr>
        <w:pStyle w:val="110"/>
        <w:jc w:val="both"/>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（2）记账本位币人民币。</w:t>
      </w:r>
    </w:p>
    <w:p>
      <w:pPr>
        <w:pStyle w:val="110"/>
        <w:jc w:val="both"/>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（3）本年未发生的重要会计政策和会计估计变更。</w:t>
      </w:r>
    </w:p>
    <w:p/>
    <w:p>
      <w:pPr>
        <w:rPr>
          <w:rFonts w:ascii="Microsoft JhengHei" w:hAnsi="Microsoft JhengHei" w:eastAsia="Microsoft JhengHei" w:cs="Microsoft JhengHei"/>
          <w:sz w:val="30"/>
          <w:szCs w:val="30"/>
        </w:rPr>
        <w:sectPr>
          <w:pgSz w:w="11910" w:h="16840"/>
          <w:pgMar w:top="1260" w:right="1680" w:bottom="1200" w:left="1680" w:header="0" w:footer="981" w:gutter="0"/>
          <w:cols w:space="720" w:num="1"/>
        </w:sectPr>
      </w:pPr>
    </w:p>
    <w:bookmarkEnd w:id="46"/>
    <w:p>
      <w:pPr>
        <w:pStyle w:val="4"/>
        <w:spacing w:before="0" w:after="0" w:line="360" w:lineRule="auto"/>
        <w:ind w:firstLine="602"/>
        <w:jc w:val="left"/>
        <w:rPr>
          <w:rFonts w:ascii="仿宋" w:hAnsi="仿宋" w:eastAsia="仿宋"/>
          <w:b/>
        </w:rPr>
      </w:pPr>
      <w:bookmarkStart w:id="59" w:name="_Toc333610277"/>
      <w:bookmarkStart w:id="60" w:name="_Toc35500811"/>
      <w:bookmarkStart w:id="61" w:name="_Toc435362300"/>
      <w:bookmarkStart w:id="62" w:name="_Toc435362498"/>
      <w:bookmarkStart w:id="63" w:name="_Toc435361955"/>
      <w:bookmarkStart w:id="64" w:name="_Toc435362073"/>
      <w:bookmarkStart w:id="65" w:name="_Toc35452585"/>
      <w:r>
        <w:rPr>
          <w:rFonts w:hint="eastAsia" w:ascii="仿宋" w:hAnsi="仿宋" w:eastAsia="仿宋"/>
          <w:b/>
        </w:rPr>
        <w:t>5.会计报表重要项目的明细信息</w:t>
      </w:r>
      <w:bookmarkEnd w:id="59"/>
      <w:r>
        <w:rPr>
          <w:rFonts w:hint="eastAsia" w:ascii="仿宋" w:hAnsi="仿宋" w:eastAsia="仿宋"/>
          <w:b/>
        </w:rPr>
        <w:t>及说明</w:t>
      </w:r>
      <w:bookmarkEnd w:id="60"/>
      <w:bookmarkEnd w:id="61"/>
      <w:bookmarkEnd w:id="62"/>
      <w:bookmarkEnd w:id="63"/>
      <w:bookmarkEnd w:id="64"/>
      <w:bookmarkEnd w:id="65"/>
      <w:r>
        <w:rPr>
          <w:rFonts w:ascii="仿宋" w:hAnsi="仿宋" w:eastAsia="仿宋"/>
          <w:b/>
        </w:rPr>
        <w:tab/>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）货币资金明细信息如下：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货币资金明细表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napToGrid w:val="0"/>
        <w:spacing w:line="20" w:lineRule="exact"/>
        <w:jc w:val="right"/>
        <w:rPr>
          <w:rFonts w:ascii="Arial" w:hAnsi="Arial" w:cs="Arial"/>
          <w:color w:val="000000"/>
          <w:sz w:val="20"/>
          <w:szCs w:val="20"/>
        </w:rPr>
      </w:pPr>
      <w:bookmarkStart w:id="66" w:name="RANGE!A1:D9"/>
      <w:bookmarkEnd w:id="66"/>
    </w:p>
    <w:tbl>
      <w:tblPr>
        <w:tblStyle w:val="34"/>
        <w:tblW w:w="8528" w:type="dxa"/>
        <w:jc w:val="center"/>
        <w:tblLayout w:type="fixed"/>
        <w:tblCellMar>
          <w:top w:w="0" w:type="dxa"/>
          <w:left w:w="108" w:type="dxa"/>
          <w:bottom w:w="0" w:type="dxa"/>
          <w:right w:w="108" w:type="dxa"/>
        </w:tblCellMar>
      </w:tblPr>
      <w:tblGrid>
        <w:gridCol w:w="3295"/>
        <w:gridCol w:w="2625"/>
        <w:gridCol w:w="2608"/>
      </w:tblGrid>
      <w:tr>
        <w:tblPrEx>
          <w:tblCellMar>
            <w:top w:w="0" w:type="dxa"/>
            <w:left w:w="108" w:type="dxa"/>
            <w:bottom w:w="0" w:type="dxa"/>
            <w:right w:w="108" w:type="dxa"/>
          </w:tblCellMar>
        </w:tblPrEx>
        <w:trPr>
          <w:trHeight w:val="397" w:hRule="exact"/>
          <w:tblHeader/>
          <w:jc w:val="center"/>
        </w:trPr>
        <w:tc>
          <w:tcPr>
            <w:tcW w:w="329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项目</w:t>
            </w:r>
          </w:p>
        </w:tc>
        <w:tc>
          <w:tcPr>
            <w:tcW w:w="262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年末数</w:t>
            </w:r>
          </w:p>
        </w:tc>
        <w:tc>
          <w:tcPr>
            <w:tcW w:w="2608"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295" w:type="dxa"/>
            <w:tcBorders>
              <w:top w:val="single" w:color="auto" w:sz="4" w:space="0"/>
              <w:left w:val="nil"/>
              <w:right w:val="nil"/>
            </w:tcBorders>
            <w:shd w:val="clear" w:color="FFFFFF" w:fill="FFFFFF"/>
            <w:vAlign w:val="center"/>
          </w:tcPr>
          <w:p>
            <w:pPr>
              <w:jc w:val="center"/>
              <w:rPr>
                <w:b/>
                <w:bCs/>
                <w:sz w:val="20"/>
                <w:szCs w:val="20"/>
              </w:rPr>
            </w:pPr>
          </w:p>
        </w:tc>
        <w:tc>
          <w:tcPr>
            <w:tcW w:w="2625" w:type="dxa"/>
            <w:tcBorders>
              <w:top w:val="single" w:color="auto" w:sz="4" w:space="0"/>
              <w:left w:val="nil"/>
              <w:right w:val="nil"/>
            </w:tcBorders>
            <w:shd w:val="clear" w:color="FFFFFF" w:fill="FFFFFF"/>
            <w:vAlign w:val="center"/>
          </w:tcPr>
          <w:p>
            <w:pPr>
              <w:jc w:val="center"/>
              <w:rPr>
                <w:b/>
                <w:bCs/>
                <w:sz w:val="20"/>
                <w:szCs w:val="20"/>
              </w:rPr>
            </w:pPr>
          </w:p>
        </w:tc>
        <w:tc>
          <w:tcPr>
            <w:tcW w:w="2608" w:type="dxa"/>
            <w:tcBorders>
              <w:top w:val="single" w:color="auto" w:sz="4" w:space="0"/>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20" w:hRule="exact"/>
          <w:tblHeader/>
          <w:jc w:val="center"/>
        </w:trPr>
        <w:tc>
          <w:tcPr>
            <w:tcW w:w="3295" w:type="dxa"/>
            <w:tcBorders>
              <w:left w:val="nil"/>
              <w:right w:val="nil"/>
            </w:tcBorders>
            <w:shd w:val="clear" w:color="FFFFFF" w:fill="FFFFFF"/>
            <w:vAlign w:val="center"/>
          </w:tcPr>
          <w:p>
            <w:pPr>
              <w:jc w:val="center"/>
              <w:rPr>
                <w:b/>
                <w:bCs/>
                <w:sz w:val="20"/>
                <w:szCs w:val="20"/>
              </w:rPr>
            </w:pPr>
          </w:p>
        </w:tc>
        <w:tc>
          <w:tcPr>
            <w:tcW w:w="2625" w:type="dxa"/>
            <w:tcBorders>
              <w:left w:val="nil"/>
              <w:right w:val="nil"/>
            </w:tcBorders>
            <w:shd w:val="clear" w:color="FFFFFF" w:fill="FFFFFF"/>
            <w:vAlign w:val="center"/>
          </w:tcPr>
          <w:p>
            <w:pPr>
              <w:jc w:val="center"/>
              <w:rPr>
                <w:b/>
                <w:bCs/>
                <w:sz w:val="20"/>
                <w:szCs w:val="20"/>
              </w:rPr>
            </w:pPr>
          </w:p>
        </w:tc>
        <w:tc>
          <w:tcPr>
            <w:tcW w:w="2608" w:type="dxa"/>
            <w:tcBorders>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库存现金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银行存款</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663.81</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456.78</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其他货币资金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295" w:type="dxa"/>
            <w:tcBorders>
              <w:top w:val="single" w:color="auto" w:sz="4" w:space="0"/>
              <w:left w:val="nil"/>
              <w:bottom w:val="single" w:color="auto" w:sz="4" w:space="0"/>
              <w:right w:val="nil"/>
            </w:tcBorders>
            <w:shd w:val="clear" w:color="FFFFFF" w:fill="FFFFFF"/>
            <w:vAlign w:val="center"/>
          </w:tcPr>
          <w:p>
            <w:pPr>
              <w:pageBreakBefore w:val="0"/>
              <w:ind w:firstLine="100" w:firstLineChars="50"/>
              <w:jc w:val="center"/>
              <w:textAlignment w:val="auto"/>
            </w:pPr>
            <w:r>
              <w:rPr>
                <w:b/>
                <w:i w:val="0"/>
                <w:color w:val="000000"/>
                <w:position w:val="-1"/>
                <w:sz w:val="20"/>
                <w:u w:val="none"/>
              </w:rPr>
              <w:t>合计</w:t>
            </w:r>
          </w:p>
        </w:tc>
        <w:tc>
          <w:tcPr>
            <w:tcW w:w="2625"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663.81</w:t>
            </w:r>
          </w:p>
        </w:tc>
        <w:tc>
          <w:tcPr>
            <w:tcW w:w="2608"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456.78</w:t>
            </w:r>
          </w:p>
        </w:tc>
      </w:tr>
    </w:tbl>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2</w:t>
      </w:r>
      <w:r>
        <w:rPr>
          <w:rFonts w:hint="eastAsia" w:ascii="宋体" w:hAnsi="宋体" w:eastAsia="宋体"/>
        </w:rPr>
        <w:t>）应收账款净额明细信息如下：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w:t>
            </w:r>
          </w:p>
          <w:p>
            <w:pPr>
              <w:jc w:val="center"/>
              <w:rPr>
                <w:sz w:val="22"/>
                <w:szCs w:val="22"/>
              </w:rPr>
            </w:pPr>
            <w:r>
              <w:rPr>
                <w:rFonts w:ascii="宋体" w:hAnsi="宋体" w:eastAsia="宋体" w:cs="宋体"/>
                <w:sz w:val="22"/>
              </w:rPr>
              <w:t>附表2为空表（略）</w:t>
            </w:r>
          </w:p>
        </w:tc>
      </w:tr>
    </w:tbl>
    <w:p>
      <w:pPr>
        <w:spacing w:line="20" w:lineRule="exact"/>
        <w:jc w:val="right"/>
        <w:rPr>
          <w:color w:val="000000"/>
          <w:sz w:val="20"/>
          <w:szCs w:val="20"/>
        </w:rPr>
      </w:pPr>
    </w:p>
    <w:p>
      <w:pPr>
        <w:pStyle w:val="144"/>
        <w:rPr>
          <w:lang w:eastAsia="zh-CN"/>
        </w:rPr>
      </w:pPr>
    </w:p>
    <w:p>
      <w:pPr>
        <w:pStyle w:val="144"/>
        <w:rPr>
          <w:rFonts w:ascii="宋体" w:hAnsi="宋体" w:eastAsia="宋体"/>
          <w:lang w:eastAsia="zh-CN"/>
        </w:rPr>
      </w:pPr>
      <w:r>
        <w:rPr>
          <w:rFonts w:hint="eastAsia"/>
          <w:lang w:eastAsia="zh-CN"/>
        </w:rPr>
        <w:t xml:space="preserve"> </w:t>
      </w: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3</w:t>
      </w:r>
      <w:r>
        <w:rPr>
          <w:rFonts w:hint="eastAsia" w:ascii="宋体" w:hAnsi="宋体" w:eastAsia="宋体"/>
        </w:rPr>
        <w:t>）预付账款明细信息如下：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附表3</w:t>
            </w:r>
          </w:p>
          <w:p>
            <w:pPr>
              <w:jc w:val="center"/>
              <w:rPr>
                <w:sz w:val="22"/>
                <w:szCs w:val="22"/>
              </w:rPr>
            </w:pPr>
            <w:r>
              <w:rPr>
                <w:rFonts w:ascii="宋体" w:hAnsi="宋体" w:eastAsia="宋体" w:cs="宋体"/>
                <w:sz w:val="22"/>
              </w:rPr>
              <w:t>附表3为空表（略）</w:t>
            </w:r>
          </w:p>
        </w:tc>
      </w:tr>
    </w:tbl>
    <w:p>
      <w:pPr>
        <w:spacing w:line="20" w:lineRule="exact"/>
        <w:jc w:val="right"/>
        <w:rPr>
          <w:color w:val="000000"/>
          <w:sz w:val="20"/>
          <w:szCs w:val="20"/>
        </w:rPr>
      </w:pPr>
    </w:p>
    <w:p>
      <w:pPr>
        <w:rPr>
          <w:color w:val="000000"/>
          <w:sz w:val="22"/>
          <w:szCs w:val="22"/>
        </w:rPr>
      </w:pPr>
    </w:p>
    <w:p>
      <w:pPr>
        <w:rPr>
          <w:color w:val="000000"/>
          <w:sz w:val="22"/>
          <w:szCs w:val="22"/>
        </w:rPr>
      </w:pPr>
    </w:p>
    <w:p>
      <w:pPr>
        <w:rPr>
          <w:color w:val="000000"/>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4</w:t>
      </w:r>
      <w:r>
        <w:rPr>
          <w:rFonts w:hint="eastAsia" w:ascii="宋体" w:hAnsi="宋体" w:eastAsia="宋体"/>
        </w:rPr>
        <w:t>）其他应收款净额明细信息如下：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附表4</w:t>
            </w:r>
          </w:p>
          <w:p>
            <w:pPr>
              <w:jc w:val="center"/>
              <w:rPr>
                <w:sz w:val="22"/>
                <w:szCs w:val="22"/>
              </w:rPr>
            </w:pPr>
            <w:r>
              <w:rPr>
                <w:rFonts w:ascii="宋体" w:hAnsi="宋体" w:eastAsia="宋体" w:cs="宋体"/>
                <w:sz w:val="22"/>
              </w:rPr>
              <w:t>附表4为空表（略）</w:t>
            </w:r>
          </w:p>
        </w:tc>
      </w:tr>
    </w:tbl>
    <w:p>
      <w:pPr>
        <w:spacing w:line="20" w:lineRule="exact"/>
        <w:ind w:right="800"/>
        <w:rPr>
          <w:color w:val="000000"/>
          <w:sz w:val="20"/>
          <w:szCs w:val="20"/>
        </w:rPr>
      </w:pPr>
    </w:p>
    <w:p>
      <w:pPr>
        <w:pStyle w:val="144"/>
        <w:rPr>
          <w:rFonts w:ascii="宋体" w:hAnsi="宋体" w:eastAsia="宋体"/>
          <w:lang w:eastAsia="zh-CN"/>
        </w:rPr>
      </w:pP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0" w:firstLineChars="0"/>
        <w:outlineLvl w:val="4"/>
        <w:sectPr>
          <w:pgSz w:w="11906" w:h="16838"/>
          <w:pgMar w:top="1440" w:right="1797" w:bottom="1440" w:left="1797" w:header="851" w:footer="992" w:gutter="0"/>
          <w:cols w:space="425" w:num="1"/>
          <w:docGrid w:type="lines" w:linePitch="326" w:charSpace="0"/>
        </w:sect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5</w:t>
      </w:r>
      <w:r>
        <w:rPr>
          <w:rFonts w:hint="eastAsia" w:ascii="宋体" w:hAnsi="宋体" w:eastAsia="宋体"/>
        </w:rPr>
        <w:t>）长期投资及投资收益明细信息如下：</w:t>
      </w:r>
    </w:p>
    <w:tbl>
      <w:tblPr>
        <w:tblStyle w:val="34"/>
        <w:tblW w:w="12465" w:type="dxa"/>
        <w:jc w:val="center"/>
        <w:tblLayout w:type="fixed"/>
        <w:tblCellMar>
          <w:top w:w="0" w:type="dxa"/>
          <w:left w:w="108" w:type="dxa"/>
          <w:bottom w:w="0" w:type="dxa"/>
          <w:right w:w="108" w:type="dxa"/>
        </w:tblCellMar>
      </w:tblPr>
      <w:tblGrid>
        <w:gridCol w:w="12465"/>
      </w:tblGrid>
      <w:tr>
        <w:tblPrEx>
          <w:tblCellMar>
            <w:top w:w="0" w:type="dxa"/>
            <w:left w:w="108" w:type="dxa"/>
            <w:bottom w:w="0" w:type="dxa"/>
            <w:right w:w="108" w:type="dxa"/>
          </w:tblCellMar>
        </w:tblPrEx>
        <w:trPr>
          <w:trHeight w:val="794" w:hRule="exact"/>
          <w:jc w:val="center"/>
        </w:trPr>
        <w:tc>
          <w:tcPr>
            <w:tcW w:w="12465" w:type="dxa"/>
            <w:tcBorders>
              <w:top w:val="nil"/>
              <w:left w:val="nil"/>
              <w:bottom w:val="nil"/>
              <w:right w:val="nil"/>
            </w:tcBorders>
            <w:shd w:val="clear" w:color="FFFFFF" w:fill="FFFFFF"/>
            <w:vAlign w:val="center"/>
          </w:tcPr>
          <w:p>
            <w:pPr>
              <w:rPr>
                <w:sz w:val="22"/>
                <w:szCs w:val="22"/>
              </w:rPr>
            </w:pPr>
            <w:r>
              <w:rPr>
                <w:rFonts w:hint="eastAsia"/>
                <w:sz w:val="22"/>
                <w:szCs w:val="22"/>
              </w:rPr>
              <w:t>附表5</w:t>
            </w:r>
          </w:p>
          <w:p>
            <w:pPr>
              <w:jc w:val="center"/>
              <w:rPr>
                <w:sz w:val="22"/>
                <w:szCs w:val="22"/>
              </w:rPr>
            </w:pPr>
            <w:r>
              <w:rPr>
                <w:rFonts w:ascii="宋体" w:hAnsi="宋体" w:eastAsia="宋体" w:cs="宋体"/>
                <w:sz w:val="22"/>
              </w:rPr>
              <w:t>附表5为空表（略）</w:t>
            </w:r>
          </w:p>
        </w:tc>
      </w:tr>
    </w:tbl>
    <w:p>
      <w:pPr>
        <w:spacing w:line="20" w:lineRule="exact"/>
        <w:jc w:val="right"/>
        <w:rPr>
          <w:b/>
          <w:bCs/>
          <w:sz w:val="20"/>
          <w:szCs w:val="20"/>
        </w:rPr>
      </w:pPr>
    </w:p>
    <w:p>
      <w:pPr>
        <w:rPr>
          <w:color w:val="FF0000"/>
          <w:sz w:val="22"/>
          <w:szCs w:val="22"/>
        </w:rPr>
      </w:pPr>
    </w:p>
    <w:p>
      <w:pPr>
        <w:pStyle w:val="110"/>
        <w:ind w:firstLine="600"/>
      </w:pPr>
    </w:p>
    <w:p>
      <w:pPr>
        <w:pStyle w:val="110"/>
        <w:ind w:firstLine="600"/>
        <w:jc w:val="right"/>
        <w:outlineLvl w:val="4"/>
        <w:sectPr>
          <w:pgSz w:w="16838" w:h="11906" w:orient="landscape"/>
          <w:pgMar w:top="1797" w:right="1440" w:bottom="1797" w:left="1440" w:header="851" w:footer="992" w:gutter="0"/>
          <w:cols w:space="425" w:num="1"/>
          <w:docGrid w:type="lines" w:linePitch="326" w:charSpace="0"/>
        </w:sectPr>
      </w:pPr>
    </w:p>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6</w:t>
      </w:r>
      <w:r>
        <w:rPr>
          <w:rFonts w:hint="eastAsia" w:ascii="宋体" w:hAnsi="宋体" w:eastAsia="宋体"/>
        </w:rPr>
        <w:t>）固定资产明细信息如下：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附表6</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固定资产明细表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4"/>
        <w:tblW w:w="9607" w:type="dxa"/>
        <w:jc w:val="center"/>
        <w:tblLayout w:type="fixed"/>
        <w:tblCellMar>
          <w:top w:w="0" w:type="dxa"/>
          <w:left w:w="108" w:type="dxa"/>
          <w:bottom w:w="0" w:type="dxa"/>
          <w:right w:w="108" w:type="dxa"/>
        </w:tblCellMar>
      </w:tblPr>
      <w:tblGrid>
        <w:gridCol w:w="3545"/>
        <w:gridCol w:w="1908"/>
        <w:gridCol w:w="1166"/>
        <w:gridCol w:w="1222"/>
        <w:gridCol w:w="1766"/>
      </w:tblGrid>
      <w:tr>
        <w:tblPrEx>
          <w:tblCellMar>
            <w:top w:w="0" w:type="dxa"/>
            <w:left w:w="108" w:type="dxa"/>
            <w:bottom w:w="0" w:type="dxa"/>
            <w:right w:w="108" w:type="dxa"/>
          </w:tblCellMar>
        </w:tblPrEx>
        <w:trPr>
          <w:trHeight w:val="397" w:hRule="atLeast"/>
          <w:tblHeader/>
          <w:jc w:val="center"/>
        </w:trPr>
        <w:tc>
          <w:tcPr>
            <w:tcW w:w="354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908"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年初数</w:t>
            </w:r>
          </w:p>
        </w:tc>
        <w:tc>
          <w:tcPr>
            <w:tcW w:w="11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本年增加</w:t>
            </w:r>
          </w:p>
        </w:tc>
        <w:tc>
          <w:tcPr>
            <w:tcW w:w="1222"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本年减少</w:t>
            </w:r>
          </w:p>
        </w:tc>
        <w:tc>
          <w:tcPr>
            <w:tcW w:w="17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年末数</w:t>
            </w:r>
          </w:p>
        </w:tc>
      </w:tr>
      <w:tr>
        <w:tblPrEx>
          <w:tblCellMar>
            <w:top w:w="0" w:type="dxa"/>
            <w:left w:w="108" w:type="dxa"/>
            <w:bottom w:w="0" w:type="dxa"/>
            <w:right w:w="108" w:type="dxa"/>
          </w:tblCellMar>
        </w:tblPrEx>
        <w:trPr>
          <w:trHeight w:val="20" w:hRule="exact"/>
          <w:tblHeader/>
          <w:jc w:val="center"/>
        </w:trPr>
        <w:tc>
          <w:tcPr>
            <w:tcW w:w="3545" w:type="dxa"/>
            <w:tcBorders>
              <w:top w:val="single" w:color="auto" w:sz="4" w:space="0"/>
            </w:tcBorders>
            <w:shd w:val="clear" w:color="FFFFFF" w:fill="FFFFFF"/>
            <w:vAlign w:val="center"/>
          </w:tcPr>
          <w:p>
            <w:pPr>
              <w:jc w:val="center"/>
              <w:rPr>
                <w:b/>
                <w:bCs/>
                <w:sz w:val="20"/>
                <w:szCs w:val="20"/>
              </w:rPr>
            </w:pPr>
          </w:p>
        </w:tc>
        <w:tc>
          <w:tcPr>
            <w:tcW w:w="1908" w:type="dxa"/>
            <w:tcBorders>
              <w:top w:val="single" w:color="auto" w:sz="4" w:space="0"/>
            </w:tcBorders>
            <w:shd w:val="clear" w:color="FFFFFF" w:fill="FFFFFF"/>
            <w:vAlign w:val="center"/>
          </w:tcPr>
          <w:p>
            <w:pPr>
              <w:jc w:val="center"/>
              <w:rPr>
                <w:b/>
                <w:bCs/>
                <w:sz w:val="20"/>
                <w:szCs w:val="20"/>
              </w:rPr>
            </w:pPr>
          </w:p>
        </w:tc>
        <w:tc>
          <w:tcPr>
            <w:tcW w:w="1166" w:type="dxa"/>
            <w:tcBorders>
              <w:top w:val="single" w:color="auto" w:sz="4" w:space="0"/>
            </w:tcBorders>
            <w:shd w:val="clear" w:color="FFFFFF" w:fill="FFFFFF"/>
            <w:vAlign w:val="center"/>
          </w:tcPr>
          <w:p>
            <w:pPr>
              <w:jc w:val="center"/>
              <w:rPr>
                <w:b/>
                <w:bCs/>
                <w:sz w:val="20"/>
                <w:szCs w:val="20"/>
              </w:rPr>
            </w:pPr>
          </w:p>
        </w:tc>
        <w:tc>
          <w:tcPr>
            <w:tcW w:w="1222" w:type="dxa"/>
            <w:tcBorders>
              <w:top w:val="single" w:color="auto" w:sz="4" w:space="0"/>
            </w:tcBorders>
            <w:shd w:val="clear" w:color="FFFFFF" w:fill="FFFFFF"/>
            <w:vAlign w:val="center"/>
          </w:tcPr>
          <w:p>
            <w:pPr>
              <w:jc w:val="center"/>
              <w:rPr>
                <w:b/>
                <w:bCs/>
                <w:sz w:val="20"/>
                <w:szCs w:val="20"/>
              </w:rPr>
            </w:pPr>
          </w:p>
        </w:tc>
        <w:tc>
          <w:tcPr>
            <w:tcW w:w="1766"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i w:val="0"/>
                <w:color w:val="000000"/>
                <w:position w:val="-1"/>
                <w:sz w:val="20"/>
                <w:u w:val="none"/>
              </w:rPr>
              <w:t>原值合计</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504.72</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13.73</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518.45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240.60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240.60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191.14</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4.84</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195.98</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49.48</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5.49</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54.97</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23.50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26.90</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累计折旧合计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244.73</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16.09</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260.82</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62.56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4.81</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67.37</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157.83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7.03</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164.86</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15.03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2.75</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17.78</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9.31</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1.50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10.81</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净值合计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259.99</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13.73</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16.09</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257.63</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178.04</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4.81</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173.23</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33.31</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4.84</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7.03</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31.12</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34.45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5.49</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2.75</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37.19</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545" w:type="dxa"/>
            <w:tcBorders>
              <w:bottom w:val="single" w:color="auto" w:sz="4" w:space="0"/>
            </w:tcBorders>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14.19</w:t>
            </w:r>
          </w:p>
        </w:tc>
        <w:tc>
          <w:tcPr>
            <w:tcW w:w="11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3.40</w:t>
            </w:r>
          </w:p>
        </w:tc>
        <w:tc>
          <w:tcPr>
            <w:tcW w:w="1222"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1.50</w:t>
            </w:r>
          </w:p>
        </w:tc>
        <w:tc>
          <w:tcPr>
            <w:tcW w:w="17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16.09</w:t>
            </w:r>
          </w:p>
        </w:tc>
      </w:tr>
    </w:tbl>
    <w:p/>
    <w:p>
      <w:pPr>
        <w:pStyle w:val="110"/>
        <w:ind w:firstLine="600"/>
        <w:outlineLvl w:val="3"/>
        <w:rPr>
          <w:rFonts w:ascii="宋体" w:hAnsi="宋体" w:eastAsia="宋体"/>
        </w:rPr>
      </w:pPr>
      <w:r>
        <w:rPr>
          <w:rFonts w:hint="eastAsia" w:ascii="宋体" w:hAnsi="宋体" w:eastAsia="宋体"/>
        </w:rPr>
        <w:t>（7）在建工程明细信息如下：</w:t>
      </w:r>
    </w:p>
    <w:tbl>
      <w:tblPr>
        <w:tblStyle w:val="34"/>
        <w:tblW w:w="8528" w:type="dxa"/>
        <w:jc w:val="center"/>
        <w:tblLayout w:type="fixed"/>
        <w:tblCellMar>
          <w:top w:w="0" w:type="dxa"/>
          <w:left w:w="108" w:type="dxa"/>
          <w:bottom w:w="0" w:type="dxa"/>
          <w:right w:w="108" w:type="dxa"/>
        </w:tblCellMar>
      </w:tblPr>
      <w:tblGrid>
        <w:gridCol w:w="8528"/>
      </w:tblGrid>
      <w:tr>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附表7</w:t>
            </w:r>
          </w:p>
          <w:p>
            <w:pPr>
              <w:jc w:val="center"/>
              <w:rPr>
                <w:sz w:val="22"/>
                <w:szCs w:val="22"/>
              </w:rPr>
            </w:pPr>
            <w:r>
              <w:rPr>
                <w:rFonts w:ascii="宋体" w:hAnsi="宋体" w:eastAsia="宋体" w:cs="宋体"/>
                <w:sz w:val="22"/>
              </w:rPr>
              <w:t>附表7为空表（略）</w:t>
            </w:r>
          </w:p>
        </w:tc>
      </w:tr>
    </w:tbl>
    <w:p>
      <w:pPr>
        <w:spacing w:line="20" w:lineRule="exact"/>
        <w:jc w:val="right"/>
        <w:rPr>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（8）无形资产明细信息如下：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附表8</w:t>
            </w:r>
          </w:p>
          <w:p>
            <w:pPr>
              <w:jc w:val="center"/>
              <w:rPr>
                <w:sz w:val="22"/>
                <w:szCs w:val="22"/>
              </w:rPr>
            </w:pPr>
            <w:r>
              <w:rPr>
                <w:rFonts w:ascii="宋体" w:hAnsi="宋体" w:eastAsia="宋体" w:cs="宋体"/>
                <w:sz w:val="22"/>
              </w:rPr>
              <w:t>附表8为空表（略）</w:t>
            </w:r>
          </w:p>
        </w:tc>
      </w:tr>
    </w:tbl>
    <w:p>
      <w:pPr>
        <w:spacing w:line="20" w:lineRule="exact"/>
        <w:jc w:val="right"/>
        <w:rPr>
          <w:sz w:val="20"/>
          <w:szCs w:val="20"/>
        </w:rPr>
      </w:pPr>
    </w:p>
    <w:p>
      <w:bookmarkStart w:id="67" w:name="RANGE!A1:D22"/>
      <w:bookmarkEnd w:id="67"/>
    </w:p>
    <w:p>
      <w:pPr>
        <w:pStyle w:val="110"/>
        <w:ind w:firstLine="600"/>
        <w:outlineLvl w:val="3"/>
        <w:rPr>
          <w:rFonts w:ascii="宋体" w:hAnsi="宋体" w:eastAsia="宋体"/>
        </w:rPr>
      </w:pPr>
      <w:r>
        <w:rPr>
          <w:rFonts w:hint="eastAsia" w:ascii="宋体" w:hAnsi="宋体" w:eastAsia="宋体"/>
        </w:rPr>
        <w:t>（9）公共基础设施明细信息如下：</w:t>
      </w:r>
    </w:p>
    <w:tbl>
      <w:tblPr>
        <w:tblStyle w:val="34"/>
        <w:tblW w:w="8528" w:type="dxa"/>
        <w:jc w:val="center"/>
        <w:tblLayout w:type="fixed"/>
        <w:tblCellMar>
          <w:top w:w="0" w:type="dxa"/>
          <w:left w:w="108" w:type="dxa"/>
          <w:bottom w:w="0" w:type="dxa"/>
          <w:right w:w="108" w:type="dxa"/>
        </w:tblCellMar>
      </w:tblPr>
      <w:tblGrid>
        <w:gridCol w:w="8528"/>
      </w:tblGrid>
      <w:tr>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-1</w:t>
            </w:r>
          </w:p>
          <w:p>
            <w:pPr>
              <w:jc w:val="center"/>
              <w:rPr>
                <w:sz w:val="22"/>
                <w:szCs w:val="22"/>
              </w:rPr>
            </w:pPr>
            <w:r>
              <w:rPr>
                <w:rFonts w:ascii="宋体" w:hAnsi="宋体" w:eastAsia="宋体" w:cs="宋体"/>
                <w:sz w:val="22"/>
              </w:rPr>
              <w:t>附表9-1为空表（略）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-2</w:t>
            </w:r>
          </w:p>
          <w:p>
            <w:pPr>
              <w:jc w:val="center"/>
              <w:rPr>
                <w:sz w:val="22"/>
                <w:szCs w:val="22"/>
              </w:rPr>
            </w:pPr>
            <w:r>
              <w:rPr>
                <w:rFonts w:ascii="宋体" w:hAnsi="宋体" w:eastAsia="宋体" w:cs="宋体"/>
                <w:sz w:val="22"/>
              </w:rPr>
              <w:t>附表9-2为空表（略）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-3</w:t>
            </w:r>
          </w:p>
          <w:p>
            <w:pPr>
              <w:jc w:val="center"/>
              <w:rPr>
                <w:sz w:val="22"/>
                <w:szCs w:val="22"/>
              </w:rPr>
            </w:pPr>
            <w:r>
              <w:rPr>
                <w:rFonts w:ascii="宋体" w:hAnsi="宋体" w:eastAsia="宋体" w:cs="宋体"/>
                <w:sz w:val="22"/>
              </w:rPr>
              <w:t>附表9-3为空表（略）</w:t>
            </w:r>
          </w:p>
        </w:tc>
      </w:tr>
    </w:tbl>
    <w:p>
      <w:pPr>
        <w:spacing w:line="20" w:lineRule="exact"/>
        <w:jc w:val="right"/>
        <w:rPr>
          <w:b/>
          <w:sz w:val="20"/>
          <w:szCs w:val="20"/>
        </w:rPr>
      </w:pPr>
    </w:p>
    <w:p/>
    <w:p>
      <w:pPr>
        <w:pStyle w:val="110"/>
        <w:ind w:firstLine="600"/>
        <w:outlineLvl w:val="3"/>
        <w:rPr>
          <w:rFonts w:ascii="宋体" w:hAnsi="宋体" w:eastAsia="宋体"/>
        </w:rPr>
      </w:pPr>
      <w:r>
        <w:rPr>
          <w:rFonts w:hint="eastAsia" w:ascii="宋体" w:hAnsi="宋体" w:eastAsia="宋体"/>
        </w:rPr>
        <w:t>（10）政府储备物资明细信息如下：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附表10</w:t>
            </w:r>
          </w:p>
          <w:p>
            <w:pPr>
              <w:jc w:val="center"/>
              <w:rPr>
                <w:sz w:val="22"/>
                <w:szCs w:val="22"/>
              </w:rPr>
            </w:pPr>
            <w:r>
              <w:rPr>
                <w:rFonts w:ascii="宋体" w:hAnsi="宋体" w:eastAsia="宋体" w:cs="宋体"/>
                <w:sz w:val="22"/>
              </w:rPr>
              <w:t>附表10为空表（略）</w:t>
            </w:r>
          </w:p>
        </w:tc>
      </w:tr>
    </w:tbl>
    <w:p>
      <w:pPr>
        <w:spacing w:line="20" w:lineRule="exact"/>
        <w:jc w:val="right"/>
        <w:rPr>
          <w:b/>
          <w:sz w:val="20"/>
          <w:szCs w:val="20"/>
        </w:rPr>
      </w:pPr>
    </w:p>
    <w:p/>
    <w:p/>
    <w:p>
      <w:pPr>
        <w:pStyle w:val="110"/>
        <w:ind w:firstLine="600"/>
        <w:outlineLvl w:val="3"/>
        <w:rPr>
          <w:rFonts w:ascii="宋体" w:hAnsi="宋体" w:eastAsia="宋体"/>
        </w:rPr>
      </w:pPr>
      <w:r>
        <w:rPr>
          <w:rFonts w:hint="eastAsia" w:ascii="宋体" w:hAnsi="宋体" w:eastAsia="宋体"/>
        </w:rPr>
        <w:t>（11）保障性住房明细信息如下：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1</w:t>
            </w:r>
          </w:p>
          <w:p>
            <w:pPr>
              <w:jc w:val="center"/>
              <w:rPr>
                <w:sz w:val="22"/>
                <w:szCs w:val="22"/>
              </w:rPr>
            </w:pPr>
            <w:r>
              <w:rPr>
                <w:rFonts w:ascii="宋体" w:hAnsi="宋体" w:eastAsia="宋体" w:cs="宋体"/>
                <w:sz w:val="22"/>
              </w:rPr>
              <w:t>附表11为空表（略）</w:t>
            </w:r>
          </w:p>
        </w:tc>
      </w:tr>
    </w:tbl>
    <w:p>
      <w:pPr>
        <w:spacing w:line="20" w:lineRule="exact"/>
        <w:jc w:val="right"/>
        <w:rPr>
          <w:b/>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（12）应付账款明细信息如下：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2</w:t>
            </w:r>
          </w:p>
          <w:p>
            <w:pPr>
              <w:jc w:val="center"/>
              <w:rPr>
                <w:sz w:val="22"/>
                <w:szCs w:val="22"/>
              </w:rPr>
            </w:pPr>
            <w:r>
              <w:rPr>
                <w:rFonts w:ascii="宋体" w:hAnsi="宋体" w:eastAsia="宋体" w:cs="宋体"/>
                <w:sz w:val="22"/>
              </w:rPr>
              <w:t>附表12为空表（略）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3）预收账款明细信息如下：</w:t>
      </w:r>
    </w:p>
    <w:tbl>
      <w:tblPr>
        <w:tblStyle w:val="34"/>
        <w:tblW w:w="8528" w:type="dxa"/>
        <w:jc w:val="center"/>
        <w:tblLayout w:type="fixed"/>
        <w:tblCellMar>
          <w:top w:w="0" w:type="dxa"/>
          <w:left w:w="108" w:type="dxa"/>
          <w:bottom w:w="0" w:type="dxa"/>
          <w:right w:w="108" w:type="dxa"/>
        </w:tblCellMar>
      </w:tblPr>
      <w:tblGrid>
        <w:gridCol w:w="8528"/>
      </w:tblGrid>
      <w:tr>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3</w:t>
            </w:r>
          </w:p>
          <w:p>
            <w:pPr>
              <w:jc w:val="center"/>
              <w:rPr>
                <w:sz w:val="22"/>
                <w:szCs w:val="22"/>
              </w:rPr>
            </w:pPr>
            <w:r>
              <w:rPr>
                <w:rFonts w:ascii="宋体" w:hAnsi="宋体" w:eastAsia="宋体" w:cs="宋体"/>
                <w:sz w:val="22"/>
              </w:rPr>
              <w:t>附表13为空表（略）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4）其他应付款明细信息如下：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4</w:t>
            </w:r>
          </w:p>
          <w:p>
            <w:pPr>
              <w:jc w:val="center"/>
              <w:rPr>
                <w:sz w:val="22"/>
                <w:szCs w:val="22"/>
              </w:rPr>
            </w:pPr>
            <w:r>
              <w:rPr>
                <w:rFonts w:ascii="宋体" w:hAnsi="宋体" w:eastAsia="宋体" w:cs="宋体"/>
                <w:sz w:val="22"/>
              </w:rPr>
              <w:t>附表14为空表（略）</w:t>
            </w:r>
          </w:p>
        </w:tc>
      </w:tr>
    </w:tbl>
    <w:p>
      <w:pPr>
        <w:spacing w:line="20" w:lineRule="exact"/>
        <w:jc w:val="right"/>
        <w:rPr>
          <w:sz w:val="20"/>
          <w:szCs w:val="20"/>
        </w:rPr>
      </w:pPr>
    </w:p>
    <w:p>
      <w:pPr>
        <w:rPr>
          <w:sz w:val="22"/>
          <w:szCs w:val="22"/>
        </w:rPr>
      </w:pPr>
      <w:r>
        <w:rPr>
          <w:rFonts w:hint="eastAsia"/>
          <w:sz w:val="20"/>
          <w:szCs w:val="20"/>
        </w:rPr>
        <w:t>注：“应付同级财政”主要包括预拨经费、向同级财政部门借入的款项</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5）长期借款明细信息如下：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1</w:t>
            </w:r>
          </w:p>
          <w:p>
            <w:pPr>
              <w:jc w:val="center"/>
              <w:rPr>
                <w:sz w:val="22"/>
                <w:szCs w:val="22"/>
              </w:rPr>
            </w:pPr>
            <w:r>
              <w:rPr>
                <w:rFonts w:ascii="宋体" w:hAnsi="宋体" w:eastAsia="宋体" w:cs="宋体"/>
                <w:sz w:val="22"/>
              </w:rPr>
              <w:t>附表15-1为空表（略）</w:t>
            </w:r>
          </w:p>
        </w:tc>
      </w:tr>
    </w:tbl>
    <w:p>
      <w:pPr>
        <w:spacing w:line="20" w:lineRule="exact"/>
        <w:jc w:val="right"/>
        <w:rPr>
          <w:sz w:val="20"/>
          <w:szCs w:val="20"/>
        </w:rPr>
      </w:pPr>
    </w:p>
    <w:p>
      <w:pPr>
        <w:pStyle w:val="110"/>
        <w:ind w:firstLine="600"/>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2</w:t>
            </w:r>
          </w:p>
          <w:p>
            <w:pPr>
              <w:jc w:val="center"/>
              <w:rPr>
                <w:sz w:val="22"/>
                <w:szCs w:val="22"/>
              </w:rPr>
            </w:pPr>
            <w:r>
              <w:rPr>
                <w:rFonts w:ascii="宋体" w:hAnsi="宋体" w:eastAsia="宋体" w:cs="宋体"/>
                <w:sz w:val="22"/>
              </w:rPr>
              <w:t>附表15-2为空表（略）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6）长期应付款明细信息如下：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6</w:t>
            </w:r>
          </w:p>
          <w:p>
            <w:pPr>
              <w:jc w:val="center"/>
              <w:rPr>
                <w:sz w:val="22"/>
                <w:szCs w:val="22"/>
              </w:rPr>
            </w:pPr>
            <w:r>
              <w:rPr>
                <w:rFonts w:ascii="宋体" w:hAnsi="宋体" w:eastAsia="宋体" w:cs="宋体"/>
                <w:sz w:val="22"/>
              </w:rPr>
              <w:t>附表16为空表（略）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7）事业收入明细信息如下：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7</w:t>
            </w:r>
          </w:p>
          <w:p>
            <w:pPr>
              <w:jc w:val="center"/>
              <w:rPr>
                <w:sz w:val="22"/>
                <w:szCs w:val="22"/>
              </w:rPr>
            </w:pPr>
            <w:r>
              <w:rPr>
                <w:rFonts w:ascii="宋体" w:hAnsi="宋体" w:eastAsia="宋体" w:cs="宋体"/>
                <w:sz w:val="22"/>
              </w:rPr>
              <w:t>附表17为空表（略）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8）经营收入明细信息如下：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8</w:t>
            </w:r>
          </w:p>
          <w:p>
            <w:pPr>
              <w:jc w:val="center"/>
              <w:rPr>
                <w:sz w:val="22"/>
                <w:szCs w:val="22"/>
              </w:rPr>
            </w:pPr>
            <w:r>
              <w:rPr>
                <w:rFonts w:ascii="宋体" w:hAnsi="宋体" w:eastAsia="宋体" w:cs="宋体"/>
                <w:sz w:val="22"/>
              </w:rPr>
              <w:t>附表18为空表（略）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（19）非同级财政拨款收入明细信息如下：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附表19</w:t>
            </w:r>
          </w:p>
          <w:p>
            <w:pPr>
              <w:jc w:val="center"/>
              <w:rPr>
                <w:sz w:val="22"/>
                <w:szCs w:val="22"/>
              </w:rPr>
            </w:pPr>
            <w:r>
              <w:rPr>
                <w:rFonts w:ascii="宋体" w:hAnsi="宋体" w:eastAsia="宋体" w:cs="宋体"/>
                <w:sz w:val="22"/>
              </w:rPr>
              <w:t>附表19为空表（略）</w:t>
            </w:r>
          </w:p>
        </w:tc>
      </w:tr>
    </w:tbl>
    <w:p>
      <w:pPr>
        <w:spacing w:line="20" w:lineRule="exact"/>
        <w:jc w:val="right"/>
        <w:rPr>
          <w:sz w:val="20"/>
          <w:szCs w:val="20"/>
        </w:rPr>
      </w:pPr>
    </w:p>
    <w:p>
      <w:r>
        <w:rPr>
          <w:sz w:val="22"/>
        </w:rPr>
        <w:t>注：“来自非同级财政”是指收到其他财政部门的拨款。</w:t>
      </w:r>
    </w:p>
    <w:p>
      <w:pPr>
        <w:pStyle w:val="110"/>
        <w:ind w:firstLine="600"/>
        <w:outlineLvl w:val="3"/>
        <w:rPr>
          <w:rFonts w:ascii="宋体" w:hAnsi="宋体" w:eastAsia="宋体"/>
        </w:rPr>
      </w:pPr>
      <w:r>
        <w:rPr>
          <w:rFonts w:hint="eastAsia" w:ascii="宋体" w:hAnsi="宋体" w:eastAsia="宋体"/>
        </w:rPr>
        <w:t>（20）其他收入明细信息如下：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附表20</w:t>
            </w:r>
          </w:p>
          <w:p>
            <w:pPr>
              <w:jc w:val="center"/>
              <w:rPr>
                <w:sz w:val="22"/>
                <w:szCs w:val="22"/>
              </w:rPr>
            </w:pPr>
            <w:r>
              <w:rPr>
                <w:rFonts w:ascii="宋体" w:hAnsi="宋体" w:eastAsia="宋体" w:cs="宋体"/>
                <w:sz w:val="22"/>
              </w:rPr>
              <w:t>附表20为空表（略）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（21）业务活动费用明细信息如下：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业务活动费用明细表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tabs>
          <w:tab w:val="left" w:pos="4242"/>
          <w:tab w:val="left" w:pos="6754"/>
        </w:tabs>
        <w:spacing w:line="20" w:lineRule="exact"/>
        <w:rPr>
          <w:b/>
          <w:bCs/>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227"/>
        <w:gridCol w:w="2458"/>
        <w:gridCol w:w="28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227" w:type="dxa"/>
            <w:tcBorders>
              <w:top w:val="single" w:color="auto" w:sz="4" w:space="0"/>
              <w:bottom w:val="single" w:color="auto" w:sz="4" w:space="0"/>
            </w:tcBorders>
            <w:shd w:val="clear" w:color="FFFFFF" w:fill="FFFFFF"/>
          </w:tcPr>
          <w:p>
            <w:pPr>
              <w:widowControl/>
              <w:jc w:val="center"/>
              <w:rPr>
                <w:b/>
                <w:bCs/>
                <w:sz w:val="20"/>
                <w:szCs w:val="20"/>
              </w:rPr>
            </w:pPr>
            <w:r>
              <w:rPr>
                <w:rFonts w:hint="eastAsia"/>
                <w:b/>
                <w:bCs/>
                <w:sz w:val="20"/>
                <w:szCs w:val="20"/>
              </w:rPr>
              <w:t>项目</w:t>
            </w:r>
          </w:p>
        </w:tc>
        <w:tc>
          <w:tcPr>
            <w:tcW w:w="2458"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本年数</w:t>
            </w:r>
          </w:p>
        </w:tc>
        <w:tc>
          <w:tcPr>
            <w:tcW w:w="2843"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上年数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3227" w:type="dxa"/>
            <w:tcBorders>
              <w:top w:val="single" w:color="auto" w:sz="4" w:space="0"/>
            </w:tcBorders>
            <w:shd w:val="clear" w:color="FFFFFF" w:fill="FFFFFF"/>
          </w:tcPr>
          <w:p>
            <w:pPr>
              <w:widowControl w:val="0"/>
              <w:jc w:val="both"/>
            </w:pPr>
          </w:p>
        </w:tc>
        <w:tc>
          <w:tcPr>
            <w:tcW w:w="2458" w:type="dxa"/>
            <w:tcBorders>
              <w:top w:val="single" w:color="auto" w:sz="4" w:space="0"/>
            </w:tcBorders>
            <w:shd w:val="clear" w:color="FFFFFF" w:fill="FFFFFF"/>
          </w:tcPr>
          <w:p>
            <w:pPr>
              <w:widowControl w:val="0"/>
              <w:jc w:val="both"/>
            </w:pPr>
          </w:p>
        </w:tc>
        <w:tc>
          <w:tcPr>
            <w:tcW w:w="2843" w:type="dxa"/>
            <w:tcBorders>
              <w:top w:val="single" w:color="auto" w:sz="4" w:space="0"/>
            </w:tcBorders>
            <w:shd w:val="clear" w:color="FFFFFF" w:fill="FFFFFF"/>
          </w:tcPr>
          <w:p>
            <w:pPr>
              <w:widowControl w:val="0"/>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工资和福利费用</w:t>
            </w:r>
          </w:p>
        </w:tc>
        <w:tc>
          <w:tcPr>
            <w:tcW w:w="2458" w:type="dxa"/>
            <w:shd w:val="clear" w:color="FFFFFF" w:fill="FFFFFF"/>
          </w:tcPr>
          <w:p>
            <w:pPr>
              <w:pageBreakBefore w:val="0"/>
              <w:widowControl w:val="0"/>
              <w:jc w:val="right"/>
              <w:textAlignment w:val="auto"/>
            </w:pPr>
            <w:r>
              <w:rPr>
                <w:b w:val="0"/>
                <w:i w:val="0"/>
                <w:color w:val="auto"/>
                <w:position w:val="-1"/>
                <w:sz w:val="20"/>
                <w:u w:val="none"/>
              </w:rPr>
              <w:t>581.53</w:t>
            </w:r>
          </w:p>
        </w:tc>
        <w:tc>
          <w:tcPr>
            <w:tcW w:w="2843" w:type="dxa"/>
            <w:shd w:val="clear" w:color="FFFFFF" w:fill="FFFFFF"/>
          </w:tcPr>
          <w:p>
            <w:pPr>
              <w:pageBreakBefore w:val="0"/>
              <w:widowControl w:val="0"/>
              <w:jc w:val="right"/>
              <w:textAlignment w:val="auto"/>
            </w:pPr>
            <w:r>
              <w:rPr>
                <w:b w:val="0"/>
                <w:i w:val="0"/>
                <w:color w:val="auto"/>
                <w:position w:val="-1"/>
                <w:sz w:val="20"/>
                <w:u w:val="none"/>
              </w:rPr>
              <w:t>657.58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商品和服务费用</w:t>
            </w:r>
          </w:p>
        </w:tc>
        <w:tc>
          <w:tcPr>
            <w:tcW w:w="2458" w:type="dxa"/>
            <w:shd w:val="clear" w:color="FFFFFF" w:fill="FFFFFF"/>
          </w:tcPr>
          <w:p>
            <w:pPr>
              <w:pageBreakBefore w:val="0"/>
              <w:widowControl w:val="0"/>
              <w:jc w:val="right"/>
              <w:textAlignment w:val="auto"/>
            </w:pPr>
            <w:r>
              <w:rPr>
                <w:b w:val="0"/>
                <w:i w:val="0"/>
                <w:color w:val="auto"/>
                <w:position w:val="-1"/>
                <w:sz w:val="20"/>
                <w:u w:val="none"/>
              </w:rPr>
              <w:t>234.49</w:t>
            </w:r>
          </w:p>
        </w:tc>
        <w:tc>
          <w:tcPr>
            <w:tcW w:w="2843" w:type="dxa"/>
            <w:shd w:val="clear" w:color="FFFFFF" w:fill="FFFFFF"/>
          </w:tcPr>
          <w:p>
            <w:pPr>
              <w:pageBreakBefore w:val="0"/>
              <w:widowControl w:val="0"/>
              <w:jc w:val="right"/>
              <w:textAlignment w:val="auto"/>
            </w:pPr>
            <w:r>
              <w:rPr>
                <w:b w:val="0"/>
                <w:i w:val="0"/>
                <w:color w:val="auto"/>
                <w:position w:val="-1"/>
                <w:sz w:val="20"/>
                <w:u w:val="none"/>
              </w:rPr>
              <w:t>3,403.01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对个人和家庭的补助费用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250.01</w:t>
            </w:r>
          </w:p>
        </w:tc>
        <w:tc>
          <w:tcPr>
            <w:tcW w:w="2843" w:type="dxa"/>
            <w:shd w:val="clear" w:color="FFFFFF" w:fill="FFFFFF"/>
          </w:tcPr>
          <w:p>
            <w:pPr>
              <w:pageBreakBefore w:val="0"/>
              <w:widowControl w:val="0"/>
              <w:jc w:val="right"/>
              <w:textAlignment w:val="auto"/>
            </w:pPr>
            <w:r>
              <w:rPr>
                <w:b w:val="0"/>
                <w:i w:val="0"/>
                <w:color w:val="auto"/>
                <w:position w:val="-1"/>
                <w:sz w:val="20"/>
                <w:u w:val="none"/>
              </w:rPr>
              <w:t>19.00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对企业补助费用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固定资产折旧费用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16.10</w:t>
            </w:r>
          </w:p>
        </w:tc>
        <w:tc>
          <w:tcPr>
            <w:tcW w:w="2843" w:type="dxa"/>
            <w:shd w:val="clear" w:color="FFFFFF" w:fill="FFFFFF"/>
          </w:tcPr>
          <w:p>
            <w:pPr>
              <w:pageBreakBefore w:val="0"/>
              <w:widowControl w:val="0"/>
              <w:jc w:val="right"/>
              <w:textAlignment w:val="auto"/>
            </w:pPr>
            <w:r>
              <w:rPr>
                <w:b w:val="0"/>
                <w:i w:val="0"/>
                <w:color w:val="auto"/>
                <w:position w:val="-1"/>
                <w:sz w:val="20"/>
                <w:u w:val="none"/>
              </w:rPr>
              <w:t>15.27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无形资产摊销费用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公共基础设施折旧（摊销）费用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保障性住房折旧费用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计提专用基金</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其他业务活动费用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3227"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2458"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1,082.13</w:t>
            </w:r>
          </w:p>
        </w:tc>
        <w:tc>
          <w:tcPr>
            <w:tcW w:w="2843"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4,094.86</w:t>
            </w:r>
          </w:p>
        </w:tc>
      </w:tr>
    </w:tbl>
    <w:p/>
    <w:p>
      <w:pPr>
        <w:pStyle w:val="110"/>
        <w:ind w:firstLine="600"/>
        <w:outlineLvl w:val="3"/>
        <w:rPr>
          <w:rFonts w:ascii="宋体" w:hAnsi="宋体" w:eastAsia="宋体"/>
        </w:rPr>
      </w:pPr>
      <w:r>
        <w:rPr>
          <w:rFonts w:hint="eastAsia" w:ascii="宋体" w:hAnsi="宋体" w:eastAsia="宋体"/>
        </w:rPr>
        <w:t>（22）单位管理费用明细信息如下：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2</w:t>
            </w:r>
          </w:p>
          <w:p>
            <w:pPr>
              <w:jc w:val="center"/>
              <w:rPr>
                <w:sz w:val="22"/>
                <w:szCs w:val="22"/>
              </w:rPr>
            </w:pPr>
            <w:r>
              <w:rPr>
                <w:rFonts w:ascii="宋体" w:hAnsi="宋体" w:eastAsia="宋体" w:cs="宋体"/>
                <w:sz w:val="22"/>
              </w:rPr>
              <w:t>附表22为空表（略）</w:t>
            </w:r>
          </w:p>
        </w:tc>
      </w:tr>
    </w:tbl>
    <w:p>
      <w:pPr>
        <w:tabs>
          <w:tab w:val="left" w:pos="4242"/>
          <w:tab w:val="left" w:pos="6754"/>
        </w:tabs>
        <w:spacing w:line="20" w:lineRule="exact"/>
        <w:rPr>
          <w:b/>
          <w:bCs/>
          <w:sz w:val="20"/>
          <w:szCs w:val="20"/>
        </w:rPr>
      </w:pPr>
    </w:p>
    <w:p>
      <w:pPr>
        <w:rPr>
          <w:b/>
          <w:bCs/>
          <w:sz w:val="22"/>
          <w:szCs w:val="22"/>
        </w:rPr>
      </w:pPr>
    </w:p>
    <w:p>
      <w:pPr>
        <w:pStyle w:val="110"/>
        <w:ind w:firstLine="600"/>
        <w:outlineLvl w:val="3"/>
        <w:rPr>
          <w:rFonts w:ascii="宋体" w:hAnsi="宋体" w:eastAsia="宋体"/>
        </w:rPr>
      </w:pPr>
      <w:r>
        <w:rPr>
          <w:rFonts w:hint="eastAsia" w:ascii="宋体" w:hAnsi="宋体" w:eastAsia="宋体"/>
        </w:rPr>
        <w:t>（23）经营费用明细信息如下：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3</w:t>
            </w:r>
          </w:p>
          <w:p>
            <w:pPr>
              <w:jc w:val="center"/>
              <w:rPr>
                <w:sz w:val="22"/>
                <w:szCs w:val="22"/>
              </w:rPr>
            </w:pPr>
            <w:r>
              <w:rPr>
                <w:rFonts w:ascii="宋体" w:hAnsi="宋体" w:eastAsia="宋体" w:cs="宋体"/>
                <w:sz w:val="22"/>
              </w:rPr>
              <w:t>附表23为空表（略）</w:t>
            </w:r>
          </w:p>
        </w:tc>
      </w:tr>
    </w:tbl>
    <w:p>
      <w:pPr>
        <w:tabs>
          <w:tab w:val="left" w:pos="4242"/>
          <w:tab w:val="left" w:pos="6754"/>
        </w:tabs>
        <w:spacing w:line="20" w:lineRule="exact"/>
        <w:rPr>
          <w:b/>
          <w:bCs/>
          <w:sz w:val="20"/>
          <w:szCs w:val="20"/>
        </w:rPr>
      </w:pPr>
    </w:p>
    <w:p/>
    <w:p>
      <w:pPr>
        <w:pStyle w:val="110"/>
        <w:ind w:firstLine="600"/>
        <w:outlineLvl w:val="3"/>
        <w:rPr>
          <w:rFonts w:ascii="宋体" w:hAnsi="宋体" w:eastAsia="宋体"/>
        </w:rPr>
      </w:pPr>
      <w:r>
        <w:rPr>
          <w:rFonts w:hint="eastAsia" w:ascii="宋体" w:hAnsi="宋体" w:eastAsia="宋体"/>
        </w:rPr>
        <w:t>（24）商品和服务费用明细信息如下：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商品和服务费用明细表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77"/>
        <w:gridCol w:w="993"/>
        <w:gridCol w:w="1275"/>
        <w:gridCol w:w="1276"/>
        <w:gridCol w:w="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vMerge w:val="restart"/>
            <w:tcBorders>
              <w:top w:val="single" w:color="auto" w:sz="4" w:space="0"/>
            </w:tcBorders>
            <w:shd w:val="clear" w:color="FFFFFF" w:fill="FFFFFF"/>
          </w:tcPr>
          <w:p>
            <w:pPr>
              <w:widowControl w:val="0"/>
              <w:spacing w:line="480" w:lineRule="auto"/>
              <w:jc w:val="center"/>
              <w:rPr>
                <w:sz w:val="22"/>
                <w:szCs w:val="22"/>
              </w:rPr>
            </w:pPr>
            <w:r>
              <w:rPr>
                <w:rFonts w:hint="eastAsia"/>
                <w:sz w:val="22"/>
                <w:szCs w:val="22"/>
              </w:rPr>
              <w:t>项目</w:t>
            </w:r>
          </w:p>
        </w:tc>
        <w:tc>
          <w:tcPr>
            <w:tcW w:w="4451" w:type="dxa"/>
            <w:gridSpan w:val="4"/>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本年数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vMerge w:val="continue"/>
            <w:tcBorders>
              <w:bottom w:val="single" w:color="auto" w:sz="4" w:space="0"/>
            </w:tcBorders>
            <w:shd w:val="clear" w:color="FFFFFF" w:fill="FFFFFF"/>
          </w:tcPr>
          <w:p>
            <w:pPr>
              <w:widowControl w:val="0"/>
              <w:jc w:val="center"/>
              <w:rPr>
                <w:sz w:val="22"/>
                <w:szCs w:val="22"/>
              </w:rPr>
            </w:pPr>
          </w:p>
        </w:tc>
        <w:tc>
          <w:tcPr>
            <w:tcW w:w="993" w:type="dxa"/>
            <w:tcBorders>
              <w:top w:val="single" w:color="auto" w:sz="4" w:space="0"/>
              <w:bottom w:val="single" w:color="auto" w:sz="4" w:space="0"/>
            </w:tcBorders>
            <w:shd w:val="clear" w:color="FFFFFF" w:fill="FFFFFF"/>
          </w:tcPr>
          <w:p>
            <w:pPr>
              <w:widowControl w:val="0"/>
              <w:spacing w:line="480" w:lineRule="auto"/>
              <w:jc w:val="center"/>
              <w:rPr>
                <w:sz w:val="22"/>
                <w:szCs w:val="22"/>
              </w:rPr>
            </w:pPr>
            <w:r>
              <w:rPr>
                <w:rFonts w:hint="eastAsia"/>
                <w:sz w:val="22"/>
                <w:szCs w:val="22"/>
              </w:rPr>
              <w:t>合计</w:t>
            </w:r>
          </w:p>
        </w:tc>
        <w:tc>
          <w:tcPr>
            <w:tcW w:w="1275"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业务活动费用</w:t>
            </w:r>
          </w:p>
        </w:tc>
        <w:tc>
          <w:tcPr>
            <w:tcW w:w="1276"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单位管理费用</w:t>
            </w:r>
          </w:p>
        </w:tc>
        <w:tc>
          <w:tcPr>
            <w:tcW w:w="907"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经营</w:t>
            </w:r>
          </w:p>
          <w:p>
            <w:pPr>
              <w:widowControl w:val="0"/>
              <w:jc w:val="center"/>
              <w:rPr>
                <w:sz w:val="22"/>
                <w:szCs w:val="22"/>
              </w:rPr>
            </w:pPr>
            <w:r>
              <w:rPr>
                <w:rFonts w:hint="eastAsia"/>
                <w:sz w:val="22"/>
                <w:szCs w:val="22"/>
              </w:rPr>
              <w:t>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077" w:type="dxa"/>
            <w:tcBorders>
              <w:top w:val="single" w:color="auto" w:sz="4" w:space="0"/>
            </w:tcBorders>
            <w:shd w:val="clear" w:color="FFFFFF" w:fill="FFFFFF"/>
          </w:tcPr>
          <w:p>
            <w:pPr>
              <w:widowControl w:val="0"/>
              <w:jc w:val="both"/>
              <w:rPr>
                <w:sz w:val="22"/>
                <w:szCs w:val="22"/>
              </w:rPr>
            </w:pPr>
          </w:p>
        </w:tc>
        <w:tc>
          <w:tcPr>
            <w:tcW w:w="993" w:type="dxa"/>
            <w:tcBorders>
              <w:top w:val="single" w:color="auto" w:sz="4" w:space="0"/>
            </w:tcBorders>
            <w:shd w:val="clear" w:color="FFFFFF" w:fill="FFFFFF"/>
          </w:tcPr>
          <w:p>
            <w:pPr>
              <w:widowControl w:val="0"/>
              <w:jc w:val="both"/>
              <w:rPr>
                <w:sz w:val="22"/>
                <w:szCs w:val="22"/>
              </w:rPr>
            </w:pPr>
          </w:p>
        </w:tc>
        <w:tc>
          <w:tcPr>
            <w:tcW w:w="1275" w:type="dxa"/>
            <w:tcBorders>
              <w:top w:val="single" w:color="auto" w:sz="4" w:space="0"/>
            </w:tcBorders>
            <w:shd w:val="clear" w:color="FFFFFF" w:fill="FFFFFF"/>
          </w:tcPr>
          <w:p>
            <w:pPr>
              <w:widowControl w:val="0"/>
              <w:jc w:val="both"/>
              <w:rPr>
                <w:sz w:val="22"/>
                <w:szCs w:val="22"/>
              </w:rPr>
            </w:pPr>
          </w:p>
        </w:tc>
        <w:tc>
          <w:tcPr>
            <w:tcW w:w="1276" w:type="dxa"/>
            <w:tcBorders>
              <w:top w:val="single" w:color="auto" w:sz="4" w:space="0"/>
            </w:tcBorders>
            <w:shd w:val="clear" w:color="FFFFFF" w:fill="FFFFFF"/>
          </w:tcPr>
          <w:p>
            <w:pPr>
              <w:widowControl w:val="0"/>
              <w:jc w:val="both"/>
              <w:rPr>
                <w:sz w:val="22"/>
                <w:szCs w:val="22"/>
              </w:rPr>
            </w:pPr>
          </w:p>
        </w:tc>
        <w:tc>
          <w:tcPr>
            <w:tcW w:w="907"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支付给部门内部单位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支付给本部门以外的同级政府单位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val="0"/>
                <w:i w:val="0"/>
                <w:color w:val="auto"/>
                <w:position w:val="-1"/>
                <w:sz w:val="20"/>
                <w:u w:val="none"/>
              </w:rPr>
              <w:t>支付给本部门以外的非同级政府单位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支付给其他单位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234.49</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234.49</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077" w:type="dxa"/>
            <w:tcBorders>
              <w:top w:val="single" w:color="auto" w:sz="4" w:space="0"/>
              <w:bottom w:val="single" w:color="auto" w:sz="4" w:space="0"/>
            </w:tcBorders>
            <w:shd w:val="clear" w:color="FFFFFF" w:fill="FFFFFF"/>
          </w:tcPr>
          <w:p>
            <w:pPr>
              <w:pageBreakBefore w:val="0"/>
              <w:widowControl w:val="0"/>
              <w:jc w:val="center"/>
              <w:textAlignment w:val="auto"/>
            </w:pPr>
            <w:r>
              <w:rPr>
                <w:rFonts w:ascii="Times New Roman" w:hAnsi="Times New Roman" w:eastAsia="Times New Roman" w:cs="Times New Roman"/>
                <w:b/>
                <w:i w:val="0"/>
                <w:color w:val="auto"/>
                <w:position w:val="-1"/>
                <w:sz w:val="20"/>
                <w:u w:val="none"/>
              </w:rPr>
              <w:t>合计</w:t>
            </w:r>
          </w:p>
        </w:tc>
        <w:tc>
          <w:tcPr>
            <w:tcW w:w="993"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234.49</w:t>
            </w:r>
          </w:p>
        </w:tc>
        <w:tc>
          <w:tcPr>
            <w:tcW w:w="1275"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234.49</w:t>
            </w:r>
          </w:p>
        </w:tc>
        <w:tc>
          <w:tcPr>
            <w:tcW w:w="1276"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bl>
    <w:p>
      <w:pPr>
        <w:rPr>
          <w:sz w:val="22"/>
          <w:szCs w:val="22"/>
        </w:rPr>
      </w:pPr>
    </w:p>
    <w:p>
      <w:pPr>
        <w:pStyle w:val="4"/>
        <w:numPr>
          <w:ilvl w:val="0"/>
          <w:numId w:val="2"/>
        </w:numPr>
        <w:spacing w:before="0" w:after="0" w:line="360" w:lineRule="auto"/>
        <w:ind w:firstLine="602"/>
        <w:jc w:val="left"/>
        <w:rPr>
          <w:rFonts w:hint="eastAsia" w:ascii="仿宋" w:hAnsi="仿宋" w:eastAsia="仿宋"/>
          <w:b/>
        </w:rPr>
      </w:pPr>
      <w:bookmarkStart w:id="68" w:name="_Toc35452586"/>
      <w:bookmarkStart w:id="69" w:name="_Toc35500812"/>
      <w:r>
        <w:rPr>
          <w:rFonts w:hint="eastAsia" w:ascii="仿宋" w:hAnsi="仿宋" w:eastAsia="仿宋"/>
          <w:b/>
        </w:rPr>
        <w:t>需要说明的其他事项。</w:t>
      </w:r>
      <w:bookmarkEnd w:id="68"/>
      <w:bookmarkEnd w:id="69"/>
    </w:p>
    <w:p>
      <w:pPr>
        <w:pStyle w:val="110"/>
        <w:numPr>
          <w:ilvl w:val="0"/>
          <w:numId w:val="3"/>
        </w:numPr>
        <w:spacing w:line="360" w:lineRule="auto"/>
        <w:ind w:firstLine="600"/>
        <w:rPr>
          <w:rFonts w:hint="eastAsia" w:ascii="仿宋_GB2312" w:hAnsi="仿宋_GB2312" w:cs="仿宋_GB2312"/>
          <w:b w:val="0"/>
          <w:bCs w:val="0"/>
          <w:color w:val="auto"/>
          <w:szCs w:val="30"/>
          <w:lang w:val="en-US" w:eastAsia="zh-CN"/>
        </w:rPr>
      </w:pPr>
      <w:r>
        <w:rPr>
          <w:rFonts w:hint="eastAsia" w:ascii="仿宋_GB2312" w:hAnsi="仿宋_GB2312" w:cs="仿宋_GB2312"/>
          <w:b w:val="0"/>
          <w:bCs w:val="0"/>
          <w:color w:val="auto"/>
          <w:szCs w:val="30"/>
          <w:lang w:val="en-US" w:eastAsia="zh-CN"/>
        </w:rPr>
        <w:t>其他应收款较上年减少30%，原因为收回其他应收款。</w:t>
      </w:r>
    </w:p>
    <w:p>
      <w:pPr>
        <w:pStyle w:val="110"/>
        <w:numPr>
          <w:ilvl w:val="0"/>
          <w:numId w:val="3"/>
        </w:numPr>
        <w:spacing w:line="360" w:lineRule="auto"/>
        <w:ind w:firstLine="600"/>
        <w:rPr>
          <w:rFonts w:hint="eastAsia" w:ascii="仿宋_GB2312" w:hAnsi="仿宋_GB2312" w:cs="仿宋_GB2312"/>
          <w:b w:val="0"/>
          <w:bCs w:val="0"/>
          <w:color w:val="auto"/>
          <w:szCs w:val="30"/>
        </w:rPr>
      </w:pPr>
      <w:r>
        <w:rPr>
          <w:rFonts w:hint="eastAsia" w:ascii="仿宋_GB2312" w:hAnsi="仿宋_GB2312" w:cs="仿宋_GB2312"/>
          <w:b w:val="0"/>
          <w:bCs w:val="0"/>
          <w:color w:val="auto"/>
          <w:szCs w:val="30"/>
          <w:lang w:val="en-US" w:eastAsia="zh-CN"/>
        </w:rPr>
        <w:t>其他应付款较上年减少30%，原因为化解债务。</w:t>
      </w:r>
    </w:p>
    <w:p>
      <w:pPr>
        <w:pStyle w:val="110"/>
        <w:numPr>
          <w:ilvl w:val="0"/>
          <w:numId w:val="3"/>
        </w:numPr>
        <w:spacing w:line="360" w:lineRule="auto"/>
        <w:ind w:left="0" w:leftChars="0" w:firstLine="600" w:firstLineChars="200"/>
        <w:rPr>
          <w:rFonts w:hint="eastAsia" w:ascii="仿宋_GB2312" w:hAnsi="仿宋_GB2312" w:cs="仿宋_GB2312"/>
          <w:b w:val="0"/>
          <w:bCs w:val="0"/>
          <w:color w:val="auto"/>
          <w:szCs w:val="30"/>
          <w:lang w:val="en-US" w:eastAsia="zh-CN"/>
        </w:rPr>
      </w:pPr>
      <w:r>
        <w:rPr>
          <w:rFonts w:hint="eastAsia" w:ascii="仿宋_GB2312" w:hAnsi="仿宋_GB2312" w:cs="仿宋_GB2312"/>
          <w:b w:val="0"/>
          <w:bCs w:val="0"/>
          <w:color w:val="auto"/>
          <w:szCs w:val="30"/>
          <w:lang w:val="en-US" w:eastAsia="zh-CN"/>
        </w:rPr>
        <w:t>收入较上年减少30%，原因为财政拨款减少。</w:t>
      </w:r>
    </w:p>
    <w:p>
      <w:pPr>
        <w:pStyle w:val="110"/>
        <w:numPr>
          <w:ilvl w:val="0"/>
          <w:numId w:val="3"/>
        </w:numPr>
        <w:spacing w:line="360" w:lineRule="auto"/>
        <w:ind w:left="0" w:leftChars="0" w:firstLine="600" w:firstLineChars="200"/>
        <w:rPr>
          <w:rFonts w:hint="default" w:ascii="仿宋_GB2312" w:hAnsi="仿宋_GB2312" w:cs="仿宋_GB2312"/>
          <w:b w:val="0"/>
          <w:bCs w:val="0"/>
          <w:color w:val="auto"/>
          <w:szCs w:val="30"/>
          <w:lang w:val="en-US"/>
        </w:rPr>
      </w:pPr>
      <w:r>
        <w:rPr>
          <w:rFonts w:hint="eastAsia" w:ascii="仿宋_GB2312" w:hAnsi="仿宋_GB2312" w:cs="仿宋_GB2312"/>
          <w:b w:val="0"/>
          <w:bCs w:val="0"/>
          <w:color w:val="auto"/>
          <w:szCs w:val="30"/>
          <w:lang w:val="en-US" w:eastAsia="zh-CN"/>
        </w:rPr>
        <w:t>费用较上年减少30%，原因为压缩开支。</w:t>
      </w:r>
    </w:p>
    <w:p/>
    <w:p>
      <w:pPr>
        <w:pStyle w:val="2"/>
        <w:spacing w:before="0" w:after="0" w:line="360" w:lineRule="auto"/>
        <w:rPr>
          <w:rFonts w:ascii="宋体" w:eastAsia="宋体"/>
          <w:sz w:val="32"/>
          <w:szCs w:val="32"/>
        </w:rPr>
      </w:pPr>
      <w:bookmarkStart w:id="70" w:name="_Toc503548887"/>
      <w:bookmarkStart w:id="71" w:name="_Toc436083530"/>
      <w:bookmarkStart w:id="72" w:name="_Toc35500813"/>
      <w:bookmarkStart w:id="73" w:name="_Toc35452587"/>
      <w:r>
        <w:rPr>
          <w:rFonts w:hint="eastAsia" w:ascii="宋体" w:eastAsia="宋体"/>
          <w:sz w:val="32"/>
          <w:szCs w:val="32"/>
        </w:rPr>
        <w:t>二、政府部门财务分析</w:t>
      </w:r>
      <w:bookmarkEnd w:id="70"/>
      <w:bookmarkEnd w:id="71"/>
      <w:bookmarkEnd w:id="72"/>
      <w:bookmarkEnd w:id="73"/>
    </w:p>
    <w:p>
      <w:pPr>
        <w:pStyle w:val="4"/>
        <w:spacing w:before="0" w:after="0" w:line="360" w:lineRule="auto"/>
        <w:ind w:firstLine="602"/>
        <w:jc w:val="left"/>
        <w:rPr>
          <w:rFonts w:ascii="仿宋" w:hAnsi="仿宋" w:eastAsia="仿宋" w:cs="黑体"/>
          <w:b/>
          <w:spacing w:val="-8"/>
        </w:rPr>
      </w:pPr>
      <w:bookmarkStart w:id="74" w:name="_Toc503548888"/>
      <w:bookmarkStart w:id="75" w:name="_Toc436083531"/>
      <w:bookmarkStart w:id="76" w:name="_Toc35452588"/>
      <w:bookmarkStart w:id="77" w:name="_Toc35500814"/>
      <w:r>
        <w:rPr>
          <w:rFonts w:hint="eastAsia" w:ascii="仿宋" w:hAnsi="仿宋" w:eastAsia="仿宋"/>
          <w:b/>
        </w:rPr>
        <w:t>（一）</w:t>
      </w:r>
      <w:bookmarkEnd w:id="74"/>
      <w:bookmarkEnd w:id="75"/>
      <w:bookmarkStart w:id="78" w:name="_Toc436083532"/>
      <w:bookmarkStart w:id="79" w:name="_Toc503548889"/>
      <w:r>
        <w:rPr>
          <w:rFonts w:ascii="仿宋" w:hAnsi="仿宋" w:eastAsia="仿宋" w:cs="黑体"/>
          <w:b/>
          <w:spacing w:val="-8"/>
        </w:rPr>
        <w:t>政府部门工作目标完成情况。</w:t>
      </w:r>
      <w:bookmarkEnd w:id="76"/>
      <w:bookmarkEnd w:id="77"/>
    </w:p>
    <w:p>
      <w:pPr>
        <w:pStyle w:val="110"/>
        <w:spacing w:line="360" w:lineRule="auto"/>
        <w:ind w:firstLine="600"/>
        <w:rPr>
          <w:rFonts w:hint="eastAsia" w:ascii="仿宋_GB2312" w:hAnsi="仿宋_GB2312" w:cs="仿宋_GB2312"/>
          <w:color w:val="auto"/>
          <w:szCs w:val="30"/>
          <w:lang w:val="en-US" w:eastAsia="zh-CN"/>
        </w:rPr>
      </w:pPr>
      <w:bookmarkStart w:id="80" w:name="_Toc35500815"/>
      <w:r>
        <w:rPr>
          <w:rFonts w:hint="eastAsia" w:ascii="仿宋_GB2312" w:hAnsi="仿宋_GB2312" w:cs="仿宋_GB2312"/>
          <w:color w:val="auto"/>
          <w:szCs w:val="30"/>
          <w:lang w:val="en-US" w:eastAsia="zh-CN"/>
        </w:rPr>
        <w:t>莫力达瓦达斡尔族自治旗腾克镇人民政府职能及工作任务，</w:t>
      </w:r>
    </w:p>
    <w:p>
      <w:pPr>
        <w:pStyle w:val="110"/>
        <w:spacing w:line="360" w:lineRule="auto"/>
        <w:ind w:left="0" w:leftChars="0" w:firstLine="0" w:firstLineChars="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(1)执行本级人民代表大会的决议和上级国家行政机关的决定和命令，发布决定和命令；</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 xml:space="preserve">(2)执行本行政区域内的经济和社会发展计划、预算，管理本行政区域内的经济、教育、科学、文化、卫生、体育事业和财政、民政、公安、司法行政、计划生育等行政工作； </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(3)保护社会主义的全民所有的财产和劳动群众集体所有的财产，保护公民私人所有的合法财产，维护社会秩序，保障公民的人身权利、民主权利和其他权利；</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 xml:space="preserve">(4)保护各种经济组织的合法权益； </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(5)保障少数民族的权利和尊重少数民族的风俗习惯；</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(6)办理上级人民政府交办的其他事项。</w:t>
      </w:r>
    </w:p>
    <w:p>
      <w:pPr>
        <w:pStyle w:val="4"/>
        <w:spacing w:before="0" w:after="0" w:line="360" w:lineRule="auto"/>
        <w:ind w:firstLine="602"/>
        <w:jc w:val="left"/>
        <w:rPr>
          <w:rFonts w:ascii="仿宋" w:hAnsi="仿宋" w:eastAsia="仿宋"/>
          <w:b/>
        </w:rPr>
      </w:pPr>
      <w:r>
        <w:rPr>
          <w:rFonts w:hint="eastAsia" w:ascii="仿宋" w:hAnsi="仿宋" w:eastAsia="仿宋"/>
          <w:b/>
        </w:rPr>
        <w:t>（二）</w:t>
      </w:r>
      <w:bookmarkEnd w:id="78"/>
      <w:bookmarkEnd w:id="79"/>
      <w:r>
        <w:rPr>
          <w:rFonts w:ascii="仿宋" w:hAnsi="仿宋" w:eastAsia="仿宋"/>
          <w:b/>
        </w:rPr>
        <w:t>政府部门财务状况分析。</w:t>
      </w:r>
      <w:bookmarkEnd w:id="80"/>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1.资产类构成：40.06%为货币资金，较上年增加45.32%，15.55%为固定资产净值，较上年减少0.01%，44.39%为财政应返还额度，较上年减少50.62%。</w:t>
      </w:r>
    </w:p>
    <w:p>
      <w:pPr>
        <w:spacing w:line="360" w:lineRule="auto"/>
        <w:jc w:val="center"/>
      </w:pPr>
      <w:r>
        <w:t>资产结构分析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1" name="Drawing 0" descr="资产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0" descr="资产结构分析"/>
                    <pic:cNvPicPr>
                      <a:picLocks noChangeAspect="1"/>
                    </pic:cNvPicPr>
                  </pic:nvPicPr>
                  <pic:blipFill>
                    <a:blip r:embed="rId10"/>
                    <a:stretch>
                      <a:fillRect/>
                    </a:stretch>
                  </pic:blipFill>
                  <pic:spPr>
                    <a:xfrm>
                      <a:off x="0" y="0"/>
                      <a:ext cx="6350000" cy="3695700"/>
                    </a:xfrm>
                    <a:prstGeom prst="rect">
                      <a:avLst/>
                    </a:prstGeom>
                  </pic:spPr>
                </pic:pic>
              </a:graphicData>
            </a:graphic>
          </wp:inline>
        </w:drawing>
      </w:r>
    </w:p>
    <w:p>
      <w:pPr>
        <w:pStyle w:val="110"/>
        <w:spacing w:line="360" w:lineRule="auto"/>
        <w:ind w:firstLine="480"/>
        <w:jc w:val="center"/>
        <w:rPr>
          <w:rFonts w:asciiTheme="minorEastAsia" w:hAnsiTheme="minorEastAsia" w:eastAsiaTheme="minorEastAsia"/>
          <w:color w:val="0070C0"/>
          <w:sz w:val="24"/>
          <w:szCs w:val="24"/>
        </w:rPr>
      </w:pPr>
    </w:p>
    <w:p>
      <w:pPr>
        <w:spacing w:line="360" w:lineRule="auto"/>
        <w:jc w:val="center"/>
      </w:pPr>
      <w:r>
        <w:t>重要资产项目年度情况分析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2" name="Drawing 1" descr="重要资产项目年度情况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1" descr="重要资产项目年度情况分析"/>
                    <pic:cNvPicPr>
                      <a:picLocks noChangeAspect="1"/>
                    </pic:cNvPicPr>
                  </pic:nvPicPr>
                  <pic:blipFill>
                    <a:blip r:embed="rId11"/>
                    <a:stretch>
                      <a:fillRect/>
                    </a:stretch>
                  </pic:blipFill>
                  <pic:spPr>
                    <a:xfrm>
                      <a:off x="0" y="0"/>
                      <a:ext cx="6350000" cy="3695700"/>
                    </a:xfrm>
                    <a:prstGeom prst="rect">
                      <a:avLst/>
                    </a:prstGeom>
                  </pic:spPr>
                </pic:pic>
              </a:graphicData>
            </a:graphic>
          </wp:inline>
        </w:drawing>
      </w:r>
    </w:p>
    <w:p>
      <w:pPr>
        <w:spacing w:line="360" w:lineRule="auto"/>
        <w:ind w:firstLine="480" w:firstLineChars="200"/>
        <w:rPr>
          <w:color w:val="0070C0"/>
        </w:rPr>
      </w:pPr>
    </w:p>
    <w:p>
      <w:pPr>
        <w:pStyle w:val="110"/>
        <w:spacing w:line="360" w:lineRule="auto"/>
        <w:ind w:firstLine="600"/>
        <w:rPr>
          <w:rFonts w:hint="default" w:ascii="仿宋_GB2312" w:hAnsi="仿宋_GB2312" w:cs="仿宋_GB2312"/>
          <w:color w:val="auto"/>
          <w:szCs w:val="30"/>
          <w:lang w:val="en-US" w:eastAsia="zh-CN"/>
        </w:rPr>
      </w:pPr>
      <w:r>
        <w:rPr>
          <w:rFonts w:hint="eastAsia" w:ascii="仿宋_GB2312" w:hAnsi="仿宋_GB2312" w:cs="仿宋_GB2312"/>
          <w:color w:val="auto"/>
          <w:szCs w:val="30"/>
          <w:lang w:val="en-US" w:eastAsia="zh-CN"/>
        </w:rPr>
        <w:t>2.部门债务构成：2020年度无负债。</w:t>
      </w:r>
    </w:p>
    <w:p>
      <w:pPr>
        <w:spacing w:line="360" w:lineRule="auto"/>
        <w:jc w:val="center"/>
      </w:pPr>
      <w:r>
        <w:rPr>
          <w:rFonts w:hint="eastAsia"/>
        </w:rPr>
        <w:t>部门债务分析图：</w:t>
      </w:r>
    </w:p>
    <w:p>
      <w:pPr>
        <w:pStyle w:val="110"/>
        <w:keepNext w:val="0"/>
        <w:keepLines w:val="0"/>
        <w:pageBreakBefore w:val="0"/>
        <w:widowControl/>
        <w:kinsoku/>
        <w:wordWrap/>
        <w:overflowPunct/>
        <w:topLinePunct w:val="0"/>
        <w:autoSpaceDE/>
        <w:autoSpaceDN/>
        <w:bidi w:val="0"/>
        <w:adjustRightInd/>
        <w:snapToGrid/>
        <w:spacing w:line="360" w:lineRule="auto"/>
        <w:ind w:left="-720" w:leftChars="-300" w:firstLine="0" w:firstLineChars="0"/>
        <w:jc w:val="center"/>
        <w:textAlignment w:val="auto"/>
        <w:rPr>
          <w:rFonts w:ascii="新宋体" w:hAnsi="新宋体" w:eastAsia="新宋体"/>
          <w:sz w:val="24"/>
          <w:szCs w:val="24"/>
        </w:rPr>
      </w:pPr>
    </w:p>
    <w:p>
      <w:pPr>
        <w:spacing w:line="360" w:lineRule="auto"/>
        <w:jc w:val="center"/>
      </w:pPr>
    </w:p>
    <w:p>
      <w:pPr>
        <w:spacing w:line="360" w:lineRule="auto"/>
        <w:jc w:val="center"/>
        <w:rPr>
          <w:rFonts w:hint="eastAsia"/>
        </w:rPr>
      </w:pPr>
      <w:r>
        <w:t>重要</w:t>
      </w:r>
      <w:r>
        <w:rPr>
          <w:rFonts w:hint="eastAsia"/>
        </w:rPr>
        <w:t>负债变化</w:t>
      </w:r>
      <w:r>
        <w:t>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3695700"/>
            <wp:effectExtent l="0" t="0" r="12700" b="0"/>
            <wp:docPr id="3" name="Drawing 2" descr="重要负债变化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2" descr="重要负债变化分析"/>
                    <pic:cNvPicPr>
                      <a:picLocks noChangeAspect="1"/>
                    </pic:cNvPicPr>
                  </pic:nvPicPr>
                  <pic:blipFill>
                    <a:blip r:embed="rId12"/>
                    <a:stretch>
                      <a:fillRect/>
                    </a:stretch>
                  </pic:blipFill>
                  <pic:spPr>
                    <a:xfrm>
                      <a:off x="0" y="0"/>
                      <a:ext cx="6350000" cy="3695700"/>
                    </a:xfrm>
                    <a:prstGeom prst="rect">
                      <a:avLst/>
                    </a:prstGeom>
                  </pic:spPr>
                </pic:pic>
              </a:graphicData>
            </a:graphic>
          </wp:inline>
        </w:drawing>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3.2020年度流动比率0，，较上年减少100%；收入费用率50.85%，较上年减少26.04%；现金比率0；资产负债率0；固定资产成新率49.69%。</w:t>
      </w:r>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4" name="Drawing 3"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3" descr="部门财务分析"/>
                    <pic:cNvPicPr>
                      <a:picLocks noChangeAspect="1"/>
                    </pic:cNvPicPr>
                  </pic:nvPicPr>
                  <pic:blipFill>
                    <a:blip r:embed="rId13"/>
                    <a:stretch>
                      <a:fillRect/>
                    </a:stretch>
                  </pic:blipFill>
                  <pic:spPr>
                    <a:xfrm>
                      <a:off x="0" y="0"/>
                      <a:ext cx="6350000" cy="36957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1" w:name="_Toc436083533"/>
      <w:bookmarkStart w:id="82" w:name="_Toc503548890"/>
      <w:bookmarkStart w:id="83" w:name="_Toc35500816"/>
      <w:r>
        <w:rPr>
          <w:rFonts w:hint="eastAsia" w:ascii="仿宋" w:hAnsi="仿宋" w:eastAsia="仿宋"/>
          <w:b/>
        </w:rPr>
        <w:t>（三）</w:t>
      </w:r>
      <w:bookmarkEnd w:id="81"/>
      <w:bookmarkEnd w:id="82"/>
      <w:r>
        <w:rPr>
          <w:rFonts w:ascii="仿宋" w:hAnsi="仿宋" w:eastAsia="仿宋"/>
          <w:b/>
        </w:rPr>
        <w:t>政府部门运行情况分析。</w:t>
      </w:r>
      <w:bookmarkEnd w:id="83"/>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1.2020年收入100%为财政拨款收入，较上年减少64.27%。</w:t>
      </w:r>
    </w:p>
    <w:p>
      <w:pPr>
        <w:spacing w:line="360" w:lineRule="auto"/>
        <w:ind w:firstLine="240"/>
        <w:jc w:val="center"/>
      </w:pPr>
      <w:r>
        <w:rPr>
          <w:rFonts w:hint="eastAsia"/>
        </w:rPr>
        <w:t>收入类结构分析图: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2781300"/>
            <wp:effectExtent l="0" t="0" r="12700" b="0"/>
            <wp:docPr id="5" name="Drawing 4" descr="收入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4" descr="收入结构分析"/>
                    <pic:cNvPicPr>
                      <a:picLocks noChangeAspect="1"/>
                    </pic:cNvPicPr>
                  </pic:nvPicPr>
                  <pic:blipFill>
                    <a:blip r:embed="rId14"/>
                    <a:stretch>
                      <a:fillRect/>
                    </a:stretch>
                  </pic:blipFill>
                  <pic:spPr>
                    <a:xfrm>
                      <a:off x="0" y="0"/>
                      <a:ext cx="6350000" cy="2781300"/>
                    </a:xfrm>
                    <a:prstGeom prst="rect">
                      <a:avLst/>
                    </a:prstGeom>
                  </pic:spPr>
                </pic:pic>
              </a:graphicData>
            </a:graphic>
          </wp:inline>
        </w:drawing>
      </w:r>
    </w:p>
    <w:p>
      <w:pPr>
        <w:pStyle w:val="110"/>
        <w:spacing w:line="360" w:lineRule="auto"/>
        <w:ind w:firstLine="600"/>
        <w:jc w:val="both"/>
      </w:pPr>
    </w:p>
    <w:p>
      <w:pPr>
        <w:pStyle w:val="110"/>
        <w:spacing w:line="240" w:lineRule="auto"/>
        <w:ind w:firstLine="0" w:firstLineChars="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2.2020年度费用按科目分类：100%为业务活动费用；按经济性质分类53.74%为工资福利支出，较上年减少11.56%；23.1%为对个人和家庭的补助费用，较上年增加12.16%，21.67%为商品和服务费用，较上年减少93.11%，1.49%为固定资产折旧费用。</w:t>
      </w:r>
    </w:p>
    <w:p>
      <w:pPr>
        <w:spacing w:line="360" w:lineRule="auto"/>
        <w:ind w:firstLine="600" w:firstLineChars="200"/>
        <w:rPr>
          <w:rFonts w:ascii="仿宋" w:hAnsi="仿宋" w:eastAsia="仿宋"/>
          <w:color w:val="0070C0"/>
          <w:sz w:val="30"/>
          <w:szCs w:val="30"/>
        </w:rPr>
      </w:pPr>
    </w:p>
    <w:p>
      <w:pPr>
        <w:spacing w:line="360" w:lineRule="auto"/>
        <w:jc w:val="center"/>
      </w:pPr>
      <w:r>
        <w:rPr>
          <w:rFonts w:hint="eastAsia"/>
        </w:rPr>
        <w:t>费用(按科目)分析图：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rPr>
          <w:rFonts w:hint="eastAsia"/>
        </w:rPr>
        <w:drawing>
          <wp:inline distT="0" distB="0" distL="0" distR="0">
            <wp:extent cx="6350000" cy="2781300"/>
            <wp:effectExtent l="0" t="0" r="12700" b="0"/>
            <wp:docPr id="6" name="Drawing 5" descr="费用按科目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5" descr="费用按科目分析"/>
                    <pic:cNvPicPr>
                      <a:picLocks noChangeAspect="1"/>
                    </pic:cNvPicPr>
                  </pic:nvPicPr>
                  <pic:blipFill>
                    <a:blip r:embed="rId15"/>
                    <a:stretch>
                      <a:fillRect/>
                    </a:stretch>
                  </pic:blipFill>
                  <pic:spPr>
                    <a:xfrm>
                      <a:off x="0" y="0"/>
                      <a:ext cx="6350000" cy="2781300"/>
                    </a:xfrm>
                    <a:prstGeom prst="rect">
                      <a:avLst/>
                    </a:prstGeom>
                  </pic:spPr>
                </pic:pic>
              </a:graphicData>
            </a:graphic>
          </wp:inline>
        </w:drawing>
      </w:r>
    </w:p>
    <w:p>
      <w:pPr>
        <w:spacing w:line="360" w:lineRule="auto"/>
        <w:jc w:val="center"/>
      </w:pPr>
      <w:r>
        <w:rPr>
          <w:rFonts w:hint="eastAsia"/>
        </w:rPr>
        <w:t>费用(按经济性质)分析图：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2781300"/>
            <wp:effectExtent l="0" t="0" r="12700" b="0"/>
            <wp:docPr id="7" name="Drawing 6" descr="费用按经济性质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6" descr="费用按经济性质分析"/>
                    <pic:cNvPicPr>
                      <a:picLocks noChangeAspect="1"/>
                    </pic:cNvPicPr>
                  </pic:nvPicPr>
                  <pic:blipFill>
                    <a:blip r:embed="rId16"/>
                    <a:stretch>
                      <a:fillRect/>
                    </a:stretch>
                  </pic:blipFill>
                  <pic:spPr>
                    <a:xfrm>
                      <a:off x="0" y="0"/>
                      <a:ext cx="6350000" cy="2781300"/>
                    </a:xfrm>
                    <a:prstGeom prst="rect">
                      <a:avLst/>
                    </a:prstGeom>
                  </pic:spPr>
                </pic:pic>
              </a:graphicData>
            </a:graphic>
          </wp:inline>
        </w:drawing>
      </w:r>
    </w:p>
    <w:p>
      <w:pPr>
        <w:spacing w:line="360" w:lineRule="auto"/>
        <w:jc w:val="center"/>
      </w:pPr>
    </w:p>
    <w:p>
      <w:pPr>
        <w:spacing w:line="360" w:lineRule="auto"/>
        <w:ind w:firstLine="600" w:firstLineChars="200"/>
        <w:rPr>
          <w:rFonts w:hint="default" w:ascii="仿宋_GB2312" w:hAnsi="仿宋_GB2312" w:eastAsia="仿宋_GB2312" w:cs="仿宋_GB2312"/>
          <w:color w:val="auto"/>
          <w:sz w:val="30"/>
          <w:szCs w:val="30"/>
          <w:lang w:val="en-US" w:eastAsia="zh-CN" w:bidi="ar-SA"/>
        </w:rPr>
      </w:pPr>
      <w:r>
        <w:rPr>
          <w:rFonts w:hint="eastAsia" w:ascii="仿宋_GB2312" w:hAnsi="仿宋_GB2312" w:eastAsia="仿宋_GB2312" w:cs="仿宋_GB2312"/>
          <w:color w:val="auto"/>
          <w:sz w:val="30"/>
          <w:szCs w:val="30"/>
          <w:lang w:val="en-US" w:eastAsia="zh-CN" w:bidi="ar-SA"/>
        </w:rPr>
        <w:t>3.2020年度收入费用率50.85%,原因为财政拨款减少和收缩开支。</w:t>
      </w:r>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8" name="Drawing 7"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7" descr="部门财务分析"/>
                    <pic:cNvPicPr>
                      <a:picLocks noChangeAspect="1"/>
                    </pic:cNvPicPr>
                  </pic:nvPicPr>
                  <pic:blipFill>
                    <a:blip r:embed="rId13"/>
                    <a:stretch>
                      <a:fillRect/>
                    </a:stretch>
                  </pic:blipFill>
                  <pic:spPr>
                    <a:xfrm>
                      <a:off x="0" y="0"/>
                      <a:ext cx="6350000" cy="36957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4" w:name="_Toc436083534"/>
      <w:bookmarkStart w:id="85" w:name="_Toc503548891"/>
      <w:bookmarkStart w:id="86" w:name="_Toc35500817"/>
      <w:bookmarkStart w:id="87" w:name="_Toc35452589"/>
      <w:r>
        <w:rPr>
          <w:rFonts w:hint="eastAsia" w:ascii="仿宋" w:hAnsi="仿宋" w:eastAsia="仿宋"/>
          <w:b/>
        </w:rPr>
        <w:t>（四）</w:t>
      </w:r>
      <w:bookmarkEnd w:id="84"/>
      <w:bookmarkEnd w:id="85"/>
      <w:r>
        <w:rPr>
          <w:rFonts w:ascii="仿宋" w:hAnsi="仿宋" w:eastAsia="仿宋"/>
          <w:b/>
        </w:rPr>
        <w:t>政府部门财务管理情况。</w:t>
      </w:r>
      <w:bookmarkEnd w:id="86"/>
      <w:bookmarkEnd w:id="87"/>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1.部门预算管理：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部门预算编制前，做好财产清查、支出情况、异常需求分析等工作，摸清“家底”为正式编制年度预算做好准备。编制下年度部门预算时，首先对本年度的部门预算结果采取绩效评价的方法进行总结分析，将其预算执行情况和下年度的经济发展规划结合起来，预测下年度的收支状况来完成。部门预算的编制，要全面体现该部门的年度收支状况。收入方面要按照收入类别逐项核定，具体到单位和项目; 支出方面要按照支出类别、支出项目的轻重缓急安排经费; 对专项经费的支出要建立专门的连续性的预算计划。</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2. 内控管理：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按照《中共中央关于全面推进依法治国若干重大问题的决定》要求，对财政资金分配使用、国有资产监管、政府投资、政府采购、公共资源转让、公共工程建设等权力集中的部门和岗位实行分事行权、分岗设权、分级授权，定期轮岗，强化内部流程控制，防止权力滥用。成立内部控制领导小组，明确小组领导和成员构成，明确内部控制领导小组下设办公室，明确内控办成员单位的职责分工；建立分工明确、责任清晰、齐抓共管的内部控制组织管理架构，层层传导压力，层层抓好落实。</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 资产管理：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从制度到具体实施环节严格把控，防止国有资产流失，提高国有资产保值增值率。</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4.绩效管理：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紧紧围绕年度目标任务，以提高部门执行力和行政效能为重点，采取内部考核、服务对象评议与专家评估相结合的考核方法，坚持客观公正、公开透明、注重实效、简便易行的原则，逐步实现绩效考核工作的科学化、规范化和法制化，充分发挥绩效考核的导向和激励约束作用，不断提高绩效管理水平。以预算绩效管理为切入点，将绩效管理、评价贯彻部门行政。并重点对中央财政资金对下转移支付及车购税重点项目进行专项绩效评价。</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5. 人才队伍建设：</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定期进行财务人员专业化培训，从政策法规、会计制度等方面进行专项培训。</w:t>
      </w:r>
    </w:p>
    <w:p>
      <w:pPr>
        <w:pStyle w:val="110"/>
        <w:spacing w:line="360" w:lineRule="auto"/>
        <w:ind w:firstLine="600"/>
        <w:rPr>
          <w:rFonts w:hint="eastAsia" w:ascii="仿宋_GB2312" w:hAnsi="仿宋_GB2312" w:cs="仿宋_GB2312"/>
          <w:color w:val="auto"/>
          <w:szCs w:val="30"/>
          <w:lang w:val="en-US" w:eastAsia="zh-CN"/>
        </w:rPr>
      </w:pPr>
    </w:p>
    <w:p>
      <w:pPr>
        <w:pStyle w:val="110"/>
        <w:spacing w:line="360" w:lineRule="auto"/>
        <w:ind w:firstLine="600"/>
        <w:rPr>
          <w:rFonts w:hint="eastAsia" w:ascii="仿宋_GB2312" w:hAnsi="仿宋_GB2312" w:cs="仿宋_GB2312"/>
          <w:color w:val="auto"/>
          <w:szCs w:val="30"/>
          <w:lang w:val="en-US" w:eastAsia="zh-CN"/>
        </w:rPr>
      </w:pPr>
    </w:p>
    <w:p>
      <w:pPr>
        <w:spacing w:line="360" w:lineRule="auto"/>
        <w:ind w:firstLine="600" w:firstLineChars="200"/>
        <w:rPr>
          <w:rFonts w:ascii="仿宋" w:hAnsi="仿宋" w:eastAsia="仿宋"/>
          <w:color w:val="0070C0"/>
          <w:sz w:val="30"/>
          <w:szCs w:val="30"/>
        </w:rPr>
      </w:pPr>
    </w:p>
    <w:p>
      <w:pPr>
        <w:spacing w:line="360" w:lineRule="auto"/>
        <w:ind w:firstLine="600" w:firstLineChars="200"/>
        <w:rPr>
          <w:rFonts w:ascii="仿宋" w:hAnsi="仿宋" w:eastAsia="仿宋"/>
          <w:color w:val="0070C0"/>
          <w:sz w:val="30"/>
          <w:szCs w:val="30"/>
        </w:rPr>
      </w:pPr>
    </w:p>
    <w:sectPr>
      <w:pgSz w:w="11906" w:h="16838"/>
      <w:pgMar w:top="1440" w:right="1797" w:bottom="1440" w:left="1797"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rPr>
        <w:rFonts w:ascii="仿宋" w:hAnsi="仿宋" w:eastAsia="仿宋"/>
      </w:rPr>
    </w:pPr>
    <w:sdt>
      <w:sdtPr>
        <w:rPr>
          <w:rFonts w:ascii="仿宋" w:hAnsi="仿宋" w:eastAsia="仿宋"/>
        </w:rPr>
        <w:id w:val="-1690983955"/>
      </w:sdtPr>
      <w:sdtEndPr>
        <w:rPr>
          <w:rFonts w:ascii="仿宋" w:hAnsi="仿宋" w:eastAsia="仿宋"/>
        </w:rPr>
      </w:sdtEndPr>
      <w:sdtContent>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仿宋" w:hAnsi="仿宋" w:eastAsia="仿宋"/>
      </w:rPr>
      <w:id w:val="1038315459"/>
    </w:sdtPr>
    <w:sdtEndPr>
      <w:rPr>
        <w:rFonts w:ascii="仿宋" w:hAnsi="仿宋" w:eastAsia="仿宋"/>
      </w:rPr>
    </w:sdtEndPr>
    <w:sdtContent>
      <w:sdt>
        <w:sdtPr>
          <w:rPr>
            <w:rFonts w:ascii="仿宋" w:hAnsi="仿宋" w:eastAsia="仿宋"/>
          </w:rPr>
          <w:id w:val="-242650556"/>
        </w:sdtPr>
        <w:sdtEndPr>
          <w:rPr>
            <w:rFonts w:ascii="仿宋" w:hAnsi="仿宋" w:eastAsia="仿宋"/>
          </w:rPr>
        </w:sdtEndPr>
        <w:sdtContent>
          <w:p>
            <w:pPr>
              <w:pStyle w:val="21"/>
              <w:jc w:val="center"/>
              <w:rPr>
                <w:rFonts w:ascii="仿宋" w:hAnsi="仿宋" w:eastAsia="仿宋"/>
              </w:rPr>
            </w:pPr>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240024"/>
    </w:sdtPr>
    <w:sdtEndPr>
      <w:rPr>
        <w:rFonts w:ascii="Times New Roman" w:hAnsi="Times New Roman"/>
        <w:sz w:val="21"/>
        <w:szCs w:val="21"/>
      </w:rPr>
    </w:sdtEndPr>
    <w:sdtContent>
      <w:p>
        <w:pPr>
          <w:pStyle w:val="21"/>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1</w:t>
        </w:r>
        <w:r>
          <w:rPr>
            <w:rFonts w:ascii="Times New Roman" w:hAnsi="Times New Roman"/>
            <w:sz w:val="21"/>
            <w:szCs w:val="21"/>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6"/>
        <w:rPr>
          <w:rFonts w:asciiTheme="minorEastAsia" w:hAnsiTheme="minorEastAsia" w:eastAsiaTheme="minorEastAsia"/>
          <w:sz w:val="21"/>
          <w:szCs w:val="21"/>
        </w:rPr>
      </w:pPr>
      <w:r>
        <w:rPr>
          <w:rStyle w:val="42"/>
        </w:rPr>
        <w:footnoteRef/>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表</w:t>
      </w:r>
      <w:r>
        <w:rPr>
          <w:rFonts w:asciiTheme="minorEastAsia" w:hAnsiTheme="minorEastAsia" w:eastAsiaTheme="minorEastAsia"/>
          <w:sz w:val="21"/>
          <w:szCs w:val="21"/>
        </w:rPr>
        <w:t xml:space="preserve"> 2-2 的“其他费用”包括“业务活动费用”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“单位管理费用”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“经营费用”等会计科目中的其他部分。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A62931"/>
    <w:multiLevelType w:val="singleLevel"/>
    <w:tmpl w:val="D1A62931"/>
    <w:lvl w:ilvl="0" w:tentative="0">
      <w:start w:val="3"/>
      <w:numFmt w:val="decimal"/>
      <w:lvlText w:val="%1."/>
      <w:lvlJc w:val="left"/>
      <w:pPr>
        <w:tabs>
          <w:tab w:val="left" w:pos="312"/>
        </w:tabs>
      </w:pPr>
    </w:lvl>
  </w:abstractNum>
  <w:abstractNum w:abstractNumId="1">
    <w:nsid w:val="1AC79617"/>
    <w:multiLevelType w:val="singleLevel"/>
    <w:tmpl w:val="1AC79617"/>
    <w:lvl w:ilvl="0" w:tentative="0">
      <w:start w:val="6"/>
      <w:numFmt w:val="decimal"/>
      <w:lvlText w:val="%1."/>
      <w:lvlJc w:val="left"/>
      <w:pPr>
        <w:tabs>
          <w:tab w:val="left" w:pos="312"/>
        </w:tabs>
      </w:pPr>
    </w:lvl>
  </w:abstractNum>
  <w:abstractNum w:abstractNumId="2">
    <w:nsid w:val="7D59E3BC"/>
    <w:multiLevelType w:val="singleLevel"/>
    <w:tmpl w:val="7D59E3BC"/>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20"/>
  <w:drawingGridVerticalSpacing w:val="163"/>
  <w:noPunctuationKerning w:val="1"/>
  <w:characterSpacingControl w:val="doNotCompress"/>
  <w:noLineBreaksAfter w:lang="zh-CN" w:val="$([{£¥·‘“〈《「『【〔〖〝﹙﹛﹝＄（．［｛￡￥"/>
  <w:noLineBreaksBefore w:lang="zh-CN" w:val="!%),.:;&gt;?]}¢¨°·ˇˉ―‖’”…‰′″›℃∶、。〃〉》」』】〕〗〞︶︺︾﹀﹄﹚﹜﹞！＂％＇），．：；？］｀｜｝～￠"/>
  <w:footnotePr>
    <w:numFmt w:val="decimalEnclosedCircleChinese"/>
  </w:foot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0A"/>
    <w:rsid w:val="00000769"/>
    <w:rsid w:val="00001875"/>
    <w:rsid w:val="00001DA2"/>
    <w:rsid w:val="00003542"/>
    <w:rsid w:val="00003D4F"/>
    <w:rsid w:val="00005D80"/>
    <w:rsid w:val="00006043"/>
    <w:rsid w:val="000073F5"/>
    <w:rsid w:val="0001053B"/>
    <w:rsid w:val="000116C9"/>
    <w:rsid w:val="00012C4B"/>
    <w:rsid w:val="00012EB0"/>
    <w:rsid w:val="00013EC7"/>
    <w:rsid w:val="0001401B"/>
    <w:rsid w:val="00014AA7"/>
    <w:rsid w:val="00015324"/>
    <w:rsid w:val="00016B3D"/>
    <w:rsid w:val="00017068"/>
    <w:rsid w:val="00020A10"/>
    <w:rsid w:val="000220CF"/>
    <w:rsid w:val="00022E5B"/>
    <w:rsid w:val="00024E2E"/>
    <w:rsid w:val="00030B80"/>
    <w:rsid w:val="0003107E"/>
    <w:rsid w:val="0003429E"/>
    <w:rsid w:val="000355A9"/>
    <w:rsid w:val="00035C9B"/>
    <w:rsid w:val="000406AA"/>
    <w:rsid w:val="00042520"/>
    <w:rsid w:val="00043D78"/>
    <w:rsid w:val="00044F77"/>
    <w:rsid w:val="00045215"/>
    <w:rsid w:val="0004568F"/>
    <w:rsid w:val="00045AB1"/>
    <w:rsid w:val="00051605"/>
    <w:rsid w:val="000518FB"/>
    <w:rsid w:val="000550B8"/>
    <w:rsid w:val="00057002"/>
    <w:rsid w:val="00060A24"/>
    <w:rsid w:val="000648ED"/>
    <w:rsid w:val="000658F0"/>
    <w:rsid w:val="000671C8"/>
    <w:rsid w:val="00067E05"/>
    <w:rsid w:val="000705FA"/>
    <w:rsid w:val="00070862"/>
    <w:rsid w:val="00071A7A"/>
    <w:rsid w:val="00075C7E"/>
    <w:rsid w:val="00075F12"/>
    <w:rsid w:val="000774A6"/>
    <w:rsid w:val="000823CD"/>
    <w:rsid w:val="000838FB"/>
    <w:rsid w:val="00084BB6"/>
    <w:rsid w:val="000850F5"/>
    <w:rsid w:val="00086A07"/>
    <w:rsid w:val="000870A3"/>
    <w:rsid w:val="00090C8A"/>
    <w:rsid w:val="000922B9"/>
    <w:rsid w:val="000949F2"/>
    <w:rsid w:val="000958AE"/>
    <w:rsid w:val="00097B38"/>
    <w:rsid w:val="000A12FF"/>
    <w:rsid w:val="000A16A6"/>
    <w:rsid w:val="000A2130"/>
    <w:rsid w:val="000A22D9"/>
    <w:rsid w:val="000A44B0"/>
    <w:rsid w:val="000A4CD0"/>
    <w:rsid w:val="000A514F"/>
    <w:rsid w:val="000A60C9"/>
    <w:rsid w:val="000A7312"/>
    <w:rsid w:val="000A7E42"/>
    <w:rsid w:val="000B1C40"/>
    <w:rsid w:val="000B1C95"/>
    <w:rsid w:val="000B7274"/>
    <w:rsid w:val="000B7A45"/>
    <w:rsid w:val="000C0493"/>
    <w:rsid w:val="000C08B8"/>
    <w:rsid w:val="000C092E"/>
    <w:rsid w:val="000C0C01"/>
    <w:rsid w:val="000C0F1F"/>
    <w:rsid w:val="000C29C6"/>
    <w:rsid w:val="000C3DEA"/>
    <w:rsid w:val="000C48D6"/>
    <w:rsid w:val="000C490D"/>
    <w:rsid w:val="000C5B8A"/>
    <w:rsid w:val="000C6630"/>
    <w:rsid w:val="000D069C"/>
    <w:rsid w:val="000D2D84"/>
    <w:rsid w:val="000D575F"/>
    <w:rsid w:val="000D7026"/>
    <w:rsid w:val="000E296D"/>
    <w:rsid w:val="000E2AFB"/>
    <w:rsid w:val="000E552E"/>
    <w:rsid w:val="000E607C"/>
    <w:rsid w:val="000E7147"/>
    <w:rsid w:val="000F050D"/>
    <w:rsid w:val="000F0E6A"/>
    <w:rsid w:val="000F0E76"/>
    <w:rsid w:val="000F1A84"/>
    <w:rsid w:val="000F486C"/>
    <w:rsid w:val="00101331"/>
    <w:rsid w:val="00101871"/>
    <w:rsid w:val="00102186"/>
    <w:rsid w:val="00102256"/>
    <w:rsid w:val="00102702"/>
    <w:rsid w:val="0010314B"/>
    <w:rsid w:val="00103C6B"/>
    <w:rsid w:val="00104C9B"/>
    <w:rsid w:val="00105AEE"/>
    <w:rsid w:val="00107B24"/>
    <w:rsid w:val="001107A6"/>
    <w:rsid w:val="001118AF"/>
    <w:rsid w:val="00111CD8"/>
    <w:rsid w:val="00112D8E"/>
    <w:rsid w:val="001142C8"/>
    <w:rsid w:val="001147E2"/>
    <w:rsid w:val="00115725"/>
    <w:rsid w:val="00115E97"/>
    <w:rsid w:val="0012075A"/>
    <w:rsid w:val="00122A2B"/>
    <w:rsid w:val="001249B1"/>
    <w:rsid w:val="00125531"/>
    <w:rsid w:val="00126554"/>
    <w:rsid w:val="00127BC8"/>
    <w:rsid w:val="00130483"/>
    <w:rsid w:val="00130C64"/>
    <w:rsid w:val="0013119C"/>
    <w:rsid w:val="001360A0"/>
    <w:rsid w:val="00136B58"/>
    <w:rsid w:val="0013729D"/>
    <w:rsid w:val="001378A2"/>
    <w:rsid w:val="00141101"/>
    <w:rsid w:val="00141CC6"/>
    <w:rsid w:val="00143282"/>
    <w:rsid w:val="00144A75"/>
    <w:rsid w:val="0014526F"/>
    <w:rsid w:val="0015075E"/>
    <w:rsid w:val="001511CD"/>
    <w:rsid w:val="001632D2"/>
    <w:rsid w:val="0016377B"/>
    <w:rsid w:val="001641DD"/>
    <w:rsid w:val="001649F2"/>
    <w:rsid w:val="0016697A"/>
    <w:rsid w:val="00167CC1"/>
    <w:rsid w:val="00167DF7"/>
    <w:rsid w:val="00172398"/>
    <w:rsid w:val="001728C1"/>
    <w:rsid w:val="00173869"/>
    <w:rsid w:val="0018105E"/>
    <w:rsid w:val="001856D7"/>
    <w:rsid w:val="00186921"/>
    <w:rsid w:val="001871E1"/>
    <w:rsid w:val="001879A6"/>
    <w:rsid w:val="00192BFF"/>
    <w:rsid w:val="00193CDE"/>
    <w:rsid w:val="001942C0"/>
    <w:rsid w:val="001A066C"/>
    <w:rsid w:val="001A0727"/>
    <w:rsid w:val="001A206F"/>
    <w:rsid w:val="001A50A4"/>
    <w:rsid w:val="001B1C30"/>
    <w:rsid w:val="001B1E04"/>
    <w:rsid w:val="001B22EA"/>
    <w:rsid w:val="001B331A"/>
    <w:rsid w:val="001B5606"/>
    <w:rsid w:val="001B57C1"/>
    <w:rsid w:val="001B6347"/>
    <w:rsid w:val="001C449F"/>
    <w:rsid w:val="001C517D"/>
    <w:rsid w:val="001C53B3"/>
    <w:rsid w:val="001C553C"/>
    <w:rsid w:val="001C6110"/>
    <w:rsid w:val="001C74F9"/>
    <w:rsid w:val="001D0EC0"/>
    <w:rsid w:val="001D2EA7"/>
    <w:rsid w:val="001D6874"/>
    <w:rsid w:val="001D74A1"/>
    <w:rsid w:val="001E4D19"/>
    <w:rsid w:val="001E57FA"/>
    <w:rsid w:val="001F54C8"/>
    <w:rsid w:val="001F5A03"/>
    <w:rsid w:val="001F79E5"/>
    <w:rsid w:val="0020407F"/>
    <w:rsid w:val="0020598F"/>
    <w:rsid w:val="00206746"/>
    <w:rsid w:val="00206BB0"/>
    <w:rsid w:val="002076E3"/>
    <w:rsid w:val="00210A2B"/>
    <w:rsid w:val="002118F2"/>
    <w:rsid w:val="00214FEF"/>
    <w:rsid w:val="002175DD"/>
    <w:rsid w:val="00217E61"/>
    <w:rsid w:val="00217F6E"/>
    <w:rsid w:val="002209DF"/>
    <w:rsid w:val="00221E15"/>
    <w:rsid w:val="00224F54"/>
    <w:rsid w:val="00225950"/>
    <w:rsid w:val="00225E1C"/>
    <w:rsid w:val="00226734"/>
    <w:rsid w:val="00226EE9"/>
    <w:rsid w:val="00232060"/>
    <w:rsid w:val="00232F1D"/>
    <w:rsid w:val="00233FC4"/>
    <w:rsid w:val="00234B3B"/>
    <w:rsid w:val="00235F8B"/>
    <w:rsid w:val="00236D26"/>
    <w:rsid w:val="0024034A"/>
    <w:rsid w:val="002418CD"/>
    <w:rsid w:val="00241AA8"/>
    <w:rsid w:val="00242525"/>
    <w:rsid w:val="00242E1C"/>
    <w:rsid w:val="00243AED"/>
    <w:rsid w:val="00244DC8"/>
    <w:rsid w:val="00245188"/>
    <w:rsid w:val="0024707D"/>
    <w:rsid w:val="002512A3"/>
    <w:rsid w:val="00254782"/>
    <w:rsid w:val="0025565A"/>
    <w:rsid w:val="00255F1C"/>
    <w:rsid w:val="002565BE"/>
    <w:rsid w:val="002575F2"/>
    <w:rsid w:val="002578CB"/>
    <w:rsid w:val="00260466"/>
    <w:rsid w:val="00260805"/>
    <w:rsid w:val="00260A30"/>
    <w:rsid w:val="00260EEB"/>
    <w:rsid w:val="00262284"/>
    <w:rsid w:val="00262A7D"/>
    <w:rsid w:val="0026475C"/>
    <w:rsid w:val="00264D04"/>
    <w:rsid w:val="00264D9F"/>
    <w:rsid w:val="0026523B"/>
    <w:rsid w:val="00270F44"/>
    <w:rsid w:val="00271F2D"/>
    <w:rsid w:val="00272542"/>
    <w:rsid w:val="002744F3"/>
    <w:rsid w:val="00277626"/>
    <w:rsid w:val="00280B8A"/>
    <w:rsid w:val="00280F92"/>
    <w:rsid w:val="0028166B"/>
    <w:rsid w:val="002831B2"/>
    <w:rsid w:val="00291EB7"/>
    <w:rsid w:val="002924D5"/>
    <w:rsid w:val="00295DF2"/>
    <w:rsid w:val="00295E23"/>
    <w:rsid w:val="0029609F"/>
    <w:rsid w:val="0029654A"/>
    <w:rsid w:val="0029710A"/>
    <w:rsid w:val="002A04E4"/>
    <w:rsid w:val="002A1C06"/>
    <w:rsid w:val="002A2024"/>
    <w:rsid w:val="002A2C9B"/>
    <w:rsid w:val="002A3752"/>
    <w:rsid w:val="002A37E3"/>
    <w:rsid w:val="002A4231"/>
    <w:rsid w:val="002A534D"/>
    <w:rsid w:val="002B2B8B"/>
    <w:rsid w:val="002B388D"/>
    <w:rsid w:val="002B4B1E"/>
    <w:rsid w:val="002B588B"/>
    <w:rsid w:val="002B6211"/>
    <w:rsid w:val="002B62E2"/>
    <w:rsid w:val="002B7809"/>
    <w:rsid w:val="002B795A"/>
    <w:rsid w:val="002C183C"/>
    <w:rsid w:val="002C1D74"/>
    <w:rsid w:val="002C1F43"/>
    <w:rsid w:val="002C309E"/>
    <w:rsid w:val="002C4368"/>
    <w:rsid w:val="002C4683"/>
    <w:rsid w:val="002C604A"/>
    <w:rsid w:val="002D0E07"/>
    <w:rsid w:val="002D2483"/>
    <w:rsid w:val="002D26B5"/>
    <w:rsid w:val="002D2A22"/>
    <w:rsid w:val="002D4937"/>
    <w:rsid w:val="002D649B"/>
    <w:rsid w:val="002D67E7"/>
    <w:rsid w:val="002D6A3D"/>
    <w:rsid w:val="002E16FD"/>
    <w:rsid w:val="002E245A"/>
    <w:rsid w:val="002E3516"/>
    <w:rsid w:val="002E3759"/>
    <w:rsid w:val="002E45B4"/>
    <w:rsid w:val="002E691F"/>
    <w:rsid w:val="002E6C0C"/>
    <w:rsid w:val="002F0EA9"/>
    <w:rsid w:val="002F1523"/>
    <w:rsid w:val="002F34FA"/>
    <w:rsid w:val="002F3C42"/>
    <w:rsid w:val="002F4770"/>
    <w:rsid w:val="002F4EDB"/>
    <w:rsid w:val="002F6DCE"/>
    <w:rsid w:val="003000F8"/>
    <w:rsid w:val="003006A4"/>
    <w:rsid w:val="003012C1"/>
    <w:rsid w:val="00302AE0"/>
    <w:rsid w:val="003039C2"/>
    <w:rsid w:val="003060CB"/>
    <w:rsid w:val="00306E2E"/>
    <w:rsid w:val="00306F77"/>
    <w:rsid w:val="00307420"/>
    <w:rsid w:val="00311C3D"/>
    <w:rsid w:val="00314926"/>
    <w:rsid w:val="0032056A"/>
    <w:rsid w:val="00320698"/>
    <w:rsid w:val="00326C84"/>
    <w:rsid w:val="00327462"/>
    <w:rsid w:val="00333D5B"/>
    <w:rsid w:val="00335816"/>
    <w:rsid w:val="00341346"/>
    <w:rsid w:val="00341BEE"/>
    <w:rsid w:val="00341C57"/>
    <w:rsid w:val="00343C87"/>
    <w:rsid w:val="003462B8"/>
    <w:rsid w:val="003479F1"/>
    <w:rsid w:val="00350559"/>
    <w:rsid w:val="00354927"/>
    <w:rsid w:val="00361205"/>
    <w:rsid w:val="0036131C"/>
    <w:rsid w:val="0036266F"/>
    <w:rsid w:val="003632B8"/>
    <w:rsid w:val="0036359D"/>
    <w:rsid w:val="00364BE9"/>
    <w:rsid w:val="00365C39"/>
    <w:rsid w:val="0036707D"/>
    <w:rsid w:val="003707CA"/>
    <w:rsid w:val="00371E8B"/>
    <w:rsid w:val="00372264"/>
    <w:rsid w:val="0037232F"/>
    <w:rsid w:val="00373254"/>
    <w:rsid w:val="0037524B"/>
    <w:rsid w:val="00381C97"/>
    <w:rsid w:val="00382847"/>
    <w:rsid w:val="003829A0"/>
    <w:rsid w:val="0038357D"/>
    <w:rsid w:val="00385BA4"/>
    <w:rsid w:val="00387FD3"/>
    <w:rsid w:val="00392067"/>
    <w:rsid w:val="00393FE8"/>
    <w:rsid w:val="00394F7D"/>
    <w:rsid w:val="003969ED"/>
    <w:rsid w:val="003979C6"/>
    <w:rsid w:val="003A1794"/>
    <w:rsid w:val="003A1EE9"/>
    <w:rsid w:val="003A405A"/>
    <w:rsid w:val="003A6767"/>
    <w:rsid w:val="003B58BB"/>
    <w:rsid w:val="003B5EAE"/>
    <w:rsid w:val="003B78FC"/>
    <w:rsid w:val="003C0A80"/>
    <w:rsid w:val="003C4B8E"/>
    <w:rsid w:val="003C5B87"/>
    <w:rsid w:val="003C5BB6"/>
    <w:rsid w:val="003C62A8"/>
    <w:rsid w:val="003D072F"/>
    <w:rsid w:val="003D1F35"/>
    <w:rsid w:val="003D3EA0"/>
    <w:rsid w:val="003D5F6D"/>
    <w:rsid w:val="003E1876"/>
    <w:rsid w:val="003E18C3"/>
    <w:rsid w:val="003E3A15"/>
    <w:rsid w:val="003E44B6"/>
    <w:rsid w:val="003E52D0"/>
    <w:rsid w:val="003E74FE"/>
    <w:rsid w:val="003E75AE"/>
    <w:rsid w:val="003F0EC3"/>
    <w:rsid w:val="003F1734"/>
    <w:rsid w:val="003F1EE5"/>
    <w:rsid w:val="003F37D7"/>
    <w:rsid w:val="003F3DC0"/>
    <w:rsid w:val="003F532D"/>
    <w:rsid w:val="003F6B4B"/>
    <w:rsid w:val="003F7411"/>
    <w:rsid w:val="0040197A"/>
    <w:rsid w:val="0040235A"/>
    <w:rsid w:val="00404858"/>
    <w:rsid w:val="00406A6E"/>
    <w:rsid w:val="00407AD0"/>
    <w:rsid w:val="00410E70"/>
    <w:rsid w:val="00411585"/>
    <w:rsid w:val="00411BEA"/>
    <w:rsid w:val="004124B2"/>
    <w:rsid w:val="00412F4A"/>
    <w:rsid w:val="0041350E"/>
    <w:rsid w:val="004152A1"/>
    <w:rsid w:val="00415CA8"/>
    <w:rsid w:val="00420B87"/>
    <w:rsid w:val="004217D6"/>
    <w:rsid w:val="00422763"/>
    <w:rsid w:val="0042361A"/>
    <w:rsid w:val="00423902"/>
    <w:rsid w:val="00423A5F"/>
    <w:rsid w:val="004247B7"/>
    <w:rsid w:val="00426813"/>
    <w:rsid w:val="00426BB1"/>
    <w:rsid w:val="00431DB6"/>
    <w:rsid w:val="00431E78"/>
    <w:rsid w:val="004365FA"/>
    <w:rsid w:val="00436998"/>
    <w:rsid w:val="00437111"/>
    <w:rsid w:val="00437AB5"/>
    <w:rsid w:val="00441A52"/>
    <w:rsid w:val="00441A6C"/>
    <w:rsid w:val="004455B3"/>
    <w:rsid w:val="004479CB"/>
    <w:rsid w:val="00450B61"/>
    <w:rsid w:val="0045156C"/>
    <w:rsid w:val="004546B3"/>
    <w:rsid w:val="00455A18"/>
    <w:rsid w:val="004560AC"/>
    <w:rsid w:val="00460758"/>
    <w:rsid w:val="00460839"/>
    <w:rsid w:val="00461438"/>
    <w:rsid w:val="0046160E"/>
    <w:rsid w:val="0046582D"/>
    <w:rsid w:val="004672EE"/>
    <w:rsid w:val="0047032C"/>
    <w:rsid w:val="00473604"/>
    <w:rsid w:val="00473EE6"/>
    <w:rsid w:val="00474044"/>
    <w:rsid w:val="004744DB"/>
    <w:rsid w:val="004755AE"/>
    <w:rsid w:val="004756F4"/>
    <w:rsid w:val="00475A1E"/>
    <w:rsid w:val="00475C1D"/>
    <w:rsid w:val="00477567"/>
    <w:rsid w:val="004823A1"/>
    <w:rsid w:val="00487EC4"/>
    <w:rsid w:val="004939D3"/>
    <w:rsid w:val="00493C54"/>
    <w:rsid w:val="0049482B"/>
    <w:rsid w:val="00497183"/>
    <w:rsid w:val="004A0918"/>
    <w:rsid w:val="004A0FFA"/>
    <w:rsid w:val="004A5AA1"/>
    <w:rsid w:val="004A75E4"/>
    <w:rsid w:val="004B1FFF"/>
    <w:rsid w:val="004B347A"/>
    <w:rsid w:val="004B4201"/>
    <w:rsid w:val="004B481F"/>
    <w:rsid w:val="004B67B2"/>
    <w:rsid w:val="004C0072"/>
    <w:rsid w:val="004C08A5"/>
    <w:rsid w:val="004C0AD5"/>
    <w:rsid w:val="004C1B17"/>
    <w:rsid w:val="004C2304"/>
    <w:rsid w:val="004C2A23"/>
    <w:rsid w:val="004C2B6C"/>
    <w:rsid w:val="004C307C"/>
    <w:rsid w:val="004C426F"/>
    <w:rsid w:val="004D463C"/>
    <w:rsid w:val="004D7C97"/>
    <w:rsid w:val="004E075C"/>
    <w:rsid w:val="004E1E4A"/>
    <w:rsid w:val="004E2C9F"/>
    <w:rsid w:val="004E4555"/>
    <w:rsid w:val="004E612E"/>
    <w:rsid w:val="004E6ABC"/>
    <w:rsid w:val="004E73C0"/>
    <w:rsid w:val="004E7CFD"/>
    <w:rsid w:val="004F185B"/>
    <w:rsid w:val="004F2020"/>
    <w:rsid w:val="004F23C8"/>
    <w:rsid w:val="004F294C"/>
    <w:rsid w:val="004F4CDF"/>
    <w:rsid w:val="004F617B"/>
    <w:rsid w:val="004F6DCF"/>
    <w:rsid w:val="004F749E"/>
    <w:rsid w:val="004F7669"/>
    <w:rsid w:val="00501133"/>
    <w:rsid w:val="00501429"/>
    <w:rsid w:val="00503E30"/>
    <w:rsid w:val="0050421A"/>
    <w:rsid w:val="00505893"/>
    <w:rsid w:val="005058E0"/>
    <w:rsid w:val="00505ED0"/>
    <w:rsid w:val="005136AC"/>
    <w:rsid w:val="00514C0A"/>
    <w:rsid w:val="00515777"/>
    <w:rsid w:val="00517E82"/>
    <w:rsid w:val="00520829"/>
    <w:rsid w:val="00522778"/>
    <w:rsid w:val="00522A14"/>
    <w:rsid w:val="00524170"/>
    <w:rsid w:val="005263C4"/>
    <w:rsid w:val="005265FF"/>
    <w:rsid w:val="00526F99"/>
    <w:rsid w:val="00527657"/>
    <w:rsid w:val="00530903"/>
    <w:rsid w:val="00531AE8"/>
    <w:rsid w:val="00531EC4"/>
    <w:rsid w:val="0053361D"/>
    <w:rsid w:val="00535062"/>
    <w:rsid w:val="0053530D"/>
    <w:rsid w:val="0053720C"/>
    <w:rsid w:val="00537CB8"/>
    <w:rsid w:val="005434A6"/>
    <w:rsid w:val="0054542F"/>
    <w:rsid w:val="005471A0"/>
    <w:rsid w:val="00550C5C"/>
    <w:rsid w:val="00552C69"/>
    <w:rsid w:val="00555575"/>
    <w:rsid w:val="005570BA"/>
    <w:rsid w:val="00561665"/>
    <w:rsid w:val="0056294E"/>
    <w:rsid w:val="00565210"/>
    <w:rsid w:val="00565A04"/>
    <w:rsid w:val="00567528"/>
    <w:rsid w:val="00576B53"/>
    <w:rsid w:val="00586B31"/>
    <w:rsid w:val="00587292"/>
    <w:rsid w:val="005929B4"/>
    <w:rsid w:val="00595F93"/>
    <w:rsid w:val="005A1DB5"/>
    <w:rsid w:val="005A4D96"/>
    <w:rsid w:val="005A6D77"/>
    <w:rsid w:val="005A7093"/>
    <w:rsid w:val="005A7C46"/>
    <w:rsid w:val="005B1194"/>
    <w:rsid w:val="005B1AE9"/>
    <w:rsid w:val="005B2D7B"/>
    <w:rsid w:val="005B5A3C"/>
    <w:rsid w:val="005B703E"/>
    <w:rsid w:val="005C0A7D"/>
    <w:rsid w:val="005C1012"/>
    <w:rsid w:val="005C1440"/>
    <w:rsid w:val="005C284E"/>
    <w:rsid w:val="005C3A71"/>
    <w:rsid w:val="005C4BBB"/>
    <w:rsid w:val="005C7B69"/>
    <w:rsid w:val="005D28B0"/>
    <w:rsid w:val="005D3D84"/>
    <w:rsid w:val="005D55D8"/>
    <w:rsid w:val="005D6099"/>
    <w:rsid w:val="005D6706"/>
    <w:rsid w:val="005D6852"/>
    <w:rsid w:val="005E0029"/>
    <w:rsid w:val="005E1967"/>
    <w:rsid w:val="005E1BA0"/>
    <w:rsid w:val="005F0174"/>
    <w:rsid w:val="005F2993"/>
    <w:rsid w:val="005F37A4"/>
    <w:rsid w:val="005F3894"/>
    <w:rsid w:val="005F3F3D"/>
    <w:rsid w:val="005F4691"/>
    <w:rsid w:val="005F6324"/>
    <w:rsid w:val="005F7596"/>
    <w:rsid w:val="006019C3"/>
    <w:rsid w:val="00601C9D"/>
    <w:rsid w:val="006032DD"/>
    <w:rsid w:val="006046F3"/>
    <w:rsid w:val="00606051"/>
    <w:rsid w:val="00612313"/>
    <w:rsid w:val="00613747"/>
    <w:rsid w:val="00614EDD"/>
    <w:rsid w:val="00616C81"/>
    <w:rsid w:val="00622158"/>
    <w:rsid w:val="00622D9B"/>
    <w:rsid w:val="006236B4"/>
    <w:rsid w:val="00623787"/>
    <w:rsid w:val="006244E0"/>
    <w:rsid w:val="0062468A"/>
    <w:rsid w:val="00626C88"/>
    <w:rsid w:val="00626D13"/>
    <w:rsid w:val="00631E9A"/>
    <w:rsid w:val="00631F22"/>
    <w:rsid w:val="00633D13"/>
    <w:rsid w:val="00634924"/>
    <w:rsid w:val="00635C52"/>
    <w:rsid w:val="00636295"/>
    <w:rsid w:val="00640FAA"/>
    <w:rsid w:val="00641CEE"/>
    <w:rsid w:val="00642B29"/>
    <w:rsid w:val="00642DA5"/>
    <w:rsid w:val="00642E1E"/>
    <w:rsid w:val="0064338C"/>
    <w:rsid w:val="00643467"/>
    <w:rsid w:val="0064438F"/>
    <w:rsid w:val="00646035"/>
    <w:rsid w:val="006461C9"/>
    <w:rsid w:val="00646F24"/>
    <w:rsid w:val="00650DF3"/>
    <w:rsid w:val="00652400"/>
    <w:rsid w:val="00653A00"/>
    <w:rsid w:val="0066061A"/>
    <w:rsid w:val="006607A6"/>
    <w:rsid w:val="006612B3"/>
    <w:rsid w:val="0066282D"/>
    <w:rsid w:val="00663DCC"/>
    <w:rsid w:val="00664F21"/>
    <w:rsid w:val="006650B1"/>
    <w:rsid w:val="006654E2"/>
    <w:rsid w:val="006679F2"/>
    <w:rsid w:val="00667AC0"/>
    <w:rsid w:val="006711E6"/>
    <w:rsid w:val="006714D3"/>
    <w:rsid w:val="00671C86"/>
    <w:rsid w:val="006725E8"/>
    <w:rsid w:val="00677BD2"/>
    <w:rsid w:val="00677E15"/>
    <w:rsid w:val="00681398"/>
    <w:rsid w:val="00682700"/>
    <w:rsid w:val="006855DB"/>
    <w:rsid w:val="00686B5D"/>
    <w:rsid w:val="006906FD"/>
    <w:rsid w:val="00691B55"/>
    <w:rsid w:val="006922D7"/>
    <w:rsid w:val="00692810"/>
    <w:rsid w:val="006933EE"/>
    <w:rsid w:val="0069599C"/>
    <w:rsid w:val="00695A9C"/>
    <w:rsid w:val="00696848"/>
    <w:rsid w:val="006A14CE"/>
    <w:rsid w:val="006A3E5A"/>
    <w:rsid w:val="006A4575"/>
    <w:rsid w:val="006A470F"/>
    <w:rsid w:val="006A591A"/>
    <w:rsid w:val="006A6C27"/>
    <w:rsid w:val="006A6D16"/>
    <w:rsid w:val="006B160E"/>
    <w:rsid w:val="006B31A3"/>
    <w:rsid w:val="006B3DF3"/>
    <w:rsid w:val="006B4B49"/>
    <w:rsid w:val="006B4BB9"/>
    <w:rsid w:val="006B53BB"/>
    <w:rsid w:val="006B699C"/>
    <w:rsid w:val="006B6C70"/>
    <w:rsid w:val="006B770E"/>
    <w:rsid w:val="006C0FCF"/>
    <w:rsid w:val="006C50EE"/>
    <w:rsid w:val="006C54FA"/>
    <w:rsid w:val="006C5F4C"/>
    <w:rsid w:val="006C5FFC"/>
    <w:rsid w:val="006D00A4"/>
    <w:rsid w:val="006D0CB8"/>
    <w:rsid w:val="006D16E2"/>
    <w:rsid w:val="006D1EE1"/>
    <w:rsid w:val="006D2ED7"/>
    <w:rsid w:val="006D3976"/>
    <w:rsid w:val="006D534E"/>
    <w:rsid w:val="006D70C1"/>
    <w:rsid w:val="006D71AA"/>
    <w:rsid w:val="006E3072"/>
    <w:rsid w:val="006E4FA4"/>
    <w:rsid w:val="006E5499"/>
    <w:rsid w:val="006E5D09"/>
    <w:rsid w:val="006E5D2B"/>
    <w:rsid w:val="006E6377"/>
    <w:rsid w:val="006E73BF"/>
    <w:rsid w:val="006F021E"/>
    <w:rsid w:val="006F1820"/>
    <w:rsid w:val="006F25B2"/>
    <w:rsid w:val="006F2E86"/>
    <w:rsid w:val="006F483D"/>
    <w:rsid w:val="006F6017"/>
    <w:rsid w:val="00701D9F"/>
    <w:rsid w:val="00702C4F"/>
    <w:rsid w:val="00706EF1"/>
    <w:rsid w:val="007071EF"/>
    <w:rsid w:val="007110C3"/>
    <w:rsid w:val="00711204"/>
    <w:rsid w:val="00711D7D"/>
    <w:rsid w:val="007124F0"/>
    <w:rsid w:val="007129EC"/>
    <w:rsid w:val="00714952"/>
    <w:rsid w:val="00715ED1"/>
    <w:rsid w:val="007164D9"/>
    <w:rsid w:val="00716FF6"/>
    <w:rsid w:val="007174F1"/>
    <w:rsid w:val="007209C1"/>
    <w:rsid w:val="00720A59"/>
    <w:rsid w:val="0072221C"/>
    <w:rsid w:val="007236DE"/>
    <w:rsid w:val="00723E0A"/>
    <w:rsid w:val="00726964"/>
    <w:rsid w:val="00727924"/>
    <w:rsid w:val="00730223"/>
    <w:rsid w:val="00730F22"/>
    <w:rsid w:val="00731692"/>
    <w:rsid w:val="00733312"/>
    <w:rsid w:val="0073481D"/>
    <w:rsid w:val="00734FF6"/>
    <w:rsid w:val="0073576C"/>
    <w:rsid w:val="0073658A"/>
    <w:rsid w:val="00740007"/>
    <w:rsid w:val="00740BAC"/>
    <w:rsid w:val="00740CDE"/>
    <w:rsid w:val="00740DE7"/>
    <w:rsid w:val="007414ED"/>
    <w:rsid w:val="0074244B"/>
    <w:rsid w:val="00743ACF"/>
    <w:rsid w:val="0074448F"/>
    <w:rsid w:val="00747295"/>
    <w:rsid w:val="007504A0"/>
    <w:rsid w:val="007512AA"/>
    <w:rsid w:val="007525E1"/>
    <w:rsid w:val="00752FCF"/>
    <w:rsid w:val="007609BC"/>
    <w:rsid w:val="00764ED2"/>
    <w:rsid w:val="00764FF4"/>
    <w:rsid w:val="007665B0"/>
    <w:rsid w:val="00766611"/>
    <w:rsid w:val="00767014"/>
    <w:rsid w:val="00767F8B"/>
    <w:rsid w:val="00770333"/>
    <w:rsid w:val="00771B04"/>
    <w:rsid w:val="007741A2"/>
    <w:rsid w:val="007743BB"/>
    <w:rsid w:val="00777CBF"/>
    <w:rsid w:val="00777D9B"/>
    <w:rsid w:val="00780577"/>
    <w:rsid w:val="007830C8"/>
    <w:rsid w:val="00784432"/>
    <w:rsid w:val="007849C7"/>
    <w:rsid w:val="00786101"/>
    <w:rsid w:val="00786547"/>
    <w:rsid w:val="007879D6"/>
    <w:rsid w:val="00790B09"/>
    <w:rsid w:val="007920E6"/>
    <w:rsid w:val="00792C51"/>
    <w:rsid w:val="00792CCC"/>
    <w:rsid w:val="00793A3A"/>
    <w:rsid w:val="0079478B"/>
    <w:rsid w:val="00796211"/>
    <w:rsid w:val="00797D2C"/>
    <w:rsid w:val="007A13F6"/>
    <w:rsid w:val="007A187E"/>
    <w:rsid w:val="007A1AA9"/>
    <w:rsid w:val="007A2C86"/>
    <w:rsid w:val="007A35DA"/>
    <w:rsid w:val="007A39AE"/>
    <w:rsid w:val="007A40FD"/>
    <w:rsid w:val="007A421E"/>
    <w:rsid w:val="007A469B"/>
    <w:rsid w:val="007A4786"/>
    <w:rsid w:val="007A5415"/>
    <w:rsid w:val="007A5B34"/>
    <w:rsid w:val="007A615C"/>
    <w:rsid w:val="007A62A2"/>
    <w:rsid w:val="007B1999"/>
    <w:rsid w:val="007B1D2C"/>
    <w:rsid w:val="007B47C4"/>
    <w:rsid w:val="007B5070"/>
    <w:rsid w:val="007B667C"/>
    <w:rsid w:val="007B69B1"/>
    <w:rsid w:val="007B77E3"/>
    <w:rsid w:val="007B7E1B"/>
    <w:rsid w:val="007C1794"/>
    <w:rsid w:val="007C1FDD"/>
    <w:rsid w:val="007C434F"/>
    <w:rsid w:val="007D1094"/>
    <w:rsid w:val="007D1993"/>
    <w:rsid w:val="007D2C9B"/>
    <w:rsid w:val="007D3AB6"/>
    <w:rsid w:val="007D3B7B"/>
    <w:rsid w:val="007D42FD"/>
    <w:rsid w:val="007D4D1D"/>
    <w:rsid w:val="007D73B8"/>
    <w:rsid w:val="007E1BDE"/>
    <w:rsid w:val="007E416E"/>
    <w:rsid w:val="007E4F26"/>
    <w:rsid w:val="007E6D06"/>
    <w:rsid w:val="007F0ECD"/>
    <w:rsid w:val="007F599C"/>
    <w:rsid w:val="00800A2F"/>
    <w:rsid w:val="00803997"/>
    <w:rsid w:val="0080433F"/>
    <w:rsid w:val="0080608F"/>
    <w:rsid w:val="008076DD"/>
    <w:rsid w:val="00812534"/>
    <w:rsid w:val="00812D33"/>
    <w:rsid w:val="00813CEF"/>
    <w:rsid w:val="00814A7E"/>
    <w:rsid w:val="00814C59"/>
    <w:rsid w:val="008208C6"/>
    <w:rsid w:val="00833BC1"/>
    <w:rsid w:val="00834D1B"/>
    <w:rsid w:val="00836735"/>
    <w:rsid w:val="00842CE8"/>
    <w:rsid w:val="00843DFE"/>
    <w:rsid w:val="008448EA"/>
    <w:rsid w:val="008450E5"/>
    <w:rsid w:val="00846D3C"/>
    <w:rsid w:val="00850F58"/>
    <w:rsid w:val="008511AB"/>
    <w:rsid w:val="00851D08"/>
    <w:rsid w:val="0085324C"/>
    <w:rsid w:val="00854754"/>
    <w:rsid w:val="00855C5B"/>
    <w:rsid w:val="00860269"/>
    <w:rsid w:val="00860828"/>
    <w:rsid w:val="0086092B"/>
    <w:rsid w:val="00861692"/>
    <w:rsid w:val="00861849"/>
    <w:rsid w:val="00862B5E"/>
    <w:rsid w:val="00864E15"/>
    <w:rsid w:val="00865022"/>
    <w:rsid w:val="00865169"/>
    <w:rsid w:val="0086562A"/>
    <w:rsid w:val="008720EF"/>
    <w:rsid w:val="008736B6"/>
    <w:rsid w:val="008746C9"/>
    <w:rsid w:val="0087529C"/>
    <w:rsid w:val="00875EE4"/>
    <w:rsid w:val="00876A3C"/>
    <w:rsid w:val="00877315"/>
    <w:rsid w:val="00877A24"/>
    <w:rsid w:val="00880271"/>
    <w:rsid w:val="0088144D"/>
    <w:rsid w:val="00883315"/>
    <w:rsid w:val="0088771A"/>
    <w:rsid w:val="00887726"/>
    <w:rsid w:val="00891ADF"/>
    <w:rsid w:val="008932E6"/>
    <w:rsid w:val="008969B9"/>
    <w:rsid w:val="00896F79"/>
    <w:rsid w:val="008970B2"/>
    <w:rsid w:val="008A01F2"/>
    <w:rsid w:val="008A1933"/>
    <w:rsid w:val="008A4757"/>
    <w:rsid w:val="008A59E2"/>
    <w:rsid w:val="008A6808"/>
    <w:rsid w:val="008A6F86"/>
    <w:rsid w:val="008A6F88"/>
    <w:rsid w:val="008A7C7E"/>
    <w:rsid w:val="008B04D9"/>
    <w:rsid w:val="008B15BD"/>
    <w:rsid w:val="008B1627"/>
    <w:rsid w:val="008B1F63"/>
    <w:rsid w:val="008B28F1"/>
    <w:rsid w:val="008B2E64"/>
    <w:rsid w:val="008B51CA"/>
    <w:rsid w:val="008B567B"/>
    <w:rsid w:val="008B6796"/>
    <w:rsid w:val="008B79BE"/>
    <w:rsid w:val="008B7A59"/>
    <w:rsid w:val="008B7FCC"/>
    <w:rsid w:val="008C0D96"/>
    <w:rsid w:val="008C19F8"/>
    <w:rsid w:val="008C2745"/>
    <w:rsid w:val="008C2F7E"/>
    <w:rsid w:val="008C3CB2"/>
    <w:rsid w:val="008C637F"/>
    <w:rsid w:val="008C75A9"/>
    <w:rsid w:val="008C76B3"/>
    <w:rsid w:val="008C7BD1"/>
    <w:rsid w:val="008D19C1"/>
    <w:rsid w:val="008D572D"/>
    <w:rsid w:val="008D5831"/>
    <w:rsid w:val="008D724A"/>
    <w:rsid w:val="008D7E10"/>
    <w:rsid w:val="008E028E"/>
    <w:rsid w:val="008E045B"/>
    <w:rsid w:val="008F1C64"/>
    <w:rsid w:val="008F3413"/>
    <w:rsid w:val="008F503B"/>
    <w:rsid w:val="008F5402"/>
    <w:rsid w:val="008F585F"/>
    <w:rsid w:val="008F5D94"/>
    <w:rsid w:val="008F6B03"/>
    <w:rsid w:val="008F7815"/>
    <w:rsid w:val="009012E9"/>
    <w:rsid w:val="00903A27"/>
    <w:rsid w:val="00903F99"/>
    <w:rsid w:val="0090411D"/>
    <w:rsid w:val="009075BA"/>
    <w:rsid w:val="00907FF9"/>
    <w:rsid w:val="0091054E"/>
    <w:rsid w:val="0091076A"/>
    <w:rsid w:val="0091446D"/>
    <w:rsid w:val="009169A1"/>
    <w:rsid w:val="0091765A"/>
    <w:rsid w:val="009229CB"/>
    <w:rsid w:val="00923503"/>
    <w:rsid w:val="00924777"/>
    <w:rsid w:val="00925B0E"/>
    <w:rsid w:val="00927D0E"/>
    <w:rsid w:val="00930473"/>
    <w:rsid w:val="00930589"/>
    <w:rsid w:val="009332C6"/>
    <w:rsid w:val="00934774"/>
    <w:rsid w:val="00937427"/>
    <w:rsid w:val="0093781D"/>
    <w:rsid w:val="00937B78"/>
    <w:rsid w:val="009423B4"/>
    <w:rsid w:val="0094550F"/>
    <w:rsid w:val="00945533"/>
    <w:rsid w:val="009468C6"/>
    <w:rsid w:val="00950524"/>
    <w:rsid w:val="00950D55"/>
    <w:rsid w:val="0095233A"/>
    <w:rsid w:val="0095338A"/>
    <w:rsid w:val="00955C1D"/>
    <w:rsid w:val="009578F6"/>
    <w:rsid w:val="00957B36"/>
    <w:rsid w:val="009618E4"/>
    <w:rsid w:val="00962DA3"/>
    <w:rsid w:val="00963596"/>
    <w:rsid w:val="00964AD8"/>
    <w:rsid w:val="00965DBE"/>
    <w:rsid w:val="00967196"/>
    <w:rsid w:val="00967D6A"/>
    <w:rsid w:val="009703E3"/>
    <w:rsid w:val="009737A2"/>
    <w:rsid w:val="009743AE"/>
    <w:rsid w:val="009774A4"/>
    <w:rsid w:val="00977B40"/>
    <w:rsid w:val="00980B1B"/>
    <w:rsid w:val="009817D4"/>
    <w:rsid w:val="009821E0"/>
    <w:rsid w:val="00983664"/>
    <w:rsid w:val="00985693"/>
    <w:rsid w:val="009864F1"/>
    <w:rsid w:val="009866C3"/>
    <w:rsid w:val="00991971"/>
    <w:rsid w:val="00993989"/>
    <w:rsid w:val="00995352"/>
    <w:rsid w:val="00997FE0"/>
    <w:rsid w:val="009A00CB"/>
    <w:rsid w:val="009A107B"/>
    <w:rsid w:val="009B35B8"/>
    <w:rsid w:val="009B4632"/>
    <w:rsid w:val="009B52BD"/>
    <w:rsid w:val="009B5943"/>
    <w:rsid w:val="009C660A"/>
    <w:rsid w:val="009C6945"/>
    <w:rsid w:val="009C6A68"/>
    <w:rsid w:val="009C73C4"/>
    <w:rsid w:val="009D02E8"/>
    <w:rsid w:val="009D08C4"/>
    <w:rsid w:val="009D0CEB"/>
    <w:rsid w:val="009D16C6"/>
    <w:rsid w:val="009D2234"/>
    <w:rsid w:val="009D32F6"/>
    <w:rsid w:val="009D3F7C"/>
    <w:rsid w:val="009D5DF1"/>
    <w:rsid w:val="009D5FAB"/>
    <w:rsid w:val="009E05EB"/>
    <w:rsid w:val="009E093F"/>
    <w:rsid w:val="009E141C"/>
    <w:rsid w:val="009E2C9D"/>
    <w:rsid w:val="009E4B57"/>
    <w:rsid w:val="009E502C"/>
    <w:rsid w:val="009E6850"/>
    <w:rsid w:val="009E741F"/>
    <w:rsid w:val="009E77BE"/>
    <w:rsid w:val="009F0947"/>
    <w:rsid w:val="009F0BB5"/>
    <w:rsid w:val="009F4AE2"/>
    <w:rsid w:val="009F7648"/>
    <w:rsid w:val="009F7D10"/>
    <w:rsid w:val="00A00594"/>
    <w:rsid w:val="00A01115"/>
    <w:rsid w:val="00A0176B"/>
    <w:rsid w:val="00A02014"/>
    <w:rsid w:val="00A032C4"/>
    <w:rsid w:val="00A061D1"/>
    <w:rsid w:val="00A073CC"/>
    <w:rsid w:val="00A10F2D"/>
    <w:rsid w:val="00A16626"/>
    <w:rsid w:val="00A213D5"/>
    <w:rsid w:val="00A21A32"/>
    <w:rsid w:val="00A21FEA"/>
    <w:rsid w:val="00A222E8"/>
    <w:rsid w:val="00A2343E"/>
    <w:rsid w:val="00A2362E"/>
    <w:rsid w:val="00A23F13"/>
    <w:rsid w:val="00A23FA1"/>
    <w:rsid w:val="00A27823"/>
    <w:rsid w:val="00A27A8B"/>
    <w:rsid w:val="00A32AF8"/>
    <w:rsid w:val="00A37F32"/>
    <w:rsid w:val="00A41653"/>
    <w:rsid w:val="00A42009"/>
    <w:rsid w:val="00A421E7"/>
    <w:rsid w:val="00A424FD"/>
    <w:rsid w:val="00A434AC"/>
    <w:rsid w:val="00A4484A"/>
    <w:rsid w:val="00A448AF"/>
    <w:rsid w:val="00A452C6"/>
    <w:rsid w:val="00A46F63"/>
    <w:rsid w:val="00A477A8"/>
    <w:rsid w:val="00A529E9"/>
    <w:rsid w:val="00A545EF"/>
    <w:rsid w:val="00A56FD5"/>
    <w:rsid w:val="00A57049"/>
    <w:rsid w:val="00A57128"/>
    <w:rsid w:val="00A5748B"/>
    <w:rsid w:val="00A60012"/>
    <w:rsid w:val="00A61BAF"/>
    <w:rsid w:val="00A62A45"/>
    <w:rsid w:val="00A6410D"/>
    <w:rsid w:val="00A648F7"/>
    <w:rsid w:val="00A65DD0"/>
    <w:rsid w:val="00A66251"/>
    <w:rsid w:val="00A666DE"/>
    <w:rsid w:val="00A71702"/>
    <w:rsid w:val="00A801F7"/>
    <w:rsid w:val="00A825B3"/>
    <w:rsid w:val="00A83C2E"/>
    <w:rsid w:val="00A84BDA"/>
    <w:rsid w:val="00A8512D"/>
    <w:rsid w:val="00A85965"/>
    <w:rsid w:val="00A85A1B"/>
    <w:rsid w:val="00A85AA4"/>
    <w:rsid w:val="00A92C70"/>
    <w:rsid w:val="00A9347D"/>
    <w:rsid w:val="00A9749A"/>
    <w:rsid w:val="00AA237B"/>
    <w:rsid w:val="00AA27AA"/>
    <w:rsid w:val="00AA3279"/>
    <w:rsid w:val="00AA6622"/>
    <w:rsid w:val="00AB11FF"/>
    <w:rsid w:val="00AB21C5"/>
    <w:rsid w:val="00AB29FE"/>
    <w:rsid w:val="00AB30EB"/>
    <w:rsid w:val="00AB45B7"/>
    <w:rsid w:val="00AB467A"/>
    <w:rsid w:val="00AB46CD"/>
    <w:rsid w:val="00AC0063"/>
    <w:rsid w:val="00AC03FA"/>
    <w:rsid w:val="00AC0926"/>
    <w:rsid w:val="00AC3057"/>
    <w:rsid w:val="00AC3816"/>
    <w:rsid w:val="00AC6726"/>
    <w:rsid w:val="00AD13BA"/>
    <w:rsid w:val="00AD21D8"/>
    <w:rsid w:val="00AD4528"/>
    <w:rsid w:val="00AD5B1E"/>
    <w:rsid w:val="00AD64D8"/>
    <w:rsid w:val="00AD664A"/>
    <w:rsid w:val="00AD68E9"/>
    <w:rsid w:val="00AD6D2F"/>
    <w:rsid w:val="00AD6ECB"/>
    <w:rsid w:val="00AD777D"/>
    <w:rsid w:val="00AE1020"/>
    <w:rsid w:val="00AE1314"/>
    <w:rsid w:val="00AE2036"/>
    <w:rsid w:val="00AE2A4A"/>
    <w:rsid w:val="00AE38F9"/>
    <w:rsid w:val="00AE43CB"/>
    <w:rsid w:val="00AE5BF4"/>
    <w:rsid w:val="00AE7679"/>
    <w:rsid w:val="00AF142D"/>
    <w:rsid w:val="00AF36B2"/>
    <w:rsid w:val="00B00EC2"/>
    <w:rsid w:val="00B02483"/>
    <w:rsid w:val="00B0253E"/>
    <w:rsid w:val="00B02717"/>
    <w:rsid w:val="00B02824"/>
    <w:rsid w:val="00B02ECB"/>
    <w:rsid w:val="00B04717"/>
    <w:rsid w:val="00B06B5A"/>
    <w:rsid w:val="00B1082D"/>
    <w:rsid w:val="00B11421"/>
    <w:rsid w:val="00B12FFA"/>
    <w:rsid w:val="00B13C28"/>
    <w:rsid w:val="00B13F8C"/>
    <w:rsid w:val="00B143EB"/>
    <w:rsid w:val="00B144FE"/>
    <w:rsid w:val="00B150D2"/>
    <w:rsid w:val="00B16141"/>
    <w:rsid w:val="00B171C8"/>
    <w:rsid w:val="00B20BCE"/>
    <w:rsid w:val="00B21354"/>
    <w:rsid w:val="00B228B4"/>
    <w:rsid w:val="00B22A9E"/>
    <w:rsid w:val="00B23B19"/>
    <w:rsid w:val="00B24A68"/>
    <w:rsid w:val="00B2541C"/>
    <w:rsid w:val="00B25ED8"/>
    <w:rsid w:val="00B26745"/>
    <w:rsid w:val="00B2705D"/>
    <w:rsid w:val="00B33151"/>
    <w:rsid w:val="00B3377D"/>
    <w:rsid w:val="00B33F3B"/>
    <w:rsid w:val="00B3430E"/>
    <w:rsid w:val="00B34981"/>
    <w:rsid w:val="00B3547B"/>
    <w:rsid w:val="00B356D5"/>
    <w:rsid w:val="00B360D6"/>
    <w:rsid w:val="00B36A81"/>
    <w:rsid w:val="00B37D40"/>
    <w:rsid w:val="00B41000"/>
    <w:rsid w:val="00B4189C"/>
    <w:rsid w:val="00B41D7D"/>
    <w:rsid w:val="00B435C2"/>
    <w:rsid w:val="00B452A3"/>
    <w:rsid w:val="00B45668"/>
    <w:rsid w:val="00B46F09"/>
    <w:rsid w:val="00B538B3"/>
    <w:rsid w:val="00B53FA0"/>
    <w:rsid w:val="00B55C9E"/>
    <w:rsid w:val="00B56BDF"/>
    <w:rsid w:val="00B56FFD"/>
    <w:rsid w:val="00B64639"/>
    <w:rsid w:val="00B66A20"/>
    <w:rsid w:val="00B66DFA"/>
    <w:rsid w:val="00B7000A"/>
    <w:rsid w:val="00B70B10"/>
    <w:rsid w:val="00B70D3D"/>
    <w:rsid w:val="00B70FA1"/>
    <w:rsid w:val="00B74BFC"/>
    <w:rsid w:val="00B75401"/>
    <w:rsid w:val="00B77092"/>
    <w:rsid w:val="00B772C7"/>
    <w:rsid w:val="00B776A4"/>
    <w:rsid w:val="00B80B9E"/>
    <w:rsid w:val="00B84383"/>
    <w:rsid w:val="00B84C5E"/>
    <w:rsid w:val="00B867AF"/>
    <w:rsid w:val="00B872F3"/>
    <w:rsid w:val="00B9048C"/>
    <w:rsid w:val="00B90BCD"/>
    <w:rsid w:val="00B94B0D"/>
    <w:rsid w:val="00B94D48"/>
    <w:rsid w:val="00B96775"/>
    <w:rsid w:val="00B96F4A"/>
    <w:rsid w:val="00B97A87"/>
    <w:rsid w:val="00B97AEA"/>
    <w:rsid w:val="00B97FDF"/>
    <w:rsid w:val="00BA06DD"/>
    <w:rsid w:val="00BA2565"/>
    <w:rsid w:val="00BA26D4"/>
    <w:rsid w:val="00BA2B73"/>
    <w:rsid w:val="00BA388C"/>
    <w:rsid w:val="00BA44C0"/>
    <w:rsid w:val="00BA507F"/>
    <w:rsid w:val="00BA5B2C"/>
    <w:rsid w:val="00BA607A"/>
    <w:rsid w:val="00BA78BA"/>
    <w:rsid w:val="00BB12DD"/>
    <w:rsid w:val="00BB3C7E"/>
    <w:rsid w:val="00BB3E64"/>
    <w:rsid w:val="00BB4200"/>
    <w:rsid w:val="00BB64FC"/>
    <w:rsid w:val="00BB74E8"/>
    <w:rsid w:val="00BB7500"/>
    <w:rsid w:val="00BB7D40"/>
    <w:rsid w:val="00BC0C02"/>
    <w:rsid w:val="00BC1094"/>
    <w:rsid w:val="00BC34C9"/>
    <w:rsid w:val="00BC601D"/>
    <w:rsid w:val="00BC7868"/>
    <w:rsid w:val="00BC7986"/>
    <w:rsid w:val="00BD0E70"/>
    <w:rsid w:val="00BD47E1"/>
    <w:rsid w:val="00BD66D3"/>
    <w:rsid w:val="00BD79A5"/>
    <w:rsid w:val="00BE43F0"/>
    <w:rsid w:val="00BE4E10"/>
    <w:rsid w:val="00BE53D4"/>
    <w:rsid w:val="00BE5647"/>
    <w:rsid w:val="00BE7B8D"/>
    <w:rsid w:val="00BF3FCA"/>
    <w:rsid w:val="00BF44B7"/>
    <w:rsid w:val="00BF47F2"/>
    <w:rsid w:val="00BF5B3E"/>
    <w:rsid w:val="00BF6014"/>
    <w:rsid w:val="00BF607B"/>
    <w:rsid w:val="00BF65F2"/>
    <w:rsid w:val="00BF7B52"/>
    <w:rsid w:val="00C008F7"/>
    <w:rsid w:val="00C01B87"/>
    <w:rsid w:val="00C044F1"/>
    <w:rsid w:val="00C045E7"/>
    <w:rsid w:val="00C05E36"/>
    <w:rsid w:val="00C075D7"/>
    <w:rsid w:val="00C07A96"/>
    <w:rsid w:val="00C10000"/>
    <w:rsid w:val="00C1044D"/>
    <w:rsid w:val="00C11439"/>
    <w:rsid w:val="00C13953"/>
    <w:rsid w:val="00C15451"/>
    <w:rsid w:val="00C15595"/>
    <w:rsid w:val="00C15C1A"/>
    <w:rsid w:val="00C166CD"/>
    <w:rsid w:val="00C16B2A"/>
    <w:rsid w:val="00C16B33"/>
    <w:rsid w:val="00C1790C"/>
    <w:rsid w:val="00C203CB"/>
    <w:rsid w:val="00C213DB"/>
    <w:rsid w:val="00C23082"/>
    <w:rsid w:val="00C231D1"/>
    <w:rsid w:val="00C23562"/>
    <w:rsid w:val="00C23A79"/>
    <w:rsid w:val="00C23CB8"/>
    <w:rsid w:val="00C255E4"/>
    <w:rsid w:val="00C26B4E"/>
    <w:rsid w:val="00C276D0"/>
    <w:rsid w:val="00C3339F"/>
    <w:rsid w:val="00C34EE9"/>
    <w:rsid w:val="00C352E7"/>
    <w:rsid w:val="00C36E64"/>
    <w:rsid w:val="00C40963"/>
    <w:rsid w:val="00C433E7"/>
    <w:rsid w:val="00C43528"/>
    <w:rsid w:val="00C4553B"/>
    <w:rsid w:val="00C46656"/>
    <w:rsid w:val="00C47EC6"/>
    <w:rsid w:val="00C5163F"/>
    <w:rsid w:val="00C52A95"/>
    <w:rsid w:val="00C52F21"/>
    <w:rsid w:val="00C54573"/>
    <w:rsid w:val="00C553BF"/>
    <w:rsid w:val="00C56782"/>
    <w:rsid w:val="00C57F8B"/>
    <w:rsid w:val="00C602DB"/>
    <w:rsid w:val="00C60AEC"/>
    <w:rsid w:val="00C619C2"/>
    <w:rsid w:val="00C62797"/>
    <w:rsid w:val="00C62E3B"/>
    <w:rsid w:val="00C63B64"/>
    <w:rsid w:val="00C63C48"/>
    <w:rsid w:val="00C65109"/>
    <w:rsid w:val="00C65293"/>
    <w:rsid w:val="00C6552D"/>
    <w:rsid w:val="00C65AE6"/>
    <w:rsid w:val="00C6626F"/>
    <w:rsid w:val="00C7150F"/>
    <w:rsid w:val="00C74859"/>
    <w:rsid w:val="00C75F73"/>
    <w:rsid w:val="00C777CC"/>
    <w:rsid w:val="00C8099A"/>
    <w:rsid w:val="00C80FAD"/>
    <w:rsid w:val="00C83042"/>
    <w:rsid w:val="00C83787"/>
    <w:rsid w:val="00C866A6"/>
    <w:rsid w:val="00C90FBE"/>
    <w:rsid w:val="00C92B1B"/>
    <w:rsid w:val="00CA1A2E"/>
    <w:rsid w:val="00CA1BE2"/>
    <w:rsid w:val="00CA2C19"/>
    <w:rsid w:val="00CA32A1"/>
    <w:rsid w:val="00CB4445"/>
    <w:rsid w:val="00CB5731"/>
    <w:rsid w:val="00CB5860"/>
    <w:rsid w:val="00CB607A"/>
    <w:rsid w:val="00CB6B22"/>
    <w:rsid w:val="00CB6EA8"/>
    <w:rsid w:val="00CB72CE"/>
    <w:rsid w:val="00CB7D4C"/>
    <w:rsid w:val="00CC4457"/>
    <w:rsid w:val="00CC55F4"/>
    <w:rsid w:val="00CC66EE"/>
    <w:rsid w:val="00CC79A3"/>
    <w:rsid w:val="00CD129B"/>
    <w:rsid w:val="00CD1458"/>
    <w:rsid w:val="00CD368E"/>
    <w:rsid w:val="00CD3C50"/>
    <w:rsid w:val="00CD4527"/>
    <w:rsid w:val="00CD4F74"/>
    <w:rsid w:val="00CD5553"/>
    <w:rsid w:val="00CD7D13"/>
    <w:rsid w:val="00CE44FA"/>
    <w:rsid w:val="00CE4669"/>
    <w:rsid w:val="00CE573F"/>
    <w:rsid w:val="00CF1BE4"/>
    <w:rsid w:val="00CF2CF6"/>
    <w:rsid w:val="00CF33CA"/>
    <w:rsid w:val="00CF33E1"/>
    <w:rsid w:val="00CF44F5"/>
    <w:rsid w:val="00CF6C5C"/>
    <w:rsid w:val="00CF78D1"/>
    <w:rsid w:val="00D00F00"/>
    <w:rsid w:val="00D01E09"/>
    <w:rsid w:val="00D0257F"/>
    <w:rsid w:val="00D02D5A"/>
    <w:rsid w:val="00D02F77"/>
    <w:rsid w:val="00D02FEA"/>
    <w:rsid w:val="00D03309"/>
    <w:rsid w:val="00D038FE"/>
    <w:rsid w:val="00D03AD7"/>
    <w:rsid w:val="00D0593A"/>
    <w:rsid w:val="00D0657D"/>
    <w:rsid w:val="00D104AE"/>
    <w:rsid w:val="00D11B1F"/>
    <w:rsid w:val="00D11F79"/>
    <w:rsid w:val="00D13688"/>
    <w:rsid w:val="00D1421B"/>
    <w:rsid w:val="00D14F02"/>
    <w:rsid w:val="00D15577"/>
    <w:rsid w:val="00D15C32"/>
    <w:rsid w:val="00D16251"/>
    <w:rsid w:val="00D16EAC"/>
    <w:rsid w:val="00D20FEE"/>
    <w:rsid w:val="00D210DE"/>
    <w:rsid w:val="00D21E9D"/>
    <w:rsid w:val="00D23115"/>
    <w:rsid w:val="00D23367"/>
    <w:rsid w:val="00D23C33"/>
    <w:rsid w:val="00D253CA"/>
    <w:rsid w:val="00D25A65"/>
    <w:rsid w:val="00D26E01"/>
    <w:rsid w:val="00D3510F"/>
    <w:rsid w:val="00D359E0"/>
    <w:rsid w:val="00D37A1E"/>
    <w:rsid w:val="00D41427"/>
    <w:rsid w:val="00D43AA4"/>
    <w:rsid w:val="00D43EDC"/>
    <w:rsid w:val="00D43F43"/>
    <w:rsid w:val="00D45E6C"/>
    <w:rsid w:val="00D46778"/>
    <w:rsid w:val="00D46C1C"/>
    <w:rsid w:val="00D47619"/>
    <w:rsid w:val="00D47CAC"/>
    <w:rsid w:val="00D52453"/>
    <w:rsid w:val="00D557A7"/>
    <w:rsid w:val="00D5633E"/>
    <w:rsid w:val="00D6023E"/>
    <w:rsid w:val="00D60E05"/>
    <w:rsid w:val="00D620E3"/>
    <w:rsid w:val="00D63170"/>
    <w:rsid w:val="00D63178"/>
    <w:rsid w:val="00D71C47"/>
    <w:rsid w:val="00D72A8D"/>
    <w:rsid w:val="00D72AAC"/>
    <w:rsid w:val="00D73B12"/>
    <w:rsid w:val="00D74517"/>
    <w:rsid w:val="00D74C8B"/>
    <w:rsid w:val="00D770EE"/>
    <w:rsid w:val="00D80172"/>
    <w:rsid w:val="00D806D2"/>
    <w:rsid w:val="00D81037"/>
    <w:rsid w:val="00D85774"/>
    <w:rsid w:val="00D85F66"/>
    <w:rsid w:val="00D87F28"/>
    <w:rsid w:val="00D90EE9"/>
    <w:rsid w:val="00D91667"/>
    <w:rsid w:val="00D92264"/>
    <w:rsid w:val="00D92B04"/>
    <w:rsid w:val="00D9374B"/>
    <w:rsid w:val="00D9507A"/>
    <w:rsid w:val="00D96174"/>
    <w:rsid w:val="00D97F8F"/>
    <w:rsid w:val="00DA20BE"/>
    <w:rsid w:val="00DA31A8"/>
    <w:rsid w:val="00DA367D"/>
    <w:rsid w:val="00DA39AB"/>
    <w:rsid w:val="00DA3FAD"/>
    <w:rsid w:val="00DA44F7"/>
    <w:rsid w:val="00DA45BE"/>
    <w:rsid w:val="00DA5ED6"/>
    <w:rsid w:val="00DA6E21"/>
    <w:rsid w:val="00DB3184"/>
    <w:rsid w:val="00DB3F50"/>
    <w:rsid w:val="00DC0319"/>
    <w:rsid w:val="00DC3754"/>
    <w:rsid w:val="00DC5844"/>
    <w:rsid w:val="00DC6455"/>
    <w:rsid w:val="00DC7624"/>
    <w:rsid w:val="00DD089B"/>
    <w:rsid w:val="00DD231D"/>
    <w:rsid w:val="00DD71E9"/>
    <w:rsid w:val="00DD79D0"/>
    <w:rsid w:val="00DD7D0E"/>
    <w:rsid w:val="00DE3B46"/>
    <w:rsid w:val="00DE40B3"/>
    <w:rsid w:val="00DE4DA6"/>
    <w:rsid w:val="00DE6091"/>
    <w:rsid w:val="00DE7517"/>
    <w:rsid w:val="00DF0933"/>
    <w:rsid w:val="00DF0DB9"/>
    <w:rsid w:val="00DF19C0"/>
    <w:rsid w:val="00DF3034"/>
    <w:rsid w:val="00DF3DDE"/>
    <w:rsid w:val="00DF538C"/>
    <w:rsid w:val="00DF7E35"/>
    <w:rsid w:val="00E00131"/>
    <w:rsid w:val="00E00576"/>
    <w:rsid w:val="00E00B93"/>
    <w:rsid w:val="00E01FD8"/>
    <w:rsid w:val="00E077DF"/>
    <w:rsid w:val="00E12DEF"/>
    <w:rsid w:val="00E15B51"/>
    <w:rsid w:val="00E20046"/>
    <w:rsid w:val="00E21686"/>
    <w:rsid w:val="00E2211B"/>
    <w:rsid w:val="00E22A5B"/>
    <w:rsid w:val="00E23A42"/>
    <w:rsid w:val="00E24019"/>
    <w:rsid w:val="00E273DF"/>
    <w:rsid w:val="00E27E4D"/>
    <w:rsid w:val="00E32724"/>
    <w:rsid w:val="00E359EB"/>
    <w:rsid w:val="00E361AB"/>
    <w:rsid w:val="00E36C28"/>
    <w:rsid w:val="00E3734B"/>
    <w:rsid w:val="00E41E7C"/>
    <w:rsid w:val="00E45D20"/>
    <w:rsid w:val="00E462A1"/>
    <w:rsid w:val="00E46782"/>
    <w:rsid w:val="00E51D7C"/>
    <w:rsid w:val="00E52320"/>
    <w:rsid w:val="00E53712"/>
    <w:rsid w:val="00E55005"/>
    <w:rsid w:val="00E55A5A"/>
    <w:rsid w:val="00E56826"/>
    <w:rsid w:val="00E62281"/>
    <w:rsid w:val="00E63622"/>
    <w:rsid w:val="00E652D7"/>
    <w:rsid w:val="00E663A5"/>
    <w:rsid w:val="00E6712C"/>
    <w:rsid w:val="00E6783C"/>
    <w:rsid w:val="00E721A9"/>
    <w:rsid w:val="00E75BFB"/>
    <w:rsid w:val="00E772C1"/>
    <w:rsid w:val="00E81195"/>
    <w:rsid w:val="00E815FE"/>
    <w:rsid w:val="00E82EE0"/>
    <w:rsid w:val="00E84692"/>
    <w:rsid w:val="00E84730"/>
    <w:rsid w:val="00E84D7B"/>
    <w:rsid w:val="00E84F67"/>
    <w:rsid w:val="00E8556A"/>
    <w:rsid w:val="00E85700"/>
    <w:rsid w:val="00E85E09"/>
    <w:rsid w:val="00E9042F"/>
    <w:rsid w:val="00E9382B"/>
    <w:rsid w:val="00E944C5"/>
    <w:rsid w:val="00E94EBF"/>
    <w:rsid w:val="00E96904"/>
    <w:rsid w:val="00E97CBD"/>
    <w:rsid w:val="00EA13B2"/>
    <w:rsid w:val="00EA2FAB"/>
    <w:rsid w:val="00EA679F"/>
    <w:rsid w:val="00EA6D7B"/>
    <w:rsid w:val="00EB2DA0"/>
    <w:rsid w:val="00EB3F54"/>
    <w:rsid w:val="00EB42CE"/>
    <w:rsid w:val="00EB5466"/>
    <w:rsid w:val="00EB577F"/>
    <w:rsid w:val="00EB62BD"/>
    <w:rsid w:val="00EB6FEC"/>
    <w:rsid w:val="00EB772E"/>
    <w:rsid w:val="00EB785C"/>
    <w:rsid w:val="00EC0C88"/>
    <w:rsid w:val="00EC1B82"/>
    <w:rsid w:val="00EC4E80"/>
    <w:rsid w:val="00EC7E4D"/>
    <w:rsid w:val="00EC7EFF"/>
    <w:rsid w:val="00ED1FF0"/>
    <w:rsid w:val="00EE0A6D"/>
    <w:rsid w:val="00EE24DF"/>
    <w:rsid w:val="00EE578C"/>
    <w:rsid w:val="00EE736F"/>
    <w:rsid w:val="00EF10B0"/>
    <w:rsid w:val="00EF22FE"/>
    <w:rsid w:val="00EF331A"/>
    <w:rsid w:val="00EF477C"/>
    <w:rsid w:val="00EF4C3E"/>
    <w:rsid w:val="00EF6209"/>
    <w:rsid w:val="00EF7EF7"/>
    <w:rsid w:val="00F0068D"/>
    <w:rsid w:val="00F00A6A"/>
    <w:rsid w:val="00F02260"/>
    <w:rsid w:val="00F04150"/>
    <w:rsid w:val="00F042D5"/>
    <w:rsid w:val="00F05263"/>
    <w:rsid w:val="00F066E6"/>
    <w:rsid w:val="00F06876"/>
    <w:rsid w:val="00F07048"/>
    <w:rsid w:val="00F147FA"/>
    <w:rsid w:val="00F2030A"/>
    <w:rsid w:val="00F2048A"/>
    <w:rsid w:val="00F20600"/>
    <w:rsid w:val="00F20682"/>
    <w:rsid w:val="00F2097C"/>
    <w:rsid w:val="00F20A86"/>
    <w:rsid w:val="00F218D0"/>
    <w:rsid w:val="00F263B1"/>
    <w:rsid w:val="00F26C18"/>
    <w:rsid w:val="00F26FCD"/>
    <w:rsid w:val="00F3250D"/>
    <w:rsid w:val="00F3306D"/>
    <w:rsid w:val="00F34F5C"/>
    <w:rsid w:val="00F3527A"/>
    <w:rsid w:val="00F36C1A"/>
    <w:rsid w:val="00F37642"/>
    <w:rsid w:val="00F37A3B"/>
    <w:rsid w:val="00F37D14"/>
    <w:rsid w:val="00F4044E"/>
    <w:rsid w:val="00F404CA"/>
    <w:rsid w:val="00F416EB"/>
    <w:rsid w:val="00F44EF8"/>
    <w:rsid w:val="00F46C03"/>
    <w:rsid w:val="00F51970"/>
    <w:rsid w:val="00F53643"/>
    <w:rsid w:val="00F547C3"/>
    <w:rsid w:val="00F55204"/>
    <w:rsid w:val="00F56D58"/>
    <w:rsid w:val="00F56F7C"/>
    <w:rsid w:val="00F574D0"/>
    <w:rsid w:val="00F612A8"/>
    <w:rsid w:val="00F61BB1"/>
    <w:rsid w:val="00F623A0"/>
    <w:rsid w:val="00F62AB0"/>
    <w:rsid w:val="00F63F7F"/>
    <w:rsid w:val="00F640F3"/>
    <w:rsid w:val="00F71BAC"/>
    <w:rsid w:val="00F73C56"/>
    <w:rsid w:val="00F740A8"/>
    <w:rsid w:val="00F77E17"/>
    <w:rsid w:val="00F77E30"/>
    <w:rsid w:val="00F77F9A"/>
    <w:rsid w:val="00F8103F"/>
    <w:rsid w:val="00F814AF"/>
    <w:rsid w:val="00F8153C"/>
    <w:rsid w:val="00F825C7"/>
    <w:rsid w:val="00F82C69"/>
    <w:rsid w:val="00F91D30"/>
    <w:rsid w:val="00F92942"/>
    <w:rsid w:val="00F93C93"/>
    <w:rsid w:val="00F9496C"/>
    <w:rsid w:val="00F95EA5"/>
    <w:rsid w:val="00F96111"/>
    <w:rsid w:val="00F9665A"/>
    <w:rsid w:val="00FA2442"/>
    <w:rsid w:val="00FA7BE7"/>
    <w:rsid w:val="00FB0081"/>
    <w:rsid w:val="00FB1CFD"/>
    <w:rsid w:val="00FB5F96"/>
    <w:rsid w:val="00FB6724"/>
    <w:rsid w:val="00FB6969"/>
    <w:rsid w:val="00FC030A"/>
    <w:rsid w:val="00FC0842"/>
    <w:rsid w:val="00FC29B5"/>
    <w:rsid w:val="00FD0526"/>
    <w:rsid w:val="00FD0A65"/>
    <w:rsid w:val="00FD1C7C"/>
    <w:rsid w:val="00FD1EDD"/>
    <w:rsid w:val="00FD6DA2"/>
    <w:rsid w:val="00FD7CD9"/>
    <w:rsid w:val="00FE0CB2"/>
    <w:rsid w:val="00FE51F8"/>
    <w:rsid w:val="00FE7B21"/>
    <w:rsid w:val="00FF2EB0"/>
    <w:rsid w:val="00FF413B"/>
    <w:rsid w:val="00FF540B"/>
    <w:rsid w:val="029F7BBA"/>
    <w:rsid w:val="03EF3EBE"/>
    <w:rsid w:val="06ED7B55"/>
    <w:rsid w:val="08BB41C4"/>
    <w:rsid w:val="09A71DD4"/>
    <w:rsid w:val="09DB5A42"/>
    <w:rsid w:val="0B683C73"/>
    <w:rsid w:val="0B801934"/>
    <w:rsid w:val="0BA83DBF"/>
    <w:rsid w:val="0BC6036C"/>
    <w:rsid w:val="0C0000E3"/>
    <w:rsid w:val="0C002F86"/>
    <w:rsid w:val="0C1D28C8"/>
    <w:rsid w:val="0D113380"/>
    <w:rsid w:val="0F281C8E"/>
    <w:rsid w:val="0F9A5C11"/>
    <w:rsid w:val="106E6475"/>
    <w:rsid w:val="11571580"/>
    <w:rsid w:val="12533C20"/>
    <w:rsid w:val="137228B7"/>
    <w:rsid w:val="13DF2F4B"/>
    <w:rsid w:val="147A7CA1"/>
    <w:rsid w:val="162D1484"/>
    <w:rsid w:val="17203968"/>
    <w:rsid w:val="176E6749"/>
    <w:rsid w:val="190943FD"/>
    <w:rsid w:val="194C41A2"/>
    <w:rsid w:val="19C911CE"/>
    <w:rsid w:val="19CC64C5"/>
    <w:rsid w:val="19E6543B"/>
    <w:rsid w:val="1A8846F7"/>
    <w:rsid w:val="1BA2279D"/>
    <w:rsid w:val="1BDD7480"/>
    <w:rsid w:val="1D0E671F"/>
    <w:rsid w:val="1D3D5000"/>
    <w:rsid w:val="1D590126"/>
    <w:rsid w:val="1DC57DAF"/>
    <w:rsid w:val="1E4E4D40"/>
    <w:rsid w:val="1F0B3FB7"/>
    <w:rsid w:val="20BF0E4A"/>
    <w:rsid w:val="20C73D9D"/>
    <w:rsid w:val="219813EA"/>
    <w:rsid w:val="22C81856"/>
    <w:rsid w:val="24230BA5"/>
    <w:rsid w:val="25186637"/>
    <w:rsid w:val="253533C5"/>
    <w:rsid w:val="256E139B"/>
    <w:rsid w:val="25986D72"/>
    <w:rsid w:val="25C07769"/>
    <w:rsid w:val="25C6791F"/>
    <w:rsid w:val="26B713F1"/>
    <w:rsid w:val="295D392A"/>
    <w:rsid w:val="2A5D3C60"/>
    <w:rsid w:val="2A7206A3"/>
    <w:rsid w:val="2ACA7931"/>
    <w:rsid w:val="2ACC0667"/>
    <w:rsid w:val="2AEE502C"/>
    <w:rsid w:val="2B42677D"/>
    <w:rsid w:val="2B873022"/>
    <w:rsid w:val="2BEC252E"/>
    <w:rsid w:val="2CF6456B"/>
    <w:rsid w:val="2E691D45"/>
    <w:rsid w:val="2FFC4700"/>
    <w:rsid w:val="312471AE"/>
    <w:rsid w:val="3217196E"/>
    <w:rsid w:val="322F6067"/>
    <w:rsid w:val="32920CB3"/>
    <w:rsid w:val="32A84462"/>
    <w:rsid w:val="32C01265"/>
    <w:rsid w:val="34660969"/>
    <w:rsid w:val="34B61A22"/>
    <w:rsid w:val="34CE3358"/>
    <w:rsid w:val="3581018C"/>
    <w:rsid w:val="36585409"/>
    <w:rsid w:val="36F60A58"/>
    <w:rsid w:val="37601390"/>
    <w:rsid w:val="392C4A6D"/>
    <w:rsid w:val="39A44463"/>
    <w:rsid w:val="3AE15444"/>
    <w:rsid w:val="3B7D31C1"/>
    <w:rsid w:val="3DB637BE"/>
    <w:rsid w:val="3E956E27"/>
    <w:rsid w:val="3F263985"/>
    <w:rsid w:val="4048469C"/>
    <w:rsid w:val="408F24B2"/>
    <w:rsid w:val="41D86A6A"/>
    <w:rsid w:val="459E2F7E"/>
    <w:rsid w:val="46C24E55"/>
    <w:rsid w:val="471A4266"/>
    <w:rsid w:val="482B4650"/>
    <w:rsid w:val="497547BF"/>
    <w:rsid w:val="4B600FCC"/>
    <w:rsid w:val="4C71622C"/>
    <w:rsid w:val="4D735295"/>
    <w:rsid w:val="4D983E25"/>
    <w:rsid w:val="4E5237F7"/>
    <w:rsid w:val="4EAF01A5"/>
    <w:rsid w:val="50311597"/>
    <w:rsid w:val="504944AB"/>
    <w:rsid w:val="50D85CDE"/>
    <w:rsid w:val="5123678D"/>
    <w:rsid w:val="530357AF"/>
    <w:rsid w:val="549254B8"/>
    <w:rsid w:val="56E1439E"/>
    <w:rsid w:val="581E0F10"/>
    <w:rsid w:val="585356D7"/>
    <w:rsid w:val="585356F2"/>
    <w:rsid w:val="59DF1227"/>
    <w:rsid w:val="5AF85669"/>
    <w:rsid w:val="5C93729E"/>
    <w:rsid w:val="5CF96949"/>
    <w:rsid w:val="5DAE40E6"/>
    <w:rsid w:val="5DB51860"/>
    <w:rsid w:val="5E3C5805"/>
    <w:rsid w:val="5F6D449C"/>
    <w:rsid w:val="60655F70"/>
    <w:rsid w:val="625F02AF"/>
    <w:rsid w:val="62B20BD0"/>
    <w:rsid w:val="62F26BD0"/>
    <w:rsid w:val="62FD772E"/>
    <w:rsid w:val="63371A62"/>
    <w:rsid w:val="63C302AB"/>
    <w:rsid w:val="6505341F"/>
    <w:rsid w:val="6566705C"/>
    <w:rsid w:val="65C74A5F"/>
    <w:rsid w:val="6AE72184"/>
    <w:rsid w:val="6BBC1E9A"/>
    <w:rsid w:val="6D925B1D"/>
    <w:rsid w:val="6DFD3B4E"/>
    <w:rsid w:val="6E0C50BA"/>
    <w:rsid w:val="6F147F05"/>
    <w:rsid w:val="6F425301"/>
    <w:rsid w:val="6F754EB5"/>
    <w:rsid w:val="70712977"/>
    <w:rsid w:val="70EA1818"/>
    <w:rsid w:val="72EB1277"/>
    <w:rsid w:val="736A3790"/>
    <w:rsid w:val="73C4583A"/>
    <w:rsid w:val="75A335AF"/>
    <w:rsid w:val="764C5F9F"/>
    <w:rsid w:val="769A17C7"/>
    <w:rsid w:val="793965D3"/>
    <w:rsid w:val="797B3EA6"/>
    <w:rsid w:val="7A07406A"/>
    <w:rsid w:val="7A3B0BCF"/>
    <w:rsid w:val="7A45554D"/>
    <w:rsid w:val="7ACB0FD3"/>
    <w:rsid w:val="7C16483B"/>
    <w:rsid w:val="7DD07EAD"/>
    <w:rsid w:val="7ECC3404"/>
    <w:rsid w:val="7F0864C5"/>
    <w:rsid w:val="7FD1204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uiPriority="99"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99" w:semiHidden="0" w:name="Emphasis"/>
    <w:lsdException w:qFormat="1" w:unhideWhenUsed="0"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43"/>
    <w:qFormat/>
    <w:uiPriority w:val="99"/>
    <w:pPr>
      <w:keepNext/>
      <w:keepLines/>
      <w:widowControl w:val="0"/>
      <w:spacing w:before="340" w:after="330" w:line="576" w:lineRule="auto"/>
      <w:jc w:val="both"/>
      <w:outlineLvl w:val="0"/>
    </w:pPr>
    <w:rPr>
      <w:rFonts w:ascii="仿宋_GB2312" w:eastAsia="仿宋_GB2312" w:cs="Times New Roman"/>
      <w:b/>
      <w:color w:val="000000"/>
      <w:kern w:val="44"/>
      <w:sz w:val="44"/>
      <w:szCs w:val="20"/>
    </w:rPr>
  </w:style>
  <w:style w:type="paragraph" w:styleId="3">
    <w:name w:val="heading 2"/>
    <w:basedOn w:val="1"/>
    <w:next w:val="1"/>
    <w:link w:val="44"/>
    <w:qFormat/>
    <w:uiPriority w:val="99"/>
    <w:pPr>
      <w:keepNext/>
      <w:keepLines/>
      <w:widowControl w:val="0"/>
      <w:spacing w:before="260" w:after="260"/>
      <w:jc w:val="center"/>
      <w:outlineLvl w:val="1"/>
    </w:pPr>
    <w:rPr>
      <w:rFonts w:eastAsia="华文中宋" w:cs="Times New Roman"/>
      <w:b/>
      <w:bCs/>
      <w:sz w:val="30"/>
      <w:szCs w:val="44"/>
    </w:rPr>
  </w:style>
  <w:style w:type="paragraph" w:styleId="4">
    <w:name w:val="heading 3"/>
    <w:basedOn w:val="1"/>
    <w:next w:val="1"/>
    <w:link w:val="45"/>
    <w:qFormat/>
    <w:uiPriority w:val="99"/>
    <w:pPr>
      <w:keepNext/>
      <w:keepLines/>
      <w:widowControl w:val="0"/>
      <w:spacing w:before="260" w:after="260"/>
      <w:ind w:firstLine="200" w:firstLineChars="200"/>
      <w:jc w:val="center"/>
      <w:outlineLvl w:val="2"/>
    </w:pPr>
    <w:rPr>
      <w:rFonts w:ascii="Calibri" w:hAnsi="Calibri" w:eastAsia="黑体" w:cs="Times New Roman"/>
      <w:bCs/>
      <w:kern w:val="2"/>
      <w:sz w:val="30"/>
      <w:szCs w:val="32"/>
    </w:rPr>
  </w:style>
  <w:style w:type="paragraph" w:styleId="5">
    <w:name w:val="heading 4"/>
    <w:basedOn w:val="4"/>
    <w:next w:val="1"/>
    <w:link w:val="46"/>
    <w:qFormat/>
    <w:uiPriority w:val="99"/>
    <w:pPr>
      <w:spacing w:before="280" w:after="290"/>
      <w:jc w:val="left"/>
      <w:outlineLvl w:val="3"/>
    </w:pPr>
    <w:rPr>
      <w:rFonts w:ascii="Cambria" w:hAnsi="Cambria" w:eastAsia="仿宋_GB2312"/>
      <w:b/>
      <w:szCs w:val="28"/>
    </w:rPr>
  </w:style>
  <w:style w:type="paragraph" w:styleId="6">
    <w:name w:val="heading 5"/>
    <w:basedOn w:val="1"/>
    <w:next w:val="1"/>
    <w:link w:val="47"/>
    <w:qFormat/>
    <w:uiPriority w:val="99"/>
    <w:pPr>
      <w:keepNext/>
      <w:keepLines/>
      <w:widowControl w:val="0"/>
      <w:spacing w:before="280" w:after="290" w:line="376" w:lineRule="auto"/>
      <w:jc w:val="both"/>
      <w:outlineLvl w:val="4"/>
    </w:pPr>
    <w:rPr>
      <w:rFonts w:ascii="Calibri" w:hAnsi="Calibri" w:cs="Times New Roman"/>
      <w:b/>
      <w:bCs/>
      <w:kern w:val="2"/>
      <w:sz w:val="28"/>
      <w:szCs w:val="28"/>
    </w:rPr>
  </w:style>
  <w:style w:type="paragraph" w:styleId="7">
    <w:name w:val="heading 6"/>
    <w:basedOn w:val="1"/>
    <w:next w:val="1"/>
    <w:link w:val="48"/>
    <w:qFormat/>
    <w:uiPriority w:val="99"/>
    <w:pPr>
      <w:keepNext/>
      <w:keepLines/>
      <w:widowControl w:val="0"/>
      <w:spacing w:before="240" w:after="64" w:line="319" w:lineRule="auto"/>
      <w:ind w:left="1276"/>
      <w:jc w:val="both"/>
      <w:outlineLvl w:val="5"/>
    </w:pPr>
    <w:rPr>
      <w:rFonts w:ascii="Arial" w:hAnsi="Arial" w:eastAsia="仿宋_GB2312" w:cs="Times New Roman"/>
      <w:b/>
      <w:bCs/>
      <w:color w:val="000000"/>
      <w:kern w:val="16"/>
      <w:sz w:val="30"/>
      <w:szCs w:val="30"/>
    </w:rPr>
  </w:style>
  <w:style w:type="paragraph" w:styleId="8">
    <w:name w:val="heading 7"/>
    <w:basedOn w:val="1"/>
    <w:next w:val="1"/>
    <w:link w:val="49"/>
    <w:qFormat/>
    <w:uiPriority w:val="99"/>
    <w:pPr>
      <w:keepNext/>
      <w:keepLines/>
      <w:widowControl w:val="0"/>
      <w:spacing w:before="240" w:after="64" w:line="319" w:lineRule="auto"/>
      <w:ind w:left="1276"/>
      <w:jc w:val="both"/>
      <w:outlineLvl w:val="6"/>
    </w:pPr>
    <w:rPr>
      <w:rFonts w:ascii="仿宋_GB2312" w:eastAsia="仿宋_GB2312" w:cs="Times New Roman"/>
      <w:b/>
      <w:bCs/>
      <w:color w:val="000000"/>
      <w:kern w:val="16"/>
      <w:sz w:val="30"/>
      <w:szCs w:val="30"/>
    </w:rPr>
  </w:style>
  <w:style w:type="paragraph" w:styleId="9">
    <w:name w:val="heading 8"/>
    <w:basedOn w:val="1"/>
    <w:next w:val="1"/>
    <w:link w:val="50"/>
    <w:qFormat/>
    <w:uiPriority w:val="99"/>
    <w:pPr>
      <w:keepNext/>
      <w:keepLines/>
      <w:widowControl w:val="0"/>
      <w:spacing w:before="240" w:after="64" w:line="320" w:lineRule="auto"/>
      <w:jc w:val="both"/>
      <w:outlineLvl w:val="7"/>
    </w:pPr>
    <w:rPr>
      <w:rFonts w:ascii="Cambria" w:hAnsi="Cambria" w:cs="Times New Roman"/>
      <w:kern w:val="2"/>
    </w:rPr>
  </w:style>
  <w:style w:type="paragraph" w:styleId="10">
    <w:name w:val="heading 9"/>
    <w:basedOn w:val="1"/>
    <w:next w:val="1"/>
    <w:link w:val="51"/>
    <w:qFormat/>
    <w:uiPriority w:val="99"/>
    <w:pPr>
      <w:overflowPunct w:val="0"/>
      <w:autoSpaceDE w:val="0"/>
      <w:autoSpaceDN w:val="0"/>
      <w:adjustRightInd w:val="0"/>
      <w:spacing w:before="240" w:after="60" w:line="360" w:lineRule="auto"/>
      <w:ind w:left="1276"/>
      <w:jc w:val="both"/>
      <w:textAlignment w:val="baseline"/>
      <w:outlineLvl w:val="8"/>
    </w:pPr>
    <w:rPr>
      <w:rFonts w:ascii="Arial" w:hAnsi="Arial" w:eastAsia="仿宋_GB2312" w:cs="Times New Roman"/>
      <w:i/>
      <w:iCs/>
      <w:color w:val="000000"/>
      <w:sz w:val="18"/>
      <w:szCs w:val="18"/>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1440"/>
    </w:pPr>
    <w:rPr>
      <w:rFonts w:asciiTheme="minorHAnsi" w:hAnsiTheme="minorHAnsi" w:cstheme="minorHAnsi"/>
      <w:sz w:val="18"/>
      <w:szCs w:val="18"/>
    </w:rPr>
  </w:style>
  <w:style w:type="paragraph" w:styleId="12">
    <w:name w:val="Document Map"/>
    <w:basedOn w:val="1"/>
    <w:link w:val="107"/>
    <w:semiHidden/>
    <w:qFormat/>
    <w:uiPriority w:val="99"/>
    <w:pPr>
      <w:widowControl w:val="0"/>
      <w:jc w:val="both"/>
    </w:pPr>
    <w:rPr>
      <w:rFonts w:hAnsi="Calibri" w:cs="Times New Roman"/>
      <w:kern w:val="2"/>
      <w:sz w:val="18"/>
      <w:szCs w:val="20"/>
    </w:rPr>
  </w:style>
  <w:style w:type="paragraph" w:styleId="13">
    <w:name w:val="annotation text"/>
    <w:basedOn w:val="1"/>
    <w:link w:val="127"/>
    <w:semiHidden/>
    <w:qFormat/>
    <w:uiPriority w:val="99"/>
    <w:pPr>
      <w:widowControl w:val="0"/>
    </w:pPr>
    <w:rPr>
      <w:rFonts w:ascii="仿宋_GB2312" w:eastAsia="仿宋_GB2312" w:cs="Times New Roman"/>
      <w:color w:val="000000"/>
      <w:kern w:val="16"/>
      <w:sz w:val="30"/>
      <w:szCs w:val="30"/>
    </w:rPr>
  </w:style>
  <w:style w:type="paragraph" w:styleId="14">
    <w:name w:val="Body Text"/>
    <w:basedOn w:val="1"/>
    <w:qFormat/>
    <w:uiPriority w:val="1"/>
    <w:pPr>
      <w:spacing w:before="61"/>
      <w:ind w:left="117"/>
    </w:pPr>
    <w:rPr>
      <w:sz w:val="30"/>
      <w:szCs w:val="30"/>
    </w:rPr>
  </w:style>
  <w:style w:type="paragraph" w:styleId="15">
    <w:name w:val="Body Text Indent"/>
    <w:basedOn w:val="1"/>
    <w:link w:val="126"/>
    <w:qFormat/>
    <w:uiPriority w:val="99"/>
    <w:pPr>
      <w:widowControl w:val="0"/>
      <w:ind w:firstLine="600" w:firstLineChars="200"/>
      <w:jc w:val="both"/>
    </w:pPr>
    <w:rPr>
      <w:rFonts w:ascii="仿宋_GB2312" w:hAnsi="Calibri" w:eastAsia="仿宋_GB2312" w:cs="Times New Roman"/>
      <w:sz w:val="30"/>
      <w:szCs w:val="20"/>
    </w:rPr>
  </w:style>
  <w:style w:type="paragraph" w:styleId="16">
    <w:name w:val="toc 5"/>
    <w:basedOn w:val="1"/>
    <w:next w:val="1"/>
    <w:qFormat/>
    <w:uiPriority w:val="99"/>
    <w:pPr>
      <w:ind w:left="960"/>
    </w:pPr>
    <w:rPr>
      <w:rFonts w:asciiTheme="minorHAnsi" w:hAnsiTheme="minorHAnsi" w:cstheme="minorHAnsi"/>
      <w:sz w:val="18"/>
      <w:szCs w:val="18"/>
    </w:rPr>
  </w:style>
  <w:style w:type="paragraph" w:styleId="17">
    <w:name w:val="toc 3"/>
    <w:basedOn w:val="1"/>
    <w:next w:val="1"/>
    <w:link w:val="112"/>
    <w:qFormat/>
    <w:uiPriority w:val="39"/>
    <w:pPr>
      <w:ind w:left="480"/>
    </w:pPr>
    <w:rPr>
      <w:rFonts w:asciiTheme="minorHAnsi" w:hAnsiTheme="minorHAnsi" w:cstheme="minorHAnsi"/>
      <w:i/>
      <w:iCs/>
      <w:sz w:val="20"/>
      <w:szCs w:val="20"/>
    </w:rPr>
  </w:style>
  <w:style w:type="paragraph" w:styleId="18">
    <w:name w:val="toc 8"/>
    <w:basedOn w:val="1"/>
    <w:next w:val="1"/>
    <w:qFormat/>
    <w:uiPriority w:val="99"/>
    <w:pPr>
      <w:ind w:left="1680"/>
    </w:pPr>
    <w:rPr>
      <w:rFonts w:asciiTheme="minorHAnsi" w:hAnsiTheme="minorHAnsi" w:cstheme="minorHAnsi"/>
      <w:sz w:val="18"/>
      <w:szCs w:val="18"/>
    </w:rPr>
  </w:style>
  <w:style w:type="paragraph" w:styleId="19">
    <w:name w:val="Body Text Indent 2"/>
    <w:basedOn w:val="1"/>
    <w:qFormat/>
    <w:uiPriority w:val="0"/>
    <w:pPr>
      <w:spacing w:after="120" w:line="480" w:lineRule="auto"/>
      <w:ind w:left="420" w:leftChars="200"/>
    </w:pPr>
  </w:style>
  <w:style w:type="paragraph" w:styleId="20">
    <w:name w:val="Balloon Text"/>
    <w:basedOn w:val="1"/>
    <w:link w:val="103"/>
    <w:semiHidden/>
    <w:qFormat/>
    <w:uiPriority w:val="99"/>
    <w:pPr>
      <w:widowControl w:val="0"/>
      <w:jc w:val="both"/>
    </w:pPr>
    <w:rPr>
      <w:rFonts w:ascii="Calibri" w:hAnsi="Calibri" w:cs="Times New Roman"/>
      <w:kern w:val="2"/>
      <w:sz w:val="18"/>
      <w:szCs w:val="20"/>
    </w:rPr>
  </w:style>
  <w:style w:type="paragraph" w:styleId="21">
    <w:name w:val="footer"/>
    <w:basedOn w:val="1"/>
    <w:link w:val="76"/>
    <w:qFormat/>
    <w:uiPriority w:val="99"/>
    <w:pPr>
      <w:tabs>
        <w:tab w:val="center" w:pos="4153"/>
        <w:tab w:val="right" w:pos="8306"/>
      </w:tabs>
      <w:snapToGrid w:val="0"/>
    </w:pPr>
    <w:rPr>
      <w:rFonts w:cs="Times New Roman"/>
      <w:sz w:val="18"/>
      <w:szCs w:val="18"/>
    </w:rPr>
  </w:style>
  <w:style w:type="paragraph" w:styleId="22">
    <w:name w:val="header"/>
    <w:basedOn w:val="1"/>
    <w:link w:val="75"/>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23">
    <w:name w:val="toc 1"/>
    <w:basedOn w:val="17"/>
    <w:next w:val="1"/>
    <w:link w:val="113"/>
    <w:qFormat/>
    <w:uiPriority w:val="39"/>
    <w:pPr>
      <w:spacing w:before="120" w:after="120"/>
      <w:ind w:left="0"/>
    </w:pPr>
    <w:rPr>
      <w:b/>
      <w:bCs/>
      <w:i w:val="0"/>
      <w:iCs w:val="0"/>
      <w:caps/>
    </w:rPr>
  </w:style>
  <w:style w:type="paragraph" w:styleId="24">
    <w:name w:val="toc 4"/>
    <w:basedOn w:val="1"/>
    <w:next w:val="1"/>
    <w:qFormat/>
    <w:uiPriority w:val="39"/>
    <w:pPr>
      <w:ind w:left="720"/>
    </w:pPr>
    <w:rPr>
      <w:rFonts w:asciiTheme="minorHAnsi" w:hAnsiTheme="minorHAnsi" w:cstheme="minorHAnsi"/>
      <w:sz w:val="18"/>
      <w:szCs w:val="18"/>
    </w:rPr>
  </w:style>
  <w:style w:type="paragraph" w:styleId="25">
    <w:name w:val="Subtitle"/>
    <w:basedOn w:val="1"/>
    <w:next w:val="1"/>
    <w:link w:val="109"/>
    <w:qFormat/>
    <w:uiPriority w:val="99"/>
    <w:pPr>
      <w:widowControl w:val="0"/>
      <w:spacing w:before="240" w:after="60" w:line="312" w:lineRule="auto"/>
      <w:jc w:val="center"/>
      <w:outlineLvl w:val="1"/>
    </w:pPr>
    <w:rPr>
      <w:rFonts w:ascii="Cambria" w:hAnsi="Cambria" w:cs="Times New Roman"/>
      <w:b/>
      <w:bCs/>
      <w:kern w:val="28"/>
      <w:sz w:val="30"/>
      <w:szCs w:val="32"/>
    </w:rPr>
  </w:style>
  <w:style w:type="paragraph" w:styleId="26">
    <w:name w:val="footnote text"/>
    <w:basedOn w:val="1"/>
    <w:link w:val="105"/>
    <w:semiHidden/>
    <w:qFormat/>
    <w:uiPriority w:val="99"/>
    <w:pPr>
      <w:widowControl w:val="0"/>
      <w:snapToGrid w:val="0"/>
    </w:pPr>
    <w:rPr>
      <w:rFonts w:ascii="Calibri" w:hAnsi="Calibri" w:cs="Times New Roman"/>
      <w:kern w:val="2"/>
      <w:sz w:val="18"/>
      <w:szCs w:val="20"/>
    </w:rPr>
  </w:style>
  <w:style w:type="paragraph" w:styleId="27">
    <w:name w:val="toc 6"/>
    <w:basedOn w:val="1"/>
    <w:next w:val="1"/>
    <w:qFormat/>
    <w:uiPriority w:val="99"/>
    <w:pPr>
      <w:ind w:left="1200"/>
    </w:pPr>
    <w:rPr>
      <w:rFonts w:asciiTheme="minorHAnsi" w:hAnsiTheme="minorHAnsi" w:cstheme="minorHAnsi"/>
      <w:sz w:val="18"/>
      <w:szCs w:val="18"/>
    </w:rPr>
  </w:style>
  <w:style w:type="paragraph" w:styleId="28">
    <w:name w:val="toc 2"/>
    <w:basedOn w:val="23"/>
    <w:next w:val="1"/>
    <w:link w:val="114"/>
    <w:qFormat/>
    <w:uiPriority w:val="39"/>
    <w:pPr>
      <w:spacing w:before="0" w:after="0"/>
      <w:ind w:left="240"/>
    </w:pPr>
    <w:rPr>
      <w:b w:val="0"/>
      <w:bCs w:val="0"/>
      <w:caps w:val="0"/>
      <w:smallCaps/>
    </w:rPr>
  </w:style>
  <w:style w:type="paragraph" w:styleId="29">
    <w:name w:val="toc 9"/>
    <w:basedOn w:val="1"/>
    <w:next w:val="1"/>
    <w:qFormat/>
    <w:uiPriority w:val="99"/>
    <w:pPr>
      <w:ind w:left="1920"/>
    </w:pPr>
    <w:rPr>
      <w:rFonts w:asciiTheme="minorHAnsi" w:hAnsiTheme="minorHAnsi" w:cstheme="minorHAnsi"/>
      <w:sz w:val="18"/>
      <w:szCs w:val="18"/>
    </w:rPr>
  </w:style>
  <w:style w:type="paragraph" w:styleId="30">
    <w:name w:val="HTML Preformatted"/>
    <w:basedOn w:val="1"/>
    <w:link w:val="140"/>
    <w:semiHidden/>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rPr>
  </w:style>
  <w:style w:type="paragraph" w:styleId="31">
    <w:name w:val="Normal (Web)"/>
    <w:basedOn w:val="1"/>
    <w:qFormat/>
    <w:uiPriority w:val="99"/>
    <w:pPr>
      <w:spacing w:before="100" w:beforeAutospacing="1" w:after="100" w:afterAutospacing="1"/>
    </w:pPr>
  </w:style>
  <w:style w:type="paragraph" w:styleId="32">
    <w:name w:val="Title"/>
    <w:basedOn w:val="1"/>
    <w:next w:val="1"/>
    <w:link w:val="108"/>
    <w:qFormat/>
    <w:uiPriority w:val="99"/>
    <w:pPr>
      <w:widowControl w:val="0"/>
      <w:spacing w:before="240" w:after="60"/>
      <w:jc w:val="center"/>
      <w:outlineLvl w:val="0"/>
    </w:pPr>
    <w:rPr>
      <w:rFonts w:ascii="Cambria" w:hAnsi="Cambria" w:cs="Times New Roman"/>
      <w:b/>
      <w:bCs/>
      <w:kern w:val="2"/>
      <w:sz w:val="32"/>
      <w:szCs w:val="32"/>
    </w:rPr>
  </w:style>
  <w:style w:type="paragraph" w:styleId="33">
    <w:name w:val="annotation subject"/>
    <w:basedOn w:val="13"/>
    <w:next w:val="13"/>
    <w:link w:val="128"/>
    <w:semiHidden/>
    <w:qFormat/>
    <w:uiPriority w:val="99"/>
    <w:rPr>
      <w:b/>
      <w:bCs/>
    </w:rPr>
  </w:style>
  <w:style w:type="table" w:styleId="35">
    <w:name w:val="Table Grid"/>
    <w:basedOn w:val="34"/>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locked/>
    <w:uiPriority w:val="0"/>
    <w:rPr>
      <w:b/>
      <w:bCs/>
    </w:rPr>
  </w:style>
  <w:style w:type="character" w:styleId="38">
    <w:name w:val="page number"/>
    <w:basedOn w:val="36"/>
    <w:qFormat/>
    <w:uiPriority w:val="99"/>
    <w:rPr>
      <w:rFonts w:eastAsia="宋体" w:cs="Times New Roman"/>
      <w:kern w:val="2"/>
      <w:sz w:val="24"/>
      <w:lang w:val="en-US" w:eastAsia="zh-CN"/>
    </w:rPr>
  </w:style>
  <w:style w:type="character" w:styleId="39">
    <w:name w:val="Emphasis"/>
    <w:basedOn w:val="36"/>
    <w:qFormat/>
    <w:uiPriority w:val="99"/>
    <w:rPr>
      <w:rFonts w:cs="Times New Roman"/>
      <w:i/>
    </w:rPr>
  </w:style>
  <w:style w:type="character" w:styleId="40">
    <w:name w:val="Hyperlink"/>
    <w:basedOn w:val="36"/>
    <w:qFormat/>
    <w:uiPriority w:val="99"/>
    <w:rPr>
      <w:rFonts w:cs="Times New Roman"/>
      <w:color w:val="0000FF"/>
      <w:u w:val="single"/>
    </w:rPr>
  </w:style>
  <w:style w:type="character" w:styleId="41">
    <w:name w:val="annotation reference"/>
    <w:basedOn w:val="36"/>
    <w:semiHidden/>
    <w:qFormat/>
    <w:uiPriority w:val="99"/>
    <w:rPr>
      <w:rFonts w:eastAsia="宋体" w:cs="Times New Roman"/>
      <w:kern w:val="2"/>
      <w:sz w:val="21"/>
      <w:lang w:val="en-US" w:eastAsia="zh-CN"/>
    </w:rPr>
  </w:style>
  <w:style w:type="character" w:styleId="42">
    <w:name w:val="footnote reference"/>
    <w:basedOn w:val="36"/>
    <w:semiHidden/>
    <w:qFormat/>
    <w:uiPriority w:val="99"/>
    <w:rPr>
      <w:rFonts w:eastAsia="宋体" w:cs="Times New Roman"/>
      <w:kern w:val="2"/>
      <w:sz w:val="24"/>
      <w:vertAlign w:val="superscript"/>
      <w:lang w:val="en-US" w:eastAsia="zh-CN"/>
    </w:rPr>
  </w:style>
  <w:style w:type="character" w:customStyle="1" w:styleId="43">
    <w:name w:val="标题 1 字符"/>
    <w:basedOn w:val="36"/>
    <w:link w:val="2"/>
    <w:qFormat/>
    <w:locked/>
    <w:uiPriority w:val="99"/>
    <w:rPr>
      <w:rFonts w:ascii="仿宋_GB2312" w:hAnsi="宋体" w:eastAsia="仿宋_GB2312"/>
      <w:b/>
      <w:color w:val="000000"/>
      <w:kern w:val="44"/>
      <w:sz w:val="44"/>
    </w:rPr>
  </w:style>
  <w:style w:type="character" w:customStyle="1" w:styleId="44">
    <w:name w:val="标题 2 字符"/>
    <w:basedOn w:val="36"/>
    <w:link w:val="3"/>
    <w:qFormat/>
    <w:locked/>
    <w:uiPriority w:val="99"/>
    <w:rPr>
      <w:rFonts w:ascii="宋体" w:hAnsi="宋体" w:eastAsia="华文中宋"/>
      <w:b/>
      <w:bCs/>
      <w:sz w:val="30"/>
      <w:szCs w:val="44"/>
    </w:rPr>
  </w:style>
  <w:style w:type="character" w:customStyle="1" w:styleId="45">
    <w:name w:val="标题 3 字符"/>
    <w:basedOn w:val="36"/>
    <w:link w:val="4"/>
    <w:qFormat/>
    <w:locked/>
    <w:uiPriority w:val="99"/>
    <w:rPr>
      <w:rFonts w:ascii="Calibri" w:hAnsi="Calibri" w:eastAsia="黑体"/>
      <w:kern w:val="2"/>
      <w:sz w:val="32"/>
    </w:rPr>
  </w:style>
  <w:style w:type="character" w:customStyle="1" w:styleId="46">
    <w:name w:val="标题 4 字符"/>
    <w:basedOn w:val="36"/>
    <w:link w:val="5"/>
    <w:qFormat/>
    <w:locked/>
    <w:uiPriority w:val="99"/>
    <w:rPr>
      <w:rFonts w:ascii="Cambria" w:hAnsi="Cambria" w:eastAsia="仿宋_GB2312"/>
      <w:b/>
      <w:kern w:val="2"/>
      <w:sz w:val="28"/>
    </w:rPr>
  </w:style>
  <w:style w:type="character" w:customStyle="1" w:styleId="47">
    <w:name w:val="标题 5 字符"/>
    <w:basedOn w:val="36"/>
    <w:link w:val="6"/>
    <w:qFormat/>
    <w:locked/>
    <w:uiPriority w:val="99"/>
    <w:rPr>
      <w:rFonts w:ascii="Calibri" w:hAnsi="Calibri"/>
      <w:b/>
      <w:kern w:val="2"/>
      <w:sz w:val="28"/>
    </w:rPr>
  </w:style>
  <w:style w:type="character" w:customStyle="1" w:styleId="48">
    <w:name w:val="标题 6 字符"/>
    <w:basedOn w:val="36"/>
    <w:link w:val="7"/>
    <w:qFormat/>
    <w:locked/>
    <w:uiPriority w:val="99"/>
    <w:rPr>
      <w:rFonts w:ascii="Arial" w:hAnsi="Arial" w:eastAsia="仿宋_GB2312"/>
      <w:b/>
      <w:color w:val="000000"/>
      <w:kern w:val="16"/>
      <w:sz w:val="30"/>
    </w:rPr>
  </w:style>
  <w:style w:type="character" w:customStyle="1" w:styleId="49">
    <w:name w:val="标题 7 字符"/>
    <w:basedOn w:val="36"/>
    <w:link w:val="8"/>
    <w:qFormat/>
    <w:locked/>
    <w:uiPriority w:val="99"/>
    <w:rPr>
      <w:rFonts w:ascii="仿宋_GB2312" w:hAnsi="宋体" w:eastAsia="仿宋_GB2312"/>
      <w:b/>
      <w:color w:val="000000"/>
      <w:kern w:val="16"/>
      <w:sz w:val="30"/>
    </w:rPr>
  </w:style>
  <w:style w:type="character" w:customStyle="1" w:styleId="50">
    <w:name w:val="标题 8 字符"/>
    <w:basedOn w:val="36"/>
    <w:link w:val="9"/>
    <w:qFormat/>
    <w:locked/>
    <w:uiPriority w:val="99"/>
    <w:rPr>
      <w:rFonts w:ascii="Cambria" w:hAnsi="Cambria" w:eastAsia="宋体"/>
      <w:kern w:val="2"/>
      <w:sz w:val="24"/>
    </w:rPr>
  </w:style>
  <w:style w:type="character" w:customStyle="1" w:styleId="51">
    <w:name w:val="标题 9 字符"/>
    <w:basedOn w:val="36"/>
    <w:link w:val="10"/>
    <w:qFormat/>
    <w:locked/>
    <w:uiPriority w:val="99"/>
    <w:rPr>
      <w:rFonts w:ascii="Arial" w:hAnsi="Arial" w:eastAsia="仿宋_GB2312"/>
      <w:i/>
      <w:color w:val="000000"/>
      <w:sz w:val="18"/>
    </w:rPr>
  </w:style>
  <w:style w:type="paragraph" w:customStyle="1" w:styleId="52">
    <w:name w:val="font52478"/>
    <w:basedOn w:val="1"/>
    <w:qFormat/>
    <w:uiPriority w:val="99"/>
    <w:pPr>
      <w:spacing w:before="100" w:beforeAutospacing="1" w:after="100" w:afterAutospacing="1"/>
    </w:pPr>
    <w:rPr>
      <w:sz w:val="18"/>
      <w:szCs w:val="18"/>
    </w:rPr>
  </w:style>
  <w:style w:type="paragraph" w:customStyle="1" w:styleId="53">
    <w:name w:val="xl8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0"/>
      <w:szCs w:val="20"/>
    </w:rPr>
  </w:style>
  <w:style w:type="paragraph" w:customStyle="1" w:styleId="54">
    <w:name w:val="xl8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55">
    <w:name w:val="xl872478"/>
    <w:basedOn w:val="1"/>
    <w:qFormat/>
    <w:uiPriority w:val="99"/>
    <w:pPr>
      <w:spacing w:before="100" w:beforeAutospacing="1" w:after="100" w:afterAutospacing="1"/>
      <w:textAlignment w:val="center"/>
    </w:pPr>
    <w:rPr>
      <w:color w:val="000000"/>
      <w:sz w:val="22"/>
      <w:szCs w:val="22"/>
    </w:rPr>
  </w:style>
  <w:style w:type="paragraph" w:customStyle="1" w:styleId="56">
    <w:name w:val="xl8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57">
    <w:name w:val="xl892478"/>
    <w:basedOn w:val="1"/>
    <w:qFormat/>
    <w:uiPriority w:val="99"/>
    <w:pPr>
      <w:spacing w:before="100" w:beforeAutospacing="1" w:after="100" w:afterAutospacing="1"/>
      <w:textAlignment w:val="center"/>
    </w:pPr>
    <w:rPr>
      <w:color w:val="000000"/>
      <w:sz w:val="20"/>
      <w:szCs w:val="20"/>
    </w:rPr>
  </w:style>
  <w:style w:type="paragraph" w:customStyle="1" w:styleId="58">
    <w:name w:val="xl902478"/>
    <w:basedOn w:val="1"/>
    <w:qFormat/>
    <w:uiPriority w:val="99"/>
    <w:pPr>
      <w:spacing w:before="100" w:beforeAutospacing="1" w:after="100" w:afterAutospacing="1"/>
      <w:textAlignment w:val="center"/>
    </w:pPr>
    <w:rPr>
      <w:b/>
      <w:bCs/>
      <w:color w:val="000000"/>
      <w:sz w:val="20"/>
      <w:szCs w:val="20"/>
    </w:rPr>
  </w:style>
  <w:style w:type="paragraph" w:customStyle="1" w:styleId="59">
    <w:name w:val="xl912478"/>
    <w:basedOn w:val="1"/>
    <w:qFormat/>
    <w:uiPriority w:val="99"/>
    <w:pPr>
      <w:pBdr>
        <w:bottom w:val="single" w:color="auto" w:sz="4" w:space="0"/>
      </w:pBdr>
      <w:spacing w:before="100" w:beforeAutospacing="1" w:after="100" w:afterAutospacing="1"/>
      <w:jc w:val="center"/>
      <w:textAlignment w:val="center"/>
    </w:pPr>
    <w:rPr>
      <w:b/>
      <w:bCs/>
      <w:sz w:val="32"/>
      <w:szCs w:val="32"/>
    </w:rPr>
  </w:style>
  <w:style w:type="paragraph" w:customStyle="1" w:styleId="60">
    <w:name w:val="xl922478"/>
    <w:basedOn w:val="1"/>
    <w:qFormat/>
    <w:uiPriority w:val="99"/>
    <w:pPr>
      <w:spacing w:before="100" w:beforeAutospacing="1" w:after="100" w:afterAutospacing="1"/>
      <w:textAlignment w:val="center"/>
    </w:pPr>
    <w:rPr>
      <w:rFonts w:ascii="黑体" w:hAnsi="黑体" w:eastAsia="黑体"/>
      <w:color w:val="000000"/>
      <w:sz w:val="22"/>
      <w:szCs w:val="22"/>
    </w:rPr>
  </w:style>
  <w:style w:type="paragraph" w:customStyle="1" w:styleId="61">
    <w:name w:val="xl93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2"/>
      <w:szCs w:val="22"/>
    </w:rPr>
  </w:style>
  <w:style w:type="paragraph" w:customStyle="1" w:styleId="62">
    <w:name w:val="xl94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color w:val="000000"/>
      <w:sz w:val="22"/>
      <w:szCs w:val="22"/>
    </w:rPr>
  </w:style>
  <w:style w:type="paragraph" w:customStyle="1" w:styleId="63">
    <w:name w:val="xl952478"/>
    <w:basedOn w:val="1"/>
    <w:qFormat/>
    <w:uiPriority w:val="99"/>
    <w:pPr>
      <w:pBdr>
        <w:top w:val="single" w:color="auto" w:sz="4" w:space="1"/>
        <w:left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4">
    <w:name w:val="xl962478"/>
    <w:basedOn w:val="1"/>
    <w:qFormat/>
    <w:uiPriority w:val="99"/>
    <w:pPr>
      <w:pBdr>
        <w:top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5">
    <w:name w:val="xl972478"/>
    <w:basedOn w:val="1"/>
    <w:qFormat/>
    <w:uiPriority w:val="99"/>
    <w:pPr>
      <w:pBdr>
        <w:top w:val="single" w:color="auto" w:sz="4" w:space="1"/>
        <w:bottom w:val="single" w:color="auto" w:sz="4" w:space="0"/>
        <w:right w:val="single" w:color="auto" w:sz="4" w:space="1"/>
      </w:pBdr>
      <w:spacing w:before="100" w:beforeAutospacing="1" w:after="100" w:afterAutospacing="1"/>
      <w:jc w:val="center"/>
      <w:textAlignment w:val="center"/>
    </w:pPr>
    <w:rPr>
      <w:b/>
      <w:bCs/>
      <w:sz w:val="20"/>
      <w:szCs w:val="20"/>
    </w:rPr>
  </w:style>
  <w:style w:type="paragraph" w:customStyle="1" w:styleId="66">
    <w:name w:val="xl9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7">
    <w:name w:val="xl99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8">
    <w:name w:val="xl100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69">
    <w:name w:val="xl101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70">
    <w:name w:val="xl102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71">
    <w:name w:val="xl1032478"/>
    <w:basedOn w:val="1"/>
    <w:qFormat/>
    <w:uiPriority w:val="99"/>
    <w:pPr>
      <w:pBdr>
        <w:top w:val="single" w:color="auto" w:sz="4" w:space="1"/>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2">
    <w:name w:val="xl1042478"/>
    <w:basedOn w:val="1"/>
    <w:qFormat/>
    <w:uiPriority w:val="99"/>
    <w:pPr>
      <w:pBdr>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3">
    <w:name w:val="xl10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rFonts w:ascii="Arial" w:hAnsi="Arial" w:cs="Arial"/>
      <w:color w:val="000000"/>
      <w:sz w:val="20"/>
      <w:szCs w:val="20"/>
    </w:rPr>
  </w:style>
  <w:style w:type="paragraph" w:customStyle="1" w:styleId="74">
    <w:name w:val="xl10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character" w:customStyle="1" w:styleId="75">
    <w:name w:val="页眉 字符"/>
    <w:basedOn w:val="36"/>
    <w:link w:val="22"/>
    <w:semiHidden/>
    <w:qFormat/>
    <w:locked/>
    <w:uiPriority w:val="99"/>
    <w:rPr>
      <w:rFonts w:ascii="宋体" w:hAnsi="宋体" w:eastAsia="宋体"/>
      <w:sz w:val="18"/>
    </w:rPr>
  </w:style>
  <w:style w:type="character" w:customStyle="1" w:styleId="76">
    <w:name w:val="页脚 字符"/>
    <w:basedOn w:val="36"/>
    <w:link w:val="21"/>
    <w:qFormat/>
    <w:locked/>
    <w:uiPriority w:val="99"/>
    <w:rPr>
      <w:rFonts w:ascii="宋体" w:hAnsi="宋体" w:eastAsia="宋体"/>
      <w:sz w:val="18"/>
    </w:rPr>
  </w:style>
  <w:style w:type="paragraph" w:customStyle="1" w:styleId="77">
    <w:name w:val="List Paragraph"/>
    <w:basedOn w:val="1"/>
    <w:qFormat/>
    <w:uiPriority w:val="99"/>
    <w:pPr>
      <w:ind w:firstLine="420" w:firstLineChars="200"/>
    </w:pPr>
  </w:style>
  <w:style w:type="paragraph" w:customStyle="1" w:styleId="78">
    <w:name w:val="font56441"/>
    <w:basedOn w:val="1"/>
    <w:qFormat/>
    <w:uiPriority w:val="99"/>
    <w:pPr>
      <w:spacing w:before="100" w:beforeAutospacing="1" w:after="100" w:afterAutospacing="1"/>
    </w:pPr>
    <w:rPr>
      <w:sz w:val="18"/>
      <w:szCs w:val="18"/>
    </w:rPr>
  </w:style>
  <w:style w:type="paragraph" w:customStyle="1" w:styleId="79">
    <w:name w:val="font66441"/>
    <w:basedOn w:val="1"/>
    <w:qFormat/>
    <w:uiPriority w:val="99"/>
    <w:pPr>
      <w:spacing w:before="100" w:beforeAutospacing="1" w:after="100" w:afterAutospacing="1"/>
    </w:pPr>
    <w:rPr>
      <w:sz w:val="18"/>
      <w:szCs w:val="18"/>
    </w:rPr>
  </w:style>
  <w:style w:type="paragraph" w:customStyle="1" w:styleId="80">
    <w:name w:val="xl756441"/>
    <w:basedOn w:val="1"/>
    <w:qFormat/>
    <w:uiPriority w:val="99"/>
    <w:pPr>
      <w:shd w:val="clear" w:color="000000" w:fill="FFFFFF"/>
      <w:spacing w:before="100" w:beforeAutospacing="1" w:after="100" w:afterAutospacing="1"/>
      <w:textAlignment w:val="center"/>
    </w:pPr>
    <w:rPr>
      <w:color w:val="000000"/>
      <w:sz w:val="20"/>
      <w:szCs w:val="20"/>
    </w:rPr>
  </w:style>
  <w:style w:type="paragraph" w:customStyle="1" w:styleId="81">
    <w:name w:val="xl766441"/>
    <w:basedOn w:val="1"/>
    <w:qFormat/>
    <w:uiPriority w:val="99"/>
    <w:pPr>
      <w:shd w:val="clear" w:color="000000" w:fill="FFFFFF"/>
      <w:spacing w:before="100" w:beforeAutospacing="1" w:after="100" w:afterAutospacing="1"/>
      <w:textAlignment w:val="center"/>
    </w:pPr>
    <w:rPr>
      <w:b/>
      <w:bCs/>
      <w:color w:val="000000"/>
      <w:sz w:val="20"/>
      <w:szCs w:val="20"/>
    </w:rPr>
  </w:style>
  <w:style w:type="paragraph" w:customStyle="1" w:styleId="82">
    <w:name w:val="xl77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83">
    <w:name w:val="xl786441"/>
    <w:basedOn w:val="1"/>
    <w:qFormat/>
    <w:uiPriority w:val="99"/>
    <w:pPr>
      <w:shd w:val="clear" w:color="000000" w:fill="FFFFFF"/>
      <w:spacing w:before="100" w:beforeAutospacing="1" w:after="100" w:afterAutospacing="1"/>
      <w:textAlignment w:val="center"/>
    </w:pPr>
    <w:rPr>
      <w:rFonts w:ascii="黑体" w:hAnsi="黑体" w:eastAsia="黑体"/>
      <w:color w:val="000000"/>
      <w:sz w:val="22"/>
      <w:szCs w:val="22"/>
    </w:rPr>
  </w:style>
  <w:style w:type="paragraph" w:customStyle="1" w:styleId="84">
    <w:name w:val="xl796441"/>
    <w:basedOn w:val="1"/>
    <w:qFormat/>
    <w:uiPriority w:val="99"/>
    <w:pPr>
      <w:pBdr>
        <w:bottom w:val="single" w:color="auto" w:sz="4" w:space="0"/>
      </w:pBdr>
      <w:shd w:val="clear" w:color="000000" w:fill="FFFFFF"/>
      <w:spacing w:before="100" w:beforeAutospacing="1" w:after="100" w:afterAutospacing="1"/>
      <w:jc w:val="center"/>
      <w:textAlignment w:val="center"/>
    </w:pPr>
    <w:rPr>
      <w:rFonts w:ascii="黑体" w:hAnsi="黑体" w:eastAsia="黑体"/>
      <w:sz w:val="36"/>
      <w:szCs w:val="36"/>
    </w:rPr>
  </w:style>
  <w:style w:type="paragraph" w:customStyle="1" w:styleId="85">
    <w:name w:val="xl806441"/>
    <w:basedOn w:val="1"/>
    <w:qFormat/>
    <w:uiPriority w:val="99"/>
    <w:pPr>
      <w:spacing w:before="100" w:beforeAutospacing="1" w:after="100" w:afterAutospacing="1"/>
      <w:jc w:val="center"/>
      <w:textAlignment w:val="center"/>
    </w:pPr>
    <w:rPr>
      <w:sz w:val="28"/>
      <w:szCs w:val="28"/>
    </w:rPr>
  </w:style>
  <w:style w:type="paragraph" w:customStyle="1" w:styleId="86">
    <w:name w:val="xl816441"/>
    <w:basedOn w:val="1"/>
    <w:qFormat/>
    <w:uiPriority w:val="99"/>
    <w:pPr>
      <w:shd w:val="clear" w:color="000000" w:fill="FFFFFF"/>
      <w:spacing w:before="100" w:beforeAutospacing="1" w:after="100" w:afterAutospacing="1"/>
      <w:textAlignment w:val="center"/>
    </w:pPr>
    <w:rPr>
      <w:rFonts w:ascii="仿宋_GB2312" w:eastAsia="仿宋_GB2312"/>
      <w:color w:val="000000"/>
      <w:sz w:val="22"/>
      <w:szCs w:val="22"/>
    </w:rPr>
  </w:style>
  <w:style w:type="paragraph" w:customStyle="1" w:styleId="87">
    <w:name w:val="xl826441"/>
    <w:basedOn w:val="1"/>
    <w:qFormat/>
    <w:uiPriority w:val="99"/>
    <w:pPr>
      <w:pBdr>
        <w:top w:val="single" w:color="auto" w:sz="4" w:space="1"/>
        <w:left w:val="single" w:color="auto" w:sz="4" w:space="1"/>
        <w:bottom w:val="single" w:color="auto" w:sz="4" w:space="0"/>
      </w:pBdr>
      <w:shd w:val="clear" w:color="000000" w:fill="FFFFFF"/>
      <w:spacing w:before="100" w:beforeAutospacing="1" w:after="100" w:afterAutospacing="1"/>
      <w:jc w:val="center"/>
      <w:textAlignment w:val="center"/>
    </w:pPr>
    <w:rPr>
      <w:b/>
      <w:bCs/>
      <w:sz w:val="20"/>
      <w:szCs w:val="20"/>
    </w:rPr>
  </w:style>
  <w:style w:type="paragraph" w:customStyle="1" w:styleId="88">
    <w:name w:val="xl8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b/>
      <w:bCs/>
      <w:sz w:val="20"/>
      <w:szCs w:val="20"/>
    </w:rPr>
  </w:style>
  <w:style w:type="paragraph" w:customStyle="1" w:styleId="89">
    <w:name w:val="xl84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90">
    <w:name w:val="xl85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1">
    <w:name w:val="xl86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2">
    <w:name w:val="xl87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sz w:val="20"/>
      <w:szCs w:val="20"/>
    </w:rPr>
  </w:style>
  <w:style w:type="paragraph" w:customStyle="1" w:styleId="93">
    <w:name w:val="xl88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color w:val="000000"/>
      <w:sz w:val="20"/>
      <w:szCs w:val="20"/>
    </w:rPr>
  </w:style>
  <w:style w:type="paragraph" w:customStyle="1" w:styleId="94">
    <w:name w:val="xl89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5">
    <w:name w:val="xl90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96">
    <w:name w:val="xl916441"/>
    <w:basedOn w:val="1"/>
    <w:qFormat/>
    <w:uiPriority w:val="99"/>
    <w:pPr>
      <w:shd w:val="clear" w:color="000000" w:fill="FFFFFF"/>
      <w:spacing w:before="100" w:beforeAutospacing="1" w:after="100" w:afterAutospacing="1"/>
      <w:textAlignment w:val="center"/>
    </w:pPr>
    <w:rPr>
      <w:sz w:val="20"/>
      <w:szCs w:val="20"/>
    </w:rPr>
  </w:style>
  <w:style w:type="paragraph" w:customStyle="1" w:styleId="97">
    <w:name w:val="xl926441"/>
    <w:basedOn w:val="1"/>
    <w:qFormat/>
    <w:uiPriority w:val="99"/>
    <w:pPr>
      <w:shd w:val="clear" w:color="000000" w:fill="FFFFFF"/>
      <w:spacing w:before="100" w:beforeAutospacing="1" w:after="100" w:afterAutospacing="1"/>
      <w:jc w:val="center"/>
      <w:textAlignment w:val="center"/>
    </w:pPr>
    <w:rPr>
      <w:rFonts w:ascii="黑体" w:hAnsi="黑体" w:eastAsia="黑体"/>
      <w:sz w:val="32"/>
      <w:szCs w:val="32"/>
    </w:rPr>
  </w:style>
  <w:style w:type="paragraph" w:customStyle="1" w:styleId="98">
    <w:name w:val="xl9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color w:val="000000"/>
      <w:sz w:val="20"/>
      <w:szCs w:val="20"/>
    </w:rPr>
  </w:style>
  <w:style w:type="paragraph" w:customStyle="1" w:styleId="99">
    <w:name w:val="xl946441"/>
    <w:basedOn w:val="1"/>
    <w:qFormat/>
    <w:uiPriority w:val="99"/>
    <w:pPr>
      <w:pBdr>
        <w:top w:val="single" w:color="auto" w:sz="4" w:space="1"/>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0">
    <w:name w:val="xl956441"/>
    <w:basedOn w:val="1"/>
    <w:qFormat/>
    <w:uiPriority w:val="99"/>
    <w:pPr>
      <w:pBdr>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1">
    <w:name w:val="xl966441"/>
    <w:basedOn w:val="1"/>
    <w:qFormat/>
    <w:uiPriority w:val="99"/>
    <w:pPr>
      <w:pBdr>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character" w:customStyle="1" w:styleId="102">
    <w:name w:val="批注框文本 Char"/>
    <w:qFormat/>
    <w:locked/>
    <w:uiPriority w:val="99"/>
    <w:rPr>
      <w:rFonts w:ascii="Calibri" w:hAnsi="Calibri"/>
      <w:kern w:val="2"/>
      <w:sz w:val="18"/>
    </w:rPr>
  </w:style>
  <w:style w:type="character" w:customStyle="1" w:styleId="103">
    <w:name w:val="批注框文本 字符"/>
    <w:basedOn w:val="36"/>
    <w:link w:val="20"/>
    <w:semiHidden/>
    <w:qFormat/>
    <w:uiPriority w:val="99"/>
    <w:rPr>
      <w:rFonts w:ascii="宋体" w:hAnsi="宋体" w:cs="宋体"/>
      <w:kern w:val="0"/>
      <w:sz w:val="0"/>
      <w:szCs w:val="0"/>
    </w:rPr>
  </w:style>
  <w:style w:type="character" w:customStyle="1" w:styleId="104">
    <w:name w:val="脚注文本 Char"/>
    <w:qFormat/>
    <w:locked/>
    <w:uiPriority w:val="99"/>
    <w:rPr>
      <w:rFonts w:ascii="Calibri" w:hAnsi="Calibri"/>
      <w:kern w:val="2"/>
      <w:sz w:val="18"/>
    </w:rPr>
  </w:style>
  <w:style w:type="character" w:customStyle="1" w:styleId="105">
    <w:name w:val="脚注文本 字符"/>
    <w:basedOn w:val="36"/>
    <w:link w:val="26"/>
    <w:semiHidden/>
    <w:qFormat/>
    <w:uiPriority w:val="99"/>
    <w:rPr>
      <w:rFonts w:ascii="宋体" w:hAnsi="宋体" w:cs="宋体"/>
      <w:kern w:val="0"/>
      <w:sz w:val="18"/>
      <w:szCs w:val="18"/>
    </w:rPr>
  </w:style>
  <w:style w:type="character" w:customStyle="1" w:styleId="106">
    <w:name w:val="文档结构图 Char"/>
    <w:qFormat/>
    <w:locked/>
    <w:uiPriority w:val="99"/>
    <w:rPr>
      <w:rFonts w:ascii="宋体" w:hAnsi="Calibri" w:eastAsia="宋体"/>
      <w:kern w:val="2"/>
      <w:sz w:val="18"/>
    </w:rPr>
  </w:style>
  <w:style w:type="character" w:customStyle="1" w:styleId="107">
    <w:name w:val="文档结构图 字符"/>
    <w:basedOn w:val="36"/>
    <w:link w:val="12"/>
    <w:semiHidden/>
    <w:qFormat/>
    <w:uiPriority w:val="99"/>
    <w:rPr>
      <w:rFonts w:cs="宋体"/>
      <w:kern w:val="0"/>
      <w:sz w:val="0"/>
      <w:szCs w:val="0"/>
    </w:rPr>
  </w:style>
  <w:style w:type="character" w:customStyle="1" w:styleId="108">
    <w:name w:val="标题 字符"/>
    <w:basedOn w:val="36"/>
    <w:link w:val="32"/>
    <w:qFormat/>
    <w:locked/>
    <w:uiPriority w:val="99"/>
    <w:rPr>
      <w:rFonts w:ascii="Cambria" w:hAnsi="Cambria" w:eastAsia="宋体"/>
      <w:b/>
      <w:kern w:val="2"/>
      <w:sz w:val="32"/>
    </w:rPr>
  </w:style>
  <w:style w:type="character" w:customStyle="1" w:styleId="109">
    <w:name w:val="副标题 字符"/>
    <w:basedOn w:val="36"/>
    <w:link w:val="25"/>
    <w:qFormat/>
    <w:locked/>
    <w:uiPriority w:val="99"/>
    <w:rPr>
      <w:rFonts w:ascii="Cambria" w:hAnsi="Cambria" w:eastAsia="宋体"/>
      <w:b/>
      <w:kern w:val="28"/>
      <w:sz w:val="32"/>
    </w:rPr>
  </w:style>
  <w:style w:type="paragraph" w:customStyle="1" w:styleId="110">
    <w:name w:val="No Spacing"/>
    <w:link w:val="111"/>
    <w:qFormat/>
    <w:uiPriority w:val="99"/>
    <w:pPr>
      <w:ind w:firstLine="200" w:firstLineChars="200"/>
    </w:pPr>
    <w:rPr>
      <w:rFonts w:ascii="Times New Roman" w:hAnsi="Times New Roman" w:eastAsia="仿宋_GB2312" w:cs="Times New Roman"/>
      <w:sz w:val="30"/>
      <w:szCs w:val="22"/>
      <w:lang w:val="en-US" w:eastAsia="zh-CN" w:bidi="ar-SA"/>
    </w:rPr>
  </w:style>
  <w:style w:type="character" w:customStyle="1" w:styleId="111">
    <w:name w:val="无间隔 字符"/>
    <w:link w:val="110"/>
    <w:qFormat/>
    <w:locked/>
    <w:uiPriority w:val="99"/>
    <w:rPr>
      <w:rFonts w:eastAsia="仿宋_GB2312"/>
      <w:sz w:val="30"/>
      <w:szCs w:val="22"/>
      <w:lang w:bidi="ar-SA"/>
    </w:rPr>
  </w:style>
  <w:style w:type="character" w:customStyle="1" w:styleId="112">
    <w:name w:val="目录 3 字符"/>
    <w:link w:val="17"/>
    <w:qFormat/>
    <w:locked/>
    <w:uiPriority w:val="39"/>
    <w:rPr>
      <w:rFonts w:eastAsia="宋体" w:cstheme="minorHAnsi"/>
      <w:i/>
      <w:iCs/>
    </w:rPr>
  </w:style>
  <w:style w:type="character" w:customStyle="1" w:styleId="113">
    <w:name w:val="目录 1 字符"/>
    <w:link w:val="23"/>
    <w:qFormat/>
    <w:locked/>
    <w:uiPriority w:val="39"/>
    <w:rPr>
      <w:rFonts w:eastAsia="宋体" w:cstheme="minorHAnsi"/>
      <w:b/>
      <w:bCs/>
      <w:i/>
      <w:iCs/>
      <w:caps/>
    </w:rPr>
  </w:style>
  <w:style w:type="character" w:customStyle="1" w:styleId="114">
    <w:name w:val="目录 2 字符"/>
    <w:link w:val="28"/>
    <w:qFormat/>
    <w:locked/>
    <w:uiPriority w:val="39"/>
    <w:rPr>
      <w:rFonts w:eastAsia="宋体" w:cstheme="minorHAnsi"/>
      <w:i/>
      <w:iCs/>
      <w:smallCaps/>
    </w:rPr>
  </w:style>
  <w:style w:type="paragraph" w:customStyle="1" w:styleId="115">
    <w:name w:val="目录一"/>
    <w:basedOn w:val="28"/>
    <w:link w:val="116"/>
    <w:qFormat/>
    <w:uiPriority w:val="99"/>
    <w:rPr>
      <w:rFonts w:eastAsia="黑体"/>
      <w:b/>
      <w:iCs/>
      <w:caps/>
      <w:sz w:val="28"/>
    </w:rPr>
  </w:style>
  <w:style w:type="character" w:customStyle="1" w:styleId="116">
    <w:name w:val="目录一 Char"/>
    <w:link w:val="115"/>
    <w:qFormat/>
    <w:locked/>
    <w:uiPriority w:val="99"/>
    <w:rPr>
      <w:rFonts w:ascii="华文中宋" w:hAnsi="华文中宋" w:eastAsia="黑体"/>
      <w:b/>
      <w:caps/>
      <w:smallCaps/>
      <w:kern w:val="2"/>
      <w:sz w:val="28"/>
    </w:rPr>
  </w:style>
  <w:style w:type="paragraph" w:customStyle="1" w:styleId="117">
    <w:name w:val="目录1"/>
    <w:basedOn w:val="17"/>
    <w:link w:val="118"/>
    <w:qFormat/>
    <w:uiPriority w:val="99"/>
    <w:pPr>
      <w:spacing w:line="400" w:lineRule="exact"/>
    </w:pPr>
    <w:rPr>
      <w:sz w:val="28"/>
    </w:rPr>
  </w:style>
  <w:style w:type="character" w:customStyle="1" w:styleId="118">
    <w:name w:val="目录1 Char"/>
    <w:link w:val="117"/>
    <w:qFormat/>
    <w:locked/>
    <w:uiPriority w:val="99"/>
    <w:rPr>
      <w:rFonts w:ascii="黑体" w:hAnsi="黑体" w:eastAsia="黑体"/>
      <w:kern w:val="2"/>
      <w:sz w:val="28"/>
    </w:rPr>
  </w:style>
  <w:style w:type="paragraph" w:customStyle="1" w:styleId="119">
    <w:name w:val="目录标题"/>
    <w:basedOn w:val="3"/>
    <w:link w:val="120"/>
    <w:qFormat/>
    <w:uiPriority w:val="99"/>
    <w:pPr>
      <w:ind w:firstLine="200"/>
    </w:pPr>
    <w:rPr>
      <w:bCs w:val="0"/>
      <w:sz w:val="44"/>
      <w:szCs w:val="20"/>
    </w:rPr>
  </w:style>
  <w:style w:type="character" w:customStyle="1" w:styleId="120">
    <w:name w:val="目录标题 Char"/>
    <w:link w:val="119"/>
    <w:qFormat/>
    <w:locked/>
    <w:uiPriority w:val="99"/>
    <w:rPr>
      <w:rFonts w:ascii="宋体" w:hAnsi="宋体" w:eastAsia="华文中宋"/>
      <w:sz w:val="44"/>
    </w:rPr>
  </w:style>
  <w:style w:type="paragraph" w:customStyle="1" w:styleId="121">
    <w:name w:val="目录（一）"/>
    <w:basedOn w:val="117"/>
    <w:link w:val="122"/>
    <w:qFormat/>
    <w:uiPriority w:val="99"/>
    <w:rPr>
      <w:sz w:val="24"/>
    </w:rPr>
  </w:style>
  <w:style w:type="character" w:customStyle="1" w:styleId="122">
    <w:name w:val="目录（一） Char"/>
    <w:link w:val="121"/>
    <w:qFormat/>
    <w:locked/>
    <w:uiPriority w:val="99"/>
    <w:rPr>
      <w:rFonts w:ascii="黑体" w:hAnsi="黑体" w:eastAsia="黑体"/>
      <w:kern w:val="2"/>
      <w:sz w:val="24"/>
    </w:rPr>
  </w:style>
  <w:style w:type="character" w:customStyle="1" w:styleId="123">
    <w:name w:val="访问过的超链接1"/>
    <w:qFormat/>
    <w:uiPriority w:val="99"/>
    <w:rPr>
      <w:rFonts w:eastAsia="宋体"/>
      <w:color w:val="800080"/>
      <w:kern w:val="2"/>
      <w:sz w:val="24"/>
      <w:u w:val="single"/>
      <w:lang w:val="en-US" w:eastAsia="zh-CN"/>
    </w:rPr>
  </w:style>
  <w:style w:type="character" w:customStyle="1" w:styleId="124">
    <w:name w:val="Body Text Indent Char"/>
    <w:qFormat/>
    <w:locked/>
    <w:uiPriority w:val="99"/>
    <w:rPr>
      <w:rFonts w:ascii="仿宋_GB2312" w:eastAsia="仿宋_GB2312"/>
      <w:sz w:val="30"/>
    </w:rPr>
  </w:style>
  <w:style w:type="character" w:customStyle="1" w:styleId="125">
    <w:name w:val="Body Text Indent Char1"/>
    <w:basedOn w:val="36"/>
    <w:semiHidden/>
    <w:qFormat/>
    <w:uiPriority w:val="99"/>
    <w:rPr>
      <w:rFonts w:ascii="仿宋_GB2312" w:hAnsi="宋体" w:eastAsia="仿宋_GB2312"/>
      <w:color w:val="000000"/>
      <w:kern w:val="16"/>
      <w:sz w:val="30"/>
    </w:rPr>
  </w:style>
  <w:style w:type="character" w:customStyle="1" w:styleId="126">
    <w:name w:val="正文文本缩进 字符"/>
    <w:link w:val="15"/>
    <w:qFormat/>
    <w:locked/>
    <w:uiPriority w:val="99"/>
    <w:rPr>
      <w:rFonts w:ascii="仿宋_GB2312" w:hAnsi="Calibri" w:eastAsia="仿宋_GB2312"/>
      <w:sz w:val="30"/>
    </w:rPr>
  </w:style>
  <w:style w:type="character" w:customStyle="1" w:styleId="127">
    <w:name w:val="批注文字 字符"/>
    <w:basedOn w:val="36"/>
    <w:link w:val="13"/>
    <w:semiHidden/>
    <w:qFormat/>
    <w:locked/>
    <w:uiPriority w:val="99"/>
    <w:rPr>
      <w:rFonts w:ascii="仿宋_GB2312" w:hAnsi="宋体" w:eastAsia="仿宋_GB2312"/>
      <w:color w:val="000000"/>
      <w:kern w:val="16"/>
      <w:sz w:val="30"/>
    </w:rPr>
  </w:style>
  <w:style w:type="character" w:customStyle="1" w:styleId="128">
    <w:name w:val="批注主题 字符"/>
    <w:basedOn w:val="127"/>
    <w:link w:val="33"/>
    <w:semiHidden/>
    <w:qFormat/>
    <w:locked/>
    <w:uiPriority w:val="99"/>
    <w:rPr>
      <w:rFonts w:ascii="仿宋_GB2312" w:hAnsi="宋体" w:eastAsia="仿宋_GB2312"/>
      <w:b/>
      <w:color w:val="000000"/>
      <w:kern w:val="16"/>
      <w:sz w:val="30"/>
    </w:rPr>
  </w:style>
  <w:style w:type="paragraph" w:customStyle="1" w:styleId="129">
    <w:name w:val="默认段落字体 Para Char Char Char Char Char Char Char"/>
    <w:basedOn w:val="1"/>
    <w:qFormat/>
    <w:uiPriority w:val="99"/>
    <w:pPr>
      <w:widowControl w:val="0"/>
      <w:jc w:val="both"/>
    </w:pPr>
    <w:rPr>
      <w:rFonts w:ascii="Arial" w:hAnsi="Arial" w:cs="Arial"/>
      <w:kern w:val="2"/>
      <w:sz w:val="20"/>
      <w:szCs w:val="20"/>
    </w:rPr>
  </w:style>
  <w:style w:type="paragraph" w:customStyle="1" w:styleId="130">
    <w:name w:val="Char"/>
    <w:basedOn w:val="1"/>
    <w:qFormat/>
    <w:uiPriority w:val="99"/>
    <w:pPr>
      <w:widowControl w:val="0"/>
      <w:jc w:val="both"/>
    </w:pPr>
    <w:rPr>
      <w:rFonts w:ascii="仿宋_GB2312" w:eastAsia="仿宋_GB2312" w:cs="仿宋_GB2312"/>
      <w:color w:val="000000"/>
      <w:kern w:val="16"/>
      <w:sz w:val="30"/>
      <w:szCs w:val="30"/>
    </w:rPr>
  </w:style>
  <w:style w:type="paragraph" w:customStyle="1" w:styleId="131">
    <w:name w:val="样式5"/>
    <w:basedOn w:val="2"/>
    <w:qFormat/>
    <w:uiPriority w:val="99"/>
    <w:pPr>
      <w:widowControl/>
      <w:tabs>
        <w:tab w:val="left" w:pos="794"/>
        <w:tab w:val="left" w:pos="2127"/>
        <w:tab w:val="left" w:pos="2410"/>
        <w:tab w:val="left" w:pos="2921"/>
        <w:tab w:val="left" w:pos="3261"/>
      </w:tabs>
      <w:overflowPunct w:val="0"/>
      <w:autoSpaceDE w:val="0"/>
      <w:autoSpaceDN w:val="0"/>
      <w:adjustRightInd w:val="0"/>
      <w:spacing w:beforeLines="50" w:afterLines="50" w:line="240" w:lineRule="auto"/>
      <w:ind w:left="1276"/>
      <w:jc w:val="center"/>
      <w:textAlignment w:val="baseline"/>
    </w:pPr>
    <w:rPr>
      <w:rFonts w:ascii="黑体" w:eastAsia="黑体" w:cs="黑体"/>
      <w:b w:val="0"/>
      <w:kern w:val="0"/>
      <w:sz w:val="36"/>
      <w:szCs w:val="36"/>
      <w:lang w:val="en-GB"/>
    </w:rPr>
  </w:style>
  <w:style w:type="paragraph" w:customStyle="1" w:styleId="132">
    <w:name w:val="Char Char Char Char Char Char Char"/>
    <w:basedOn w:val="12"/>
    <w:qFormat/>
    <w:uiPriority w:val="99"/>
    <w:pPr>
      <w:shd w:val="clear" w:color="auto" w:fill="000080"/>
      <w:adjustRightInd w:val="0"/>
      <w:spacing w:line="360" w:lineRule="auto"/>
      <w:ind w:left="1276"/>
      <w:jc w:val="center"/>
      <w:outlineLvl w:val="3"/>
    </w:pPr>
    <w:rPr>
      <w:rFonts w:ascii="Tahoma" w:hAnsi="Tahoma" w:eastAsia="仿宋_GB2312" w:cs="Tahoma"/>
      <w:color w:val="000000"/>
      <w:kern w:val="16"/>
      <w:sz w:val="24"/>
      <w:szCs w:val="24"/>
    </w:rPr>
  </w:style>
  <w:style w:type="paragraph" w:customStyle="1" w:styleId="133">
    <w:name w:val="样式 标题 2一级条标题l22Heading 2 CharH2H3二级h22nd levelheading ...1"/>
    <w:basedOn w:val="3"/>
    <w:qFormat/>
    <w:uiPriority w:val="99"/>
    <w:pPr>
      <w:spacing w:beforeLines="50" w:afterLines="50"/>
      <w:ind w:left="1276"/>
    </w:pPr>
    <w:rPr>
      <w:rFonts w:ascii="黑体" w:hAnsi="Times New Roman" w:eastAsia="黑体" w:cs="黑体"/>
      <w:bCs w:val="0"/>
      <w:color w:val="000000"/>
      <w:kern w:val="16"/>
      <w:szCs w:val="30"/>
    </w:rPr>
  </w:style>
  <w:style w:type="paragraph" w:customStyle="1" w:styleId="134">
    <w:name w:val="tgt1"/>
    <w:basedOn w:val="1"/>
    <w:qFormat/>
    <w:uiPriority w:val="99"/>
    <w:pPr>
      <w:spacing w:after="150"/>
    </w:pPr>
  </w:style>
  <w:style w:type="paragraph" w:customStyle="1" w:styleId="135">
    <w:name w:val="样式 标题 3二级条标题h3第二层条第三层1.1.1 标题 3l3CT3h4Heading 3 - old...2"/>
    <w:basedOn w:val="1"/>
    <w:qFormat/>
    <w:uiPriority w:val="99"/>
    <w:pPr>
      <w:widowControl w:val="0"/>
      <w:ind w:left="1276"/>
      <w:jc w:val="both"/>
    </w:pPr>
    <w:rPr>
      <w:rFonts w:ascii="仿宋_GB2312" w:eastAsia="仿宋_GB2312" w:cs="仿宋_GB2312"/>
      <w:color w:val="000000"/>
      <w:kern w:val="16"/>
      <w:sz w:val="30"/>
      <w:szCs w:val="30"/>
    </w:rPr>
  </w:style>
  <w:style w:type="paragraph" w:customStyle="1" w:styleId="136">
    <w:name w:val="Char Char Char Char"/>
    <w:basedOn w:val="1"/>
    <w:qFormat/>
    <w:uiPriority w:val="99"/>
    <w:pPr>
      <w:widowControl w:val="0"/>
      <w:tabs>
        <w:tab w:val="left" w:pos="1415"/>
      </w:tabs>
      <w:ind w:left="1415" w:hanging="855"/>
      <w:jc w:val="both"/>
    </w:pPr>
    <w:rPr>
      <w:rFonts w:ascii="Times New Roman" w:hAnsi="Times New Roman" w:cs="Times New Roman"/>
      <w:kern w:val="2"/>
    </w:rPr>
  </w:style>
  <w:style w:type="paragraph" w:customStyle="1" w:styleId="137">
    <w:name w:val="修订1"/>
    <w:hidden/>
    <w:semiHidden/>
    <w:qFormat/>
    <w:uiPriority w:val="99"/>
    <w:rPr>
      <w:rFonts w:ascii="仿宋_GB2312" w:hAnsi="宋体" w:eastAsia="仿宋_GB2312" w:cs="仿宋_GB2312"/>
      <w:color w:val="000000"/>
      <w:kern w:val="16"/>
      <w:sz w:val="30"/>
      <w:szCs w:val="30"/>
      <w:lang w:val="en-US" w:eastAsia="zh-CN" w:bidi="ar-SA"/>
    </w:rPr>
  </w:style>
  <w:style w:type="paragraph" w:customStyle="1" w:styleId="138">
    <w:name w:val="样式1"/>
    <w:basedOn w:val="1"/>
    <w:link w:val="139"/>
    <w:qFormat/>
    <w:uiPriority w:val="99"/>
    <w:pPr>
      <w:jc w:val="both"/>
    </w:pPr>
    <w:rPr>
      <w:rFonts w:ascii="仿宋_GB2312" w:eastAsia="仿宋_GB2312" w:cs="Times New Roman"/>
      <w:kern w:val="16"/>
      <w:sz w:val="30"/>
      <w:szCs w:val="20"/>
    </w:rPr>
  </w:style>
  <w:style w:type="character" w:customStyle="1" w:styleId="139">
    <w:name w:val="样式1 Char"/>
    <w:link w:val="138"/>
    <w:qFormat/>
    <w:locked/>
    <w:uiPriority w:val="99"/>
    <w:rPr>
      <w:rFonts w:ascii="仿宋_GB2312" w:hAnsi="宋体" w:eastAsia="仿宋_GB2312"/>
      <w:kern w:val="16"/>
      <w:sz w:val="30"/>
    </w:rPr>
  </w:style>
  <w:style w:type="character" w:customStyle="1" w:styleId="140">
    <w:name w:val="HTML 预设格式 字符"/>
    <w:basedOn w:val="36"/>
    <w:link w:val="30"/>
    <w:semiHidden/>
    <w:qFormat/>
    <w:locked/>
    <w:uiPriority w:val="99"/>
    <w:rPr>
      <w:rFonts w:ascii="宋体" w:hAnsi="宋体" w:eastAsia="宋体"/>
      <w:sz w:val="24"/>
    </w:rPr>
  </w:style>
  <w:style w:type="paragraph" w:customStyle="1" w:styleId="141">
    <w:name w:val="TOC 标题1"/>
    <w:basedOn w:val="2"/>
    <w:next w:val="1"/>
    <w:qFormat/>
    <w:uiPriority w:val="99"/>
    <w:pPr>
      <w:widowControl/>
      <w:spacing w:before="480" w:after="0" w:line="276" w:lineRule="auto"/>
      <w:jc w:val="left"/>
      <w:outlineLvl w:val="9"/>
    </w:pPr>
    <w:rPr>
      <w:rFonts w:ascii="Cambria" w:hAnsi="Cambria" w:eastAsia="宋体" w:cs="Cambria"/>
      <w:bCs/>
      <w:color w:val="365F91"/>
      <w:kern w:val="0"/>
      <w:sz w:val="28"/>
      <w:szCs w:val="28"/>
    </w:rPr>
  </w:style>
  <w:style w:type="paragraph" w:customStyle="1" w:styleId="142">
    <w:name w:val="TOC 标题2"/>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kern w:val="0"/>
      <w:sz w:val="28"/>
      <w:szCs w:val="28"/>
    </w:rPr>
  </w:style>
  <w:style w:type="table" w:customStyle="1" w:styleId="143">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144">
    <w:name w:val="Table Paragraph"/>
    <w:basedOn w:val="1"/>
    <w:qFormat/>
    <w:uiPriority w:val="1"/>
    <w:pPr>
      <w:widowControl w:val="0"/>
    </w:pPr>
    <w:rPr>
      <w:rFonts w:asciiTheme="minorHAnsi" w:hAnsiTheme="minorHAnsi" w:eastAsiaTheme="minorEastAsia" w:cstheme="minorBidi"/>
      <w:sz w:val="22"/>
      <w:szCs w:val="22"/>
      <w:lang w:eastAsia="en-US"/>
    </w:rPr>
  </w:style>
  <w:style w:type="table" w:customStyle="1" w:styleId="145">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146">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147">
    <w:name w:val="Unresolved Mention"/>
    <w:basedOn w:val="36"/>
    <w:unhideWhenUsed/>
    <w:qFormat/>
    <w:uiPriority w:val="99"/>
    <w:rPr>
      <w:color w:val="605E5C"/>
      <w:shd w:val="clear" w:color="auto" w:fill="E1DFDD"/>
    </w:rPr>
  </w:style>
  <w:style w:type="paragraph" w:customStyle="1" w:styleId="148">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376092"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32B03F-0224-4634-9F40-628C0143AF6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1039</Words>
  <Characters>5926</Characters>
  <Lines>49</Lines>
  <Paragraphs>13</Paragraphs>
  <TotalTime>3</TotalTime>
  <ScaleCrop>false</ScaleCrop>
  <LinksUpToDate>false</LinksUpToDate>
  <CharactersWithSpaces>6952</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2020-03-18T11:37:00Z</dcterms:created>
  <dc:creator>K2450</dc:creator>
  <cp:lastModifiedBy>lx</cp:lastModifiedBy>
  <cp:lastPrinted>2018-03-01T03:24:00Z</cp:lastPrinted>
  <dcterms:modified xsi:type="dcterms:W3CDTF">2021-05-17T12:12:58Z</dcterms:modified>
  <dc:title>政府部门财务报告编制操作指南</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