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580" w:lineRule="exact"/>
        <w:ind w:firstLine="600"/>
        <w:jc w:val="center"/>
        <w:rPr>
          <w:rFonts w:hint="default" w:eastAsia="Times New Roman"/>
          <w:b/>
          <w:sz w:val="36"/>
        </w:rPr>
      </w:pPr>
      <w:bookmarkStart w:id="0" w:name="_GoBack"/>
      <w:bookmarkEnd w:id="0"/>
    </w:p>
    <w:p>
      <w:pPr>
        <w:spacing w:line="580" w:lineRule="exact"/>
        <w:ind w:firstLine="600"/>
        <w:jc w:val="center"/>
        <w:rPr>
          <w:rFonts w:hint="default" w:eastAsia="Times New Roman"/>
          <w:b/>
          <w:sz w:val="36"/>
        </w:rPr>
      </w:pPr>
    </w:p>
    <w:p>
      <w:pPr>
        <w:spacing w:line="580" w:lineRule="exact"/>
        <w:ind w:firstLine="600"/>
        <w:jc w:val="center"/>
        <w:rPr>
          <w:rFonts w:hint="default" w:eastAsia="Times New Roman"/>
          <w:b/>
          <w:sz w:val="36"/>
        </w:rPr>
      </w:pPr>
    </w:p>
    <w:p>
      <w:pPr>
        <w:spacing w:line="580" w:lineRule="exact"/>
        <w:ind w:firstLine="600"/>
        <w:jc w:val="center"/>
        <w:rPr>
          <w:rFonts w:hint="default" w:eastAsia="Times New Roman"/>
          <w:b/>
          <w:sz w:val="36"/>
        </w:rPr>
      </w:pPr>
    </w:p>
    <w:p>
      <w:pPr>
        <w:spacing w:line="580" w:lineRule="exact"/>
        <w:ind w:firstLine="600"/>
        <w:jc w:val="center"/>
        <w:rPr>
          <w:rFonts w:hint="default" w:eastAsia="Times New Roman"/>
          <w:b/>
          <w:sz w:val="36"/>
        </w:rPr>
      </w:pPr>
    </w:p>
    <w:p>
      <w:pPr>
        <w:spacing w:line="580" w:lineRule="exact"/>
        <w:ind w:firstLine="600"/>
        <w:jc w:val="center"/>
        <w:rPr>
          <w:rFonts w:hint="default" w:eastAsia="Times New Roman"/>
          <w:b/>
          <w:sz w:val="36"/>
        </w:rPr>
      </w:pPr>
    </w:p>
    <w:p>
      <w:pPr>
        <w:spacing w:line="580" w:lineRule="exact"/>
        <w:ind w:firstLine="600"/>
        <w:jc w:val="center"/>
        <w:rPr>
          <w:rFonts w:hint="default" w:eastAsia="Times New Roman"/>
          <w:b/>
          <w:sz w:val="36"/>
        </w:rPr>
      </w:pPr>
    </w:p>
    <w:p>
      <w:pPr>
        <w:spacing w:line="580" w:lineRule="exact"/>
        <w:ind w:firstLine="600"/>
        <w:jc w:val="center"/>
        <w:rPr>
          <w:rFonts w:hint="default" w:eastAsia="Times New Roman"/>
          <w:b/>
          <w:sz w:val="36"/>
        </w:rPr>
      </w:pPr>
    </w:p>
    <w:p>
      <w:pPr>
        <w:spacing w:line="580" w:lineRule="exact"/>
        <w:ind w:firstLine="600"/>
        <w:jc w:val="center"/>
        <w:rPr>
          <w:rFonts w:hint="default" w:eastAsia="Times New Roman"/>
          <w:b/>
          <w:sz w:val="36"/>
        </w:rPr>
      </w:pPr>
    </w:p>
    <w:p>
      <w:pPr>
        <w:ind w:firstLine="601"/>
        <w:jc w:val="center"/>
        <w:rPr>
          <w:rFonts w:hint="default" w:eastAsia="Times New Roman"/>
          <w:b/>
          <w:color w:val="auto"/>
          <w:sz w:val="44"/>
        </w:rPr>
      </w:pPr>
      <w:r>
        <w:rPr>
          <w:rFonts w:hint="eastAsia" w:ascii="仿宋_GB2312" w:hAnsi="仿宋_GB2312" w:eastAsia="仿宋_GB2312"/>
          <w:b/>
          <w:color w:val="auto"/>
          <w:sz w:val="44"/>
        </w:rPr>
        <w:t>内蒙古自治区呼伦贝尔市莫力达瓦达斡尔族自治旗库如奇乡人民政府</w:t>
      </w:r>
    </w:p>
    <w:p>
      <w:pPr>
        <w:ind w:firstLine="601"/>
        <w:jc w:val="center"/>
        <w:rPr>
          <w:rFonts w:hint="default" w:eastAsia="Times New Roman"/>
          <w:b/>
          <w:color w:val="auto"/>
          <w:sz w:val="44"/>
        </w:rPr>
      </w:pPr>
      <w:r>
        <w:rPr>
          <w:rFonts w:hint="eastAsia" w:ascii="仿宋_GB2312" w:hAnsi="仿宋_GB2312" w:eastAsia="仿宋_GB2312"/>
          <w:b/>
          <w:color w:val="auto"/>
          <w:sz w:val="44"/>
        </w:rPr>
        <w:t>2020年度决算公开报告</w:t>
      </w:r>
    </w:p>
    <w:p>
      <w:pPr>
        <w:spacing w:line="580" w:lineRule="exact"/>
        <w:ind w:firstLine="600"/>
        <w:jc w:val="center"/>
        <w:rPr>
          <w:rFonts w:hint="default" w:eastAsia="Times New Roman"/>
          <w:b/>
          <w:color w:val="auto"/>
          <w:sz w:val="36"/>
        </w:rPr>
      </w:pPr>
    </w:p>
    <w:p>
      <w:pPr>
        <w:spacing w:line="580" w:lineRule="exact"/>
        <w:ind w:firstLine="600"/>
        <w:jc w:val="center"/>
        <w:rPr>
          <w:rFonts w:hint="default" w:eastAsia="Times New Roman"/>
          <w:b/>
          <w:color w:val="auto"/>
          <w:sz w:val="36"/>
        </w:rPr>
      </w:pPr>
    </w:p>
    <w:p>
      <w:pPr>
        <w:spacing w:line="580" w:lineRule="exact"/>
        <w:ind w:firstLine="600"/>
        <w:jc w:val="center"/>
        <w:rPr>
          <w:rFonts w:hint="default" w:eastAsia="Times New Roman"/>
          <w:b/>
          <w:color w:val="auto"/>
          <w:sz w:val="36"/>
        </w:rPr>
      </w:pPr>
    </w:p>
    <w:p>
      <w:pPr>
        <w:spacing w:line="580" w:lineRule="exact"/>
        <w:ind w:firstLine="600"/>
        <w:jc w:val="center"/>
        <w:rPr>
          <w:rFonts w:hint="default" w:eastAsia="Times New Roman"/>
          <w:b/>
          <w:color w:val="auto"/>
          <w:sz w:val="36"/>
        </w:rPr>
      </w:pPr>
    </w:p>
    <w:p>
      <w:pPr>
        <w:spacing w:line="580" w:lineRule="exact"/>
        <w:ind w:firstLine="600"/>
        <w:jc w:val="center"/>
        <w:rPr>
          <w:rFonts w:hint="default" w:eastAsia="Times New Roman"/>
          <w:b/>
          <w:color w:val="auto"/>
          <w:sz w:val="36"/>
        </w:rPr>
      </w:pPr>
    </w:p>
    <w:p>
      <w:pPr>
        <w:spacing w:line="580" w:lineRule="exact"/>
        <w:ind w:firstLine="600"/>
        <w:jc w:val="center"/>
        <w:rPr>
          <w:rFonts w:hint="default" w:eastAsia="Times New Roman"/>
          <w:b/>
          <w:color w:val="auto"/>
          <w:sz w:val="36"/>
        </w:rPr>
      </w:pPr>
    </w:p>
    <w:p>
      <w:pPr>
        <w:spacing w:line="580" w:lineRule="exact"/>
        <w:ind w:firstLine="600"/>
        <w:jc w:val="center"/>
        <w:rPr>
          <w:rFonts w:hint="default" w:eastAsia="Times New Roman"/>
          <w:b/>
          <w:color w:val="auto"/>
          <w:sz w:val="36"/>
        </w:rPr>
      </w:pPr>
    </w:p>
    <w:p>
      <w:pPr>
        <w:spacing w:line="580" w:lineRule="exact"/>
        <w:ind w:firstLine="600"/>
        <w:jc w:val="center"/>
        <w:rPr>
          <w:rFonts w:hint="default" w:eastAsia="Times New Roman"/>
          <w:b/>
          <w:color w:val="auto"/>
          <w:sz w:val="36"/>
        </w:rPr>
      </w:pPr>
    </w:p>
    <w:p>
      <w:pPr>
        <w:spacing w:line="580" w:lineRule="exact"/>
        <w:ind w:firstLine="600"/>
        <w:jc w:val="center"/>
        <w:rPr>
          <w:rFonts w:hint="default" w:eastAsia="Times New Roman"/>
          <w:b/>
          <w:color w:val="auto"/>
          <w:sz w:val="36"/>
        </w:rPr>
      </w:pPr>
    </w:p>
    <w:p>
      <w:pPr>
        <w:spacing w:line="580" w:lineRule="exact"/>
        <w:ind w:firstLine="600"/>
        <w:jc w:val="center"/>
        <w:rPr>
          <w:rFonts w:hint="default" w:eastAsia="Times New Roman"/>
          <w:b/>
          <w:color w:val="auto"/>
          <w:sz w:val="36"/>
        </w:rPr>
      </w:pPr>
    </w:p>
    <w:p>
      <w:pPr>
        <w:spacing w:line="580" w:lineRule="exact"/>
        <w:ind w:firstLine="600"/>
        <w:jc w:val="center"/>
        <w:rPr>
          <w:rFonts w:hint="default" w:eastAsia="Times New Roman"/>
          <w:b/>
          <w:color w:val="auto"/>
          <w:sz w:val="36"/>
        </w:rPr>
      </w:pPr>
    </w:p>
    <w:p>
      <w:pPr>
        <w:spacing w:line="580" w:lineRule="exact"/>
        <w:ind w:firstLine="600"/>
        <w:jc w:val="center"/>
        <w:rPr>
          <w:rFonts w:hint="default" w:eastAsia="Times New Roman"/>
          <w:b/>
          <w:color w:val="auto"/>
          <w:sz w:val="36"/>
        </w:rPr>
      </w:pPr>
    </w:p>
    <w:p>
      <w:pPr>
        <w:ind w:firstLine="601"/>
        <w:jc w:val="left"/>
        <w:rPr>
          <w:rFonts w:hint="default" w:eastAsia="Times New Roman"/>
          <w:b/>
          <w:color w:val="auto"/>
          <w:sz w:val="44"/>
        </w:rPr>
      </w:pPr>
    </w:p>
    <w:p>
      <w:pPr>
        <w:ind w:firstLine="601"/>
        <w:jc w:val="center"/>
        <w:rPr>
          <w:rFonts w:hint="default" w:eastAsia="Times New Roman"/>
          <w:b/>
          <w:color w:val="auto"/>
          <w:sz w:val="44"/>
        </w:rPr>
      </w:pPr>
      <w:r>
        <w:rPr>
          <w:rFonts w:hint="eastAsia" w:ascii="仿宋_GB2312" w:hAnsi="仿宋_GB2312" w:eastAsia="仿宋_GB2312"/>
          <w:b/>
          <w:color w:val="auto"/>
          <w:sz w:val="44"/>
        </w:rPr>
        <w:t>目录</w:t>
      </w:r>
    </w:p>
    <w:p>
      <w:pPr>
        <w:ind w:firstLine="601"/>
        <w:jc w:val="left"/>
        <w:rPr>
          <w:rFonts w:hint="default" w:eastAsia="Times New Roman"/>
          <w:b/>
          <w:color w:val="auto"/>
          <w:sz w:val="44"/>
        </w:rPr>
      </w:pPr>
    </w:p>
    <w:p>
      <w:pPr>
        <w:spacing w:line="580" w:lineRule="exact"/>
        <w:ind w:firstLine="601"/>
        <w:jc w:val="left"/>
        <w:rPr>
          <w:rFonts w:hint="default" w:eastAsia="Times New Roman"/>
          <w:b/>
          <w:color w:val="auto"/>
          <w:sz w:val="32"/>
        </w:rPr>
      </w:pPr>
      <w:r>
        <w:rPr>
          <w:rFonts w:hint="eastAsia" w:ascii="黑体" w:hAnsi="黑体" w:eastAsia="黑体"/>
          <w:b/>
          <w:color w:val="auto"/>
          <w:sz w:val="32"/>
        </w:rPr>
        <w:t>第一部分 部门基本情况</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一、部门职责</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二、机构设置</w:t>
      </w:r>
    </w:p>
    <w:p>
      <w:pPr>
        <w:spacing w:line="580" w:lineRule="exact"/>
        <w:ind w:firstLine="601"/>
        <w:jc w:val="left"/>
        <w:rPr>
          <w:rFonts w:hint="default" w:eastAsia="Times New Roman"/>
          <w:b/>
          <w:color w:val="auto"/>
          <w:sz w:val="32"/>
        </w:rPr>
      </w:pPr>
      <w:r>
        <w:rPr>
          <w:rFonts w:hint="eastAsia" w:ascii="黑体" w:hAnsi="黑体" w:eastAsia="黑体"/>
          <w:b/>
          <w:color w:val="auto"/>
          <w:sz w:val="32"/>
        </w:rPr>
        <w:t>第二部分 2020年度部门决算情况说明</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一、关于2020年度预算执行情况分析</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二、关于2020年度决算情况说明</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（一）关于收支情况总体说明</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（二）关于2020年度收入决算情况说明</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（三）关于2020年度支出决算情况说明</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（四）关于2020年度财政拨款收入支出决算总体情况说明</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（五）关于2020年度一般公共预算财政拨款支出决算情况说明</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（六）关于2020年度一般公共预算财政拨款基本支出决算情况说明</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（七）关于2020年度财政拨款</w:t>
      </w:r>
      <w:r>
        <w:rPr>
          <w:rFonts w:hint="default" w:eastAsia="Times New Roman"/>
          <w:color w:val="auto"/>
          <w:sz w:val="32"/>
        </w:rPr>
        <w:t>“</w:t>
      </w:r>
      <w:r>
        <w:rPr>
          <w:rFonts w:hint="eastAsia" w:ascii="仿宋_GB2312" w:hAnsi="仿宋_GB2312" w:eastAsia="仿宋_GB2312"/>
          <w:color w:val="auto"/>
          <w:sz w:val="32"/>
        </w:rPr>
        <w:t>三公</w:t>
      </w:r>
      <w:r>
        <w:rPr>
          <w:rFonts w:hint="default" w:eastAsia="Times New Roman"/>
          <w:color w:val="auto"/>
          <w:sz w:val="32"/>
        </w:rPr>
        <w:t>”</w:t>
      </w:r>
      <w:r>
        <w:rPr>
          <w:rFonts w:hint="eastAsia" w:ascii="仿宋_GB2312" w:hAnsi="仿宋_GB2312" w:eastAsia="仿宋_GB2312"/>
          <w:color w:val="auto"/>
          <w:sz w:val="32"/>
        </w:rPr>
        <w:t>经费支出决算情况说明</w:t>
      </w:r>
    </w:p>
    <w:p>
      <w:pPr>
        <w:spacing w:line="580" w:lineRule="exact"/>
        <w:ind w:firstLine="601"/>
        <w:jc w:val="left"/>
        <w:rPr>
          <w:rFonts w:hint="default" w:eastAsia="Times New Roman"/>
          <w:color w:val="auto"/>
          <w:sz w:val="32"/>
        </w:rPr>
      </w:pPr>
      <w:r>
        <w:rPr>
          <w:rFonts w:hint="default" w:eastAsia="Times New Roman"/>
          <w:color w:val="auto"/>
          <w:sz w:val="32"/>
        </w:rPr>
        <w:tab/>
      </w:r>
      <w:r>
        <w:rPr>
          <w:rFonts w:hint="eastAsia" w:ascii="仿宋_GB2312" w:hAnsi="仿宋_GB2312" w:eastAsia="仿宋_GB2312"/>
          <w:color w:val="auto"/>
          <w:sz w:val="32"/>
        </w:rPr>
        <w:t>1、财政拨款</w:t>
      </w:r>
      <w:r>
        <w:rPr>
          <w:rFonts w:hint="default" w:eastAsia="Times New Roman"/>
          <w:color w:val="auto"/>
          <w:sz w:val="32"/>
        </w:rPr>
        <w:t>“</w:t>
      </w:r>
      <w:r>
        <w:rPr>
          <w:rFonts w:hint="eastAsia" w:ascii="仿宋_GB2312" w:hAnsi="仿宋_GB2312" w:eastAsia="仿宋_GB2312"/>
          <w:color w:val="auto"/>
          <w:sz w:val="32"/>
        </w:rPr>
        <w:t>三公</w:t>
      </w:r>
      <w:r>
        <w:rPr>
          <w:rFonts w:hint="default" w:eastAsia="Times New Roman"/>
          <w:color w:val="auto"/>
          <w:sz w:val="32"/>
        </w:rPr>
        <w:t>”</w:t>
      </w:r>
      <w:r>
        <w:rPr>
          <w:rFonts w:hint="eastAsia" w:ascii="仿宋_GB2312" w:hAnsi="仿宋_GB2312" w:eastAsia="仿宋_GB2312"/>
          <w:color w:val="auto"/>
          <w:sz w:val="32"/>
        </w:rPr>
        <w:t>经费支出决算总体情况说明</w:t>
      </w:r>
    </w:p>
    <w:p>
      <w:pPr>
        <w:spacing w:line="580" w:lineRule="exact"/>
        <w:ind w:firstLine="601"/>
        <w:jc w:val="left"/>
        <w:rPr>
          <w:rFonts w:hint="default" w:eastAsia="Times New Roman"/>
          <w:color w:val="auto"/>
          <w:sz w:val="32"/>
        </w:rPr>
      </w:pPr>
      <w:r>
        <w:rPr>
          <w:rFonts w:hint="default" w:eastAsia="Times New Roman"/>
          <w:color w:val="auto"/>
          <w:sz w:val="32"/>
        </w:rPr>
        <w:tab/>
      </w:r>
      <w:r>
        <w:rPr>
          <w:rFonts w:hint="eastAsia" w:ascii="仿宋_GB2312" w:hAnsi="仿宋_GB2312" w:eastAsia="仿宋_GB2312"/>
          <w:color w:val="auto"/>
          <w:sz w:val="32"/>
        </w:rPr>
        <w:t>2、财政拨款</w:t>
      </w:r>
      <w:r>
        <w:rPr>
          <w:rFonts w:hint="default" w:eastAsia="Times New Roman"/>
          <w:color w:val="auto"/>
          <w:sz w:val="32"/>
        </w:rPr>
        <w:t>“</w:t>
      </w:r>
      <w:r>
        <w:rPr>
          <w:rFonts w:hint="eastAsia" w:ascii="仿宋_GB2312" w:hAnsi="仿宋_GB2312" w:eastAsia="仿宋_GB2312"/>
          <w:color w:val="auto"/>
          <w:sz w:val="32"/>
        </w:rPr>
        <w:t>三公</w:t>
      </w:r>
      <w:r>
        <w:rPr>
          <w:rFonts w:hint="default" w:eastAsia="Times New Roman"/>
          <w:color w:val="auto"/>
          <w:sz w:val="32"/>
        </w:rPr>
        <w:t>”</w:t>
      </w:r>
      <w:r>
        <w:rPr>
          <w:rFonts w:hint="eastAsia" w:ascii="仿宋_GB2312" w:hAnsi="仿宋_GB2312" w:eastAsia="仿宋_GB2312"/>
          <w:color w:val="auto"/>
          <w:sz w:val="32"/>
        </w:rPr>
        <w:t>经费支出决算具体情况说明</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三、预算绩效情况说明</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（一）预算绩效管理工作开展情况</w:t>
      </w:r>
    </w:p>
    <w:p>
      <w:pPr>
        <w:spacing w:line="580" w:lineRule="exact"/>
        <w:ind w:firstLine="600"/>
        <w:rPr>
          <w:rFonts w:hint="eastAsia" w:ascii="仿宋_GB2312" w:hAnsi="仿宋_GB2312" w:eastAsia="仿宋_GB2312"/>
          <w:color w:val="auto"/>
          <w:sz w:val="32"/>
        </w:rPr>
      </w:pPr>
      <w:r>
        <w:rPr>
          <w:rFonts w:hint="eastAsia" w:ascii="仿宋_GB2312" w:hAnsi="仿宋_GB2312" w:eastAsia="仿宋_GB2312"/>
          <w:color w:val="auto"/>
          <w:sz w:val="32"/>
        </w:rPr>
        <w:t>（二）部门决算中项目绩效自评结果</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（三）部门评价项目绩效评价结果</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四、其他重要事项的情况说明</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（一）机关运行经费支出情况</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（二）政府采购支出情况</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（三）国有资产占用情况</w:t>
      </w:r>
    </w:p>
    <w:p>
      <w:pPr>
        <w:spacing w:line="580" w:lineRule="exact"/>
        <w:ind w:firstLine="601"/>
        <w:jc w:val="left"/>
        <w:rPr>
          <w:rFonts w:hint="default" w:eastAsia="Times New Roman"/>
          <w:color w:val="auto"/>
          <w:sz w:val="32"/>
        </w:rPr>
      </w:pPr>
    </w:p>
    <w:p>
      <w:pPr>
        <w:spacing w:line="580" w:lineRule="exact"/>
        <w:ind w:firstLine="601"/>
        <w:jc w:val="left"/>
        <w:rPr>
          <w:rFonts w:hint="default" w:eastAsia="Times New Roman"/>
          <w:b/>
          <w:color w:val="auto"/>
          <w:sz w:val="32"/>
        </w:rPr>
      </w:pPr>
      <w:r>
        <w:rPr>
          <w:rFonts w:hint="eastAsia" w:ascii="黑体" w:hAnsi="黑体" w:eastAsia="黑体"/>
          <w:b/>
          <w:color w:val="auto"/>
          <w:sz w:val="32"/>
        </w:rPr>
        <w:t>第三部分 名词解释</w:t>
      </w:r>
    </w:p>
    <w:p>
      <w:pPr>
        <w:spacing w:line="580" w:lineRule="exact"/>
        <w:ind w:firstLine="601"/>
        <w:jc w:val="left"/>
        <w:rPr>
          <w:rFonts w:hint="default" w:eastAsia="Times New Roman"/>
          <w:b/>
          <w:color w:val="auto"/>
          <w:sz w:val="32"/>
        </w:rPr>
      </w:pPr>
      <w:r>
        <w:rPr>
          <w:rFonts w:hint="eastAsia" w:ascii="黑体" w:hAnsi="黑体" w:eastAsia="黑体"/>
          <w:b/>
          <w:color w:val="auto"/>
          <w:sz w:val="32"/>
        </w:rPr>
        <w:t>第四部分 决算公开联系方式及信息反馈渠道</w:t>
      </w:r>
    </w:p>
    <w:p>
      <w:pPr>
        <w:spacing w:line="580" w:lineRule="exact"/>
        <w:ind w:firstLine="601"/>
        <w:jc w:val="left"/>
        <w:rPr>
          <w:rFonts w:hint="default" w:eastAsia="Times New Roman"/>
          <w:b/>
          <w:color w:val="auto"/>
          <w:sz w:val="32"/>
        </w:rPr>
      </w:pPr>
      <w:r>
        <w:rPr>
          <w:rFonts w:hint="eastAsia" w:ascii="黑体" w:hAnsi="黑体" w:eastAsia="黑体"/>
          <w:b/>
          <w:color w:val="auto"/>
          <w:sz w:val="32"/>
        </w:rPr>
        <w:t>第五部分 部门决算公开表</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一、收入支出决算总表</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二、收入决算表</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三、支出决算表</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四、财政拨款收入支出决算总表</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五、一般公共预算财政拨款支出决算表</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六、一般公共预算财政拨款基本支出决算明细表</w:t>
      </w:r>
    </w:p>
    <w:p>
      <w:pPr>
        <w:spacing w:line="580" w:lineRule="exact"/>
        <w:ind w:firstLine="601"/>
        <w:jc w:val="left"/>
        <w:rPr>
          <w:rFonts w:hint="eastAsia" w:ascii="仿宋_GB2312" w:hAnsi="仿宋_GB2312" w:eastAsia="仿宋_GB2312"/>
          <w:color w:val="auto"/>
          <w:sz w:val="32"/>
        </w:rPr>
      </w:pPr>
      <w:r>
        <w:rPr>
          <w:rFonts w:hint="eastAsia" w:ascii="仿宋_GB2312" w:hAnsi="仿宋_GB2312" w:eastAsia="仿宋_GB2312"/>
          <w:color w:val="auto"/>
          <w:sz w:val="32"/>
        </w:rPr>
        <w:t>七、政府性基金预算财政拨款收入支出决算表</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八、国有资本经营预算财政拨款收入支出决算表</w:t>
      </w:r>
    </w:p>
    <w:p>
      <w:pPr>
        <w:spacing w:line="580" w:lineRule="exact"/>
        <w:ind w:firstLine="601"/>
        <w:jc w:val="left"/>
        <w:rPr>
          <w:rFonts w:hint="default" w:eastAsia="Times New Roman"/>
          <w:color w:val="auto"/>
          <w:sz w:val="32"/>
        </w:rPr>
      </w:pPr>
      <w:r>
        <w:rPr>
          <w:rFonts w:hint="eastAsia" w:ascii="仿宋_GB2312" w:hAnsi="仿宋_GB2312" w:eastAsia="仿宋_GB2312"/>
          <w:color w:val="auto"/>
          <w:sz w:val="32"/>
        </w:rPr>
        <w:t>九、机构运行信息表</w:t>
      </w:r>
    </w:p>
    <w:p>
      <w:pPr>
        <w:spacing w:line="580" w:lineRule="exact"/>
        <w:ind w:firstLine="643" w:firstLineChars="200"/>
        <w:rPr>
          <w:rFonts w:hint="default" w:eastAsia="Times New Roman"/>
          <w:color w:val="auto"/>
          <w:sz w:val="32"/>
        </w:rPr>
      </w:pPr>
      <w:r>
        <w:rPr>
          <w:rFonts w:hint="eastAsia" w:ascii="仿宋_GB2312" w:hAnsi="仿宋_GB2312" w:eastAsia="仿宋_GB2312"/>
          <w:b/>
          <w:color w:val="auto"/>
          <w:sz w:val="32"/>
        </w:rPr>
        <w:t>第一部分 部门基本情况</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一、部门职责</w:t>
      </w:r>
    </w:p>
    <w:p>
      <w:pPr>
        <w:snapToGrid w:val="0"/>
        <w:spacing w:line="500" w:lineRule="exact"/>
        <w:ind w:firstLine="640"/>
        <w:rPr>
          <w:rFonts w:hint="eastAsia" w:eastAsia="仿宋_GB2312"/>
          <w:sz w:val="32"/>
        </w:rPr>
      </w:pPr>
      <w:r>
        <w:rPr>
          <w:rFonts w:hint="eastAsia" w:eastAsia="仿宋_GB2312"/>
          <w:sz w:val="32"/>
        </w:rPr>
        <w:t>根据（旗编办“三定”方案文件）写明单位主要职责和工作职能。</w:t>
      </w:r>
    </w:p>
    <w:p>
      <w:pPr>
        <w:snapToGrid w:val="0"/>
        <w:spacing w:line="500" w:lineRule="exact"/>
        <w:ind w:firstLine="640"/>
        <w:rPr>
          <w:rFonts w:hint="eastAsia" w:eastAsia="仿宋_GB2312"/>
          <w:sz w:val="32"/>
        </w:rPr>
      </w:pPr>
      <w:r>
        <w:rPr>
          <w:rFonts w:hint="eastAsia" w:eastAsia="仿宋_GB2312"/>
          <w:sz w:val="32"/>
          <w:lang w:val="en-US" w:eastAsia="zh-CN"/>
        </w:rPr>
        <w:t>库如奇乡</w:t>
      </w:r>
      <w:r>
        <w:rPr>
          <w:rFonts w:hint="eastAsia" w:eastAsia="仿宋_GB2312"/>
          <w:sz w:val="32"/>
        </w:rPr>
        <w:t>人民政府部门主要职责和工作职能如下：</w:t>
      </w:r>
    </w:p>
    <w:p>
      <w:pPr>
        <w:snapToGrid w:val="0"/>
        <w:spacing w:line="500" w:lineRule="exact"/>
        <w:ind w:firstLine="640"/>
        <w:rPr>
          <w:rFonts w:hint="eastAsia" w:eastAsia="仿宋_GB2312"/>
          <w:sz w:val="32"/>
        </w:rPr>
      </w:pPr>
      <w:r>
        <w:rPr>
          <w:rFonts w:hint="eastAsia" w:eastAsia="仿宋_GB2312"/>
          <w:sz w:val="32"/>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snapToGrid w:val="0"/>
        <w:spacing w:line="500" w:lineRule="exact"/>
        <w:ind w:firstLine="640"/>
        <w:rPr>
          <w:rFonts w:hint="eastAsia" w:eastAsia="仿宋_GB2312"/>
          <w:sz w:val="32"/>
        </w:rPr>
      </w:pPr>
      <w:r>
        <w:rPr>
          <w:rFonts w:hint="eastAsia" w:eastAsia="仿宋_GB2312"/>
          <w:sz w:val="32"/>
        </w:rPr>
        <w:t>(1)执行本级人民代表大会的决议和上级国家行政机关的决定和命令，发布决定和命令；</w:t>
      </w:r>
    </w:p>
    <w:p>
      <w:pPr>
        <w:snapToGrid w:val="0"/>
        <w:spacing w:line="500" w:lineRule="exact"/>
        <w:ind w:firstLine="640"/>
        <w:rPr>
          <w:rFonts w:hint="eastAsia" w:eastAsia="仿宋_GB2312"/>
          <w:sz w:val="32"/>
        </w:rPr>
      </w:pPr>
      <w:r>
        <w:rPr>
          <w:rFonts w:hint="eastAsia" w:eastAsia="仿宋_GB2312"/>
          <w:sz w:val="32"/>
        </w:rPr>
        <w:t xml:space="preserve">(2)执行本行政区域内的经济和社会发展计划、预算，管理本行政区域内的经济、教育、科学、文化、卫生、体育事业和财政、民政、公安、司法行政、计划生育等行政工作； </w:t>
      </w:r>
    </w:p>
    <w:p>
      <w:pPr>
        <w:snapToGrid w:val="0"/>
        <w:spacing w:line="500" w:lineRule="exact"/>
        <w:ind w:firstLine="640"/>
        <w:rPr>
          <w:rFonts w:hint="eastAsia" w:eastAsia="仿宋_GB2312"/>
          <w:sz w:val="32"/>
        </w:rPr>
      </w:pPr>
      <w:r>
        <w:rPr>
          <w:rFonts w:hint="eastAsia" w:eastAsia="仿宋_GB2312"/>
          <w:sz w:val="32"/>
        </w:rPr>
        <w:t>(3)保护社会主义的全民所有的财产和劳动群众集体所有的财产，保护公民私人所有的合法财产，维护社会秩序，保障公民的人身权利、民主权利和其他权利；</w:t>
      </w:r>
    </w:p>
    <w:p>
      <w:pPr>
        <w:snapToGrid w:val="0"/>
        <w:spacing w:line="500" w:lineRule="exact"/>
        <w:ind w:firstLine="640"/>
        <w:rPr>
          <w:rFonts w:hint="eastAsia" w:eastAsia="仿宋_GB2312"/>
          <w:sz w:val="32"/>
        </w:rPr>
      </w:pPr>
      <w:r>
        <w:rPr>
          <w:rFonts w:hint="eastAsia" w:eastAsia="仿宋_GB2312"/>
          <w:sz w:val="32"/>
        </w:rPr>
        <w:t xml:space="preserve">(4)保护各种经济组织的合法权益； </w:t>
      </w:r>
    </w:p>
    <w:p>
      <w:pPr>
        <w:snapToGrid w:val="0"/>
        <w:spacing w:line="500" w:lineRule="exact"/>
        <w:ind w:firstLine="640"/>
        <w:rPr>
          <w:rFonts w:hint="eastAsia" w:eastAsia="仿宋_GB2312"/>
          <w:sz w:val="32"/>
        </w:rPr>
      </w:pPr>
      <w:r>
        <w:rPr>
          <w:rFonts w:hint="eastAsia" w:eastAsia="仿宋_GB2312"/>
          <w:sz w:val="32"/>
        </w:rPr>
        <w:t>(5)保障少数民族的权利和尊重少数民族的风俗习惯；</w:t>
      </w:r>
    </w:p>
    <w:p>
      <w:pPr>
        <w:snapToGrid w:val="0"/>
        <w:spacing w:line="500" w:lineRule="exact"/>
        <w:ind w:firstLine="640"/>
        <w:rPr>
          <w:rFonts w:hint="eastAsia" w:eastAsia="仿宋_GB2312"/>
          <w:sz w:val="32"/>
        </w:rPr>
      </w:pPr>
      <w:r>
        <w:rPr>
          <w:rFonts w:hint="eastAsia" w:eastAsia="仿宋_GB2312"/>
          <w:sz w:val="32"/>
        </w:rPr>
        <w:t>(6)办理上级人民政府交办的其他事项。</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二、机构设置</w:t>
      </w:r>
    </w:p>
    <w:p>
      <w:pPr>
        <w:snapToGrid w:val="0"/>
        <w:spacing w:line="500" w:lineRule="exact"/>
        <w:ind w:firstLine="640"/>
        <w:rPr>
          <w:rFonts w:hint="eastAsia" w:eastAsia="仿宋_GB2312"/>
          <w:sz w:val="32"/>
        </w:rPr>
      </w:pPr>
      <w:r>
        <w:rPr>
          <w:rFonts w:hint="eastAsia" w:eastAsia="仿宋_GB2312"/>
          <w:sz w:val="32"/>
        </w:rPr>
        <w:t>从单位构成看</w:t>
      </w:r>
      <w:r>
        <w:rPr>
          <w:rFonts w:hint="eastAsia" w:eastAsia="仿宋_GB2312"/>
          <w:sz w:val="32"/>
          <w:lang w:eastAsia="zh-CN"/>
        </w:rPr>
        <w:t>，</w:t>
      </w:r>
      <w:r>
        <w:rPr>
          <w:rFonts w:hint="eastAsia" w:eastAsia="仿宋_GB2312"/>
          <w:sz w:val="32"/>
        </w:rPr>
        <w:t>202</w:t>
      </w:r>
      <w:r>
        <w:rPr>
          <w:rFonts w:hint="eastAsia" w:eastAsia="仿宋_GB2312"/>
          <w:sz w:val="32"/>
          <w:lang w:val="en-US" w:eastAsia="zh-CN"/>
        </w:rPr>
        <w:t>0</w:t>
      </w:r>
      <w:r>
        <w:rPr>
          <w:rFonts w:hint="eastAsia" w:eastAsia="仿宋_GB2312"/>
          <w:sz w:val="32"/>
        </w:rPr>
        <w:t>年莫力达瓦达斡尔族自治旗</w:t>
      </w:r>
      <w:r>
        <w:rPr>
          <w:rFonts w:hint="eastAsia" w:eastAsia="仿宋_GB2312"/>
          <w:sz w:val="32"/>
          <w:lang w:val="en-US" w:eastAsia="zh-CN"/>
        </w:rPr>
        <w:t>库如奇乡</w:t>
      </w:r>
      <w:r>
        <w:rPr>
          <w:rFonts w:hint="eastAsia" w:eastAsia="仿宋_GB2312"/>
          <w:sz w:val="32"/>
        </w:rPr>
        <w:t>人民政府部门预算公开包括莫力达瓦达斡尔族自治旗</w:t>
      </w:r>
      <w:r>
        <w:rPr>
          <w:rFonts w:hint="eastAsia" w:eastAsia="仿宋_GB2312"/>
          <w:sz w:val="32"/>
          <w:lang w:val="en-US" w:eastAsia="zh-CN"/>
        </w:rPr>
        <w:t>库如奇乡</w:t>
      </w:r>
      <w:r>
        <w:rPr>
          <w:rFonts w:hint="eastAsia" w:eastAsia="仿宋_GB2312"/>
          <w:sz w:val="32"/>
        </w:rPr>
        <w:t>人民政府和所属的</w:t>
      </w:r>
      <w:r>
        <w:rPr>
          <w:rFonts w:hint="eastAsia" w:eastAsia="仿宋_GB2312"/>
          <w:sz w:val="32"/>
          <w:lang w:val="en-US" w:eastAsia="zh-CN"/>
        </w:rPr>
        <w:t>3个单位</w:t>
      </w:r>
      <w:r>
        <w:rPr>
          <w:rFonts w:hint="eastAsia" w:eastAsia="仿宋_GB2312"/>
          <w:sz w:val="32"/>
        </w:rPr>
        <w:t>，所属单位分别是：</w:t>
      </w:r>
      <w:r>
        <w:rPr>
          <w:rFonts w:hint="eastAsia" w:eastAsia="仿宋_GB2312"/>
          <w:sz w:val="32"/>
          <w:lang w:val="en-US" w:eastAsia="zh-CN"/>
        </w:rPr>
        <w:t>库如奇乡党群服务中心、库如奇乡综合保障和技术推广中心、库如奇乡</w:t>
      </w:r>
      <w:r>
        <w:rPr>
          <w:rFonts w:hint="eastAsia" w:eastAsia="仿宋_GB2312"/>
          <w:sz w:val="32"/>
        </w:rPr>
        <w:t>综合</w:t>
      </w:r>
      <w:r>
        <w:rPr>
          <w:rFonts w:hint="eastAsia" w:eastAsia="仿宋_GB2312"/>
          <w:sz w:val="32"/>
          <w:lang w:val="en-US" w:eastAsia="zh-CN"/>
        </w:rPr>
        <w:t>行政</w:t>
      </w:r>
      <w:r>
        <w:rPr>
          <w:rFonts w:hint="eastAsia" w:eastAsia="仿宋_GB2312"/>
          <w:sz w:val="32"/>
        </w:rPr>
        <w:t>执法局。</w:t>
      </w:r>
    </w:p>
    <w:tbl>
      <w:tblPr>
        <w:tblStyle w:val="2"/>
        <w:tblW w:w="0" w:type="auto"/>
        <w:tblInd w:w="6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600" w:type="dxa"/>
            <w:tcBorders>
              <w:top w:val="single" w:color="auto" w:sz="4" w:space="0"/>
              <w:left w:val="single" w:color="auto" w:sz="4" w:space="0"/>
              <w:bottom w:val="single" w:color="auto" w:sz="4" w:space="0"/>
              <w:right w:val="single" w:color="auto" w:sz="4" w:space="0"/>
              <w:tl2br w:val="nil"/>
              <w:tr2bl w:val="nil"/>
            </w:tcBorders>
            <w:noWrap w:val="0"/>
            <w:vAlign w:val="top"/>
          </w:tcPr>
          <w:p>
            <w:pPr>
              <w:widowControl w:val="0"/>
              <w:autoSpaceDE w:val="0"/>
              <w:autoSpaceDN w:val="0"/>
              <w:spacing w:line="580" w:lineRule="exact"/>
              <w:jc w:val="center"/>
              <w:rPr>
                <w:rFonts w:hint="eastAsia"/>
                <w:b/>
                <w:color w:val="auto"/>
                <w:sz w:val="32"/>
                <w:lang w:val="en-US" w:eastAsia="zh-CN"/>
              </w:rPr>
            </w:pPr>
            <w:r>
              <w:rPr>
                <w:rFonts w:hint="eastAsia" w:ascii="仿宋_GB2312" w:hAnsi="仿宋_GB2312" w:eastAsia="仿宋_GB2312"/>
                <w:b/>
                <w:color w:val="auto"/>
                <w:sz w:val="32"/>
              </w:rPr>
              <w:t>本部门部门决算编报单位</w:t>
            </w:r>
            <w:r>
              <w:rPr>
                <w:rFonts w:hint="eastAsia" w:ascii="仿宋_GB2312" w:hAnsi="仿宋_GB2312" w:eastAsia="仿宋_GB2312"/>
                <w:b/>
                <w:color w:val="auto"/>
                <w:sz w:val="32"/>
                <w:lang w:val="en-US" w:eastAsia="zh-CN"/>
              </w:rPr>
              <w:t>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600" w:type="dxa"/>
            <w:tcBorders>
              <w:top w:val="single" w:color="auto" w:sz="4" w:space="0"/>
              <w:left w:val="single" w:color="auto" w:sz="4" w:space="0"/>
              <w:bottom w:val="single" w:color="auto" w:sz="4" w:space="0"/>
              <w:right w:val="single" w:color="auto" w:sz="4" w:space="0"/>
              <w:tl2br w:val="nil"/>
              <w:tr2bl w:val="nil"/>
            </w:tcBorders>
            <w:noWrap w:val="0"/>
            <w:vAlign w:val="top"/>
          </w:tcPr>
          <w:p>
            <w:pPr>
              <w:widowControl w:val="0"/>
              <w:autoSpaceDE w:val="0"/>
              <w:autoSpaceDN w:val="0"/>
              <w:spacing w:line="580" w:lineRule="exact"/>
              <w:rPr>
                <w:rFonts w:hint="eastAsia"/>
                <w:color w:val="auto"/>
                <w:sz w:val="21"/>
                <w:lang w:val="en-US" w:eastAsia="zh-CN"/>
              </w:rPr>
            </w:pPr>
            <w:r>
              <w:rPr>
                <w:rFonts w:hint="eastAsia"/>
                <w:color w:val="auto"/>
                <w:sz w:val="21"/>
                <w:lang w:val="en-US" w:eastAsia="zh-CN"/>
              </w:rPr>
              <w:t>莫力达瓦达斡尔族自治旗库如奇乡人民政府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600" w:type="dxa"/>
            <w:tcBorders>
              <w:top w:val="single" w:color="auto" w:sz="4" w:space="0"/>
              <w:left w:val="single" w:color="auto" w:sz="4" w:space="0"/>
              <w:bottom w:val="single" w:color="auto" w:sz="4" w:space="0"/>
              <w:right w:val="single" w:color="auto" w:sz="4" w:space="0"/>
              <w:tl2br w:val="nil"/>
              <w:tr2bl w:val="nil"/>
            </w:tcBorders>
            <w:noWrap w:val="0"/>
            <w:vAlign w:val="top"/>
          </w:tcPr>
          <w:p>
            <w:pPr>
              <w:widowControl w:val="0"/>
              <w:autoSpaceDE w:val="0"/>
              <w:autoSpaceDN w:val="0"/>
              <w:spacing w:line="580" w:lineRule="exact"/>
              <w:rPr>
                <w:rFonts w:hint="default"/>
                <w:color w:val="auto"/>
                <w:sz w:val="21"/>
                <w:lang w:val="en-US" w:eastAsia="zh-CN"/>
              </w:rPr>
            </w:pPr>
            <w:r>
              <w:rPr>
                <w:rFonts w:hint="eastAsia"/>
                <w:color w:val="auto"/>
                <w:sz w:val="21"/>
                <w:lang w:val="en-US" w:eastAsia="zh-CN"/>
              </w:rPr>
              <w:t>莫力达瓦达斡尔族自治旗库如奇乡党群服务中心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600" w:type="dxa"/>
            <w:tcBorders>
              <w:top w:val="single" w:color="auto" w:sz="4" w:space="0"/>
              <w:left w:val="single" w:color="auto" w:sz="4" w:space="0"/>
              <w:bottom w:val="single" w:color="auto" w:sz="4" w:space="0"/>
              <w:right w:val="single" w:color="auto" w:sz="4" w:space="0"/>
              <w:tl2br w:val="nil"/>
              <w:tr2bl w:val="nil"/>
            </w:tcBorders>
            <w:noWrap w:val="0"/>
            <w:vAlign w:val="top"/>
          </w:tcPr>
          <w:p>
            <w:pPr>
              <w:widowControl w:val="0"/>
              <w:autoSpaceDE w:val="0"/>
              <w:autoSpaceDN w:val="0"/>
              <w:spacing w:line="580" w:lineRule="exact"/>
              <w:rPr>
                <w:rFonts w:hint="default"/>
                <w:color w:val="auto"/>
                <w:sz w:val="21"/>
                <w:lang w:val="en-US" w:eastAsia="zh-CN"/>
              </w:rPr>
            </w:pPr>
            <w:r>
              <w:rPr>
                <w:rFonts w:hint="eastAsia"/>
                <w:color w:val="auto"/>
                <w:sz w:val="21"/>
                <w:lang w:val="en-US" w:eastAsia="zh-CN"/>
              </w:rPr>
              <w:t>莫力达瓦达斡尔族自治旗库如奇乡综合保障和技术推广中心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600" w:type="dxa"/>
            <w:tcBorders>
              <w:top w:val="single" w:color="auto" w:sz="4" w:space="0"/>
              <w:left w:val="single" w:color="auto" w:sz="4" w:space="0"/>
              <w:bottom w:val="single" w:color="auto" w:sz="4" w:space="0"/>
              <w:right w:val="single" w:color="auto" w:sz="4" w:space="0"/>
              <w:tl2br w:val="nil"/>
              <w:tr2bl w:val="nil"/>
            </w:tcBorders>
            <w:noWrap w:val="0"/>
            <w:vAlign w:val="top"/>
          </w:tcPr>
          <w:p>
            <w:pPr>
              <w:widowControl w:val="0"/>
              <w:autoSpaceDE w:val="0"/>
              <w:autoSpaceDN w:val="0"/>
              <w:spacing w:line="580" w:lineRule="exact"/>
              <w:rPr>
                <w:rFonts w:hint="default"/>
                <w:color w:val="auto"/>
                <w:sz w:val="21"/>
                <w:lang w:val="en-US" w:eastAsia="zh-CN"/>
              </w:rPr>
            </w:pPr>
            <w:r>
              <w:rPr>
                <w:rFonts w:hint="eastAsia"/>
                <w:color w:val="auto"/>
                <w:sz w:val="21"/>
                <w:lang w:val="en-US" w:eastAsia="zh-CN"/>
              </w:rPr>
              <w:t>莫力达瓦达斡尔族自治旗库如奇乡综合行政执法局</w:t>
            </w:r>
          </w:p>
        </w:tc>
      </w:tr>
    </w:tbl>
    <w:p>
      <w:pPr>
        <w:spacing w:line="580" w:lineRule="exact"/>
        <w:ind w:firstLine="600"/>
        <w:rPr>
          <w:rFonts w:hint="default" w:eastAsia="Times New Roman"/>
          <w:color w:val="FF0000"/>
          <w:sz w:val="32"/>
        </w:rPr>
      </w:pPr>
    </w:p>
    <w:p>
      <w:pPr>
        <w:spacing w:line="580" w:lineRule="exact"/>
        <w:ind w:firstLine="600"/>
        <w:rPr>
          <w:rFonts w:hint="default" w:eastAsia="Times New Roman"/>
          <w:b/>
          <w:color w:val="auto"/>
          <w:sz w:val="32"/>
        </w:rPr>
      </w:pPr>
      <w:r>
        <w:rPr>
          <w:rFonts w:hint="eastAsia" w:ascii="仿宋_GB2312" w:hAnsi="仿宋_GB2312" w:eastAsia="仿宋_GB2312"/>
          <w:b/>
          <w:color w:val="auto"/>
          <w:sz w:val="32"/>
        </w:rPr>
        <w:t>第二部分 2020年度部门决算情况说明</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一、关于2020年度预算执行情况分析</w:t>
      </w:r>
    </w:p>
    <w:p>
      <w:pPr>
        <w:widowControl w:val="0"/>
        <w:autoSpaceDE w:val="0"/>
        <w:autoSpaceDN w:val="0"/>
        <w:spacing w:line="580" w:lineRule="exact"/>
        <w:ind w:firstLine="600"/>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2020年预算收入为535.68万元，预算支出535.68万元，其中包括人员经费472.65万元，公用经费63.03万元。2020年决算中收入为958.35万元，其中财政拨款收入931.35万元，政府性基金预算财政拨款27万元；决算支出为1025.94万元。决算数据较预算数据增长490.26万元，主要原因为2020年追加了许多项目，且受疫情影响产生了很多本年追加收入支出。</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二、关于2020年度决算情况说明</w:t>
      </w:r>
    </w:p>
    <w:p>
      <w:pPr>
        <w:spacing w:line="580" w:lineRule="exact"/>
        <w:ind w:firstLine="600"/>
        <w:rPr>
          <w:rFonts w:hint="default" w:eastAsia="Times New Roman"/>
          <w:color w:val="auto"/>
          <w:sz w:val="32"/>
        </w:rPr>
      </w:pPr>
      <w:r>
        <w:rPr>
          <w:rFonts w:hint="eastAsia" w:ascii="楷体" w:hAnsi="楷体" w:eastAsia="楷体"/>
          <w:color w:val="auto"/>
          <w:sz w:val="32"/>
        </w:rPr>
        <w:t>（一）关于收支情况总体说明</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本部门2020年度收入总计1,025.94万元，其中：本年收入合计958.35万元，使用非财政拨款结余0万元，年初结转和结余67.59万元；支出总计1,025.94万元，其中：结余分配0万元，年末结转和结余25.76万元。与2019年度相比，收入总计减少418.84万元，下降29%；支出总计减少418.84万元，下降29%。主要原因：</w:t>
      </w:r>
      <w:r>
        <w:rPr>
          <w:rFonts w:hint="eastAsia" w:ascii="仿宋_GB2312" w:hAnsi="仿宋_GB2312" w:eastAsia="仿宋_GB2312"/>
          <w:color w:val="auto"/>
          <w:sz w:val="32"/>
          <w:lang w:val="en-US" w:eastAsia="zh-CN"/>
        </w:rPr>
        <w:t>本年项目支出减少</w:t>
      </w:r>
      <w:r>
        <w:rPr>
          <w:rFonts w:hint="eastAsia" w:ascii="仿宋_GB2312" w:hAnsi="仿宋_GB2312" w:eastAsia="仿宋_GB2312"/>
          <w:color w:val="auto"/>
          <w:sz w:val="32"/>
        </w:rPr>
        <w:t>。</w:t>
      </w:r>
    </w:p>
    <w:p>
      <w:pPr>
        <w:spacing w:line="580" w:lineRule="exact"/>
        <w:ind w:firstLine="600"/>
        <w:rPr>
          <w:rFonts w:hint="default" w:eastAsia="Times New Roman"/>
          <w:color w:val="auto"/>
          <w:sz w:val="32"/>
        </w:rPr>
      </w:pPr>
      <w:r>
        <w:rPr>
          <w:rFonts w:hint="eastAsia" w:ascii="楷体" w:hAnsi="楷体" w:eastAsia="楷体"/>
          <w:color w:val="auto"/>
          <w:sz w:val="32"/>
        </w:rPr>
        <w:t>（二）关于2020年度收入决算情况说明</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本部门2020年度收入合计958.35万元，其中：财政拨款收入958.35万元，占100%。</w:t>
      </w:r>
    </w:p>
    <w:p>
      <w:pPr>
        <w:spacing w:line="580" w:lineRule="exact"/>
        <w:ind w:firstLine="600"/>
        <w:rPr>
          <w:rFonts w:hint="default" w:eastAsia="Times New Roman"/>
          <w:color w:val="auto"/>
          <w:sz w:val="32"/>
        </w:rPr>
      </w:pPr>
      <w:r>
        <w:rPr>
          <w:rFonts w:hint="eastAsia" w:ascii="楷体" w:hAnsi="楷体" w:eastAsia="楷体"/>
          <w:color w:val="auto"/>
          <w:sz w:val="32"/>
        </w:rPr>
        <w:t>（三）关于2020年度支出决算情况说明</w:t>
      </w:r>
    </w:p>
    <w:p>
      <w:pPr>
        <w:spacing w:line="580" w:lineRule="exact"/>
        <w:ind w:firstLine="600"/>
        <w:rPr>
          <w:rFonts w:hint="eastAsia" w:ascii="仿宋_GB2312" w:hAnsi="仿宋_GB2312" w:eastAsia="仿宋_GB2312"/>
          <w:color w:val="auto"/>
          <w:sz w:val="32"/>
        </w:rPr>
      </w:pPr>
      <w:r>
        <w:rPr>
          <w:rFonts w:hint="eastAsia" w:ascii="仿宋_GB2312" w:hAnsi="仿宋_GB2312" w:eastAsia="仿宋_GB2312"/>
          <w:color w:val="auto"/>
          <w:sz w:val="32"/>
        </w:rPr>
        <w:t>本部门2020年度支出合计1,000.18万元，其中：基本支出998.87万元，占99.9%；项目支出1.31万元，占0.1%。</w:t>
      </w:r>
    </w:p>
    <w:p>
      <w:pPr>
        <w:spacing w:line="580" w:lineRule="exact"/>
        <w:ind w:firstLine="600"/>
        <w:rPr>
          <w:rFonts w:hint="default" w:eastAsia="Times New Roman"/>
          <w:color w:val="auto"/>
          <w:sz w:val="32"/>
        </w:rPr>
      </w:pPr>
      <w:r>
        <w:rPr>
          <w:rFonts w:hint="eastAsia" w:ascii="楷体" w:hAnsi="楷体" w:eastAsia="楷体"/>
          <w:color w:val="auto"/>
          <w:sz w:val="32"/>
        </w:rPr>
        <w:t>（四）关于2020年度财政拨款收入支出决算总体情况说明</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本部门2020年度财政拨款收入总计1,025.94万元，其中：年初结转和结余67.59万元；支出总计1,025.94万元，其中：年末结转和结余25.76万元。与2019年度相比，收入减少418.84万元，下降29%；支出减少418.84万元，下降29%。主要原因：</w:t>
      </w:r>
      <w:r>
        <w:rPr>
          <w:rFonts w:hint="eastAsia" w:ascii="仿宋_GB2312" w:hAnsi="仿宋_GB2312" w:eastAsia="仿宋_GB2312"/>
          <w:color w:val="auto"/>
          <w:sz w:val="32"/>
          <w:lang w:val="en-US" w:eastAsia="zh-CN"/>
        </w:rPr>
        <w:t>本年项目支出减少</w:t>
      </w:r>
      <w:r>
        <w:rPr>
          <w:rFonts w:hint="eastAsia" w:ascii="仿宋_GB2312" w:hAnsi="仿宋_GB2312" w:eastAsia="仿宋_GB2312"/>
          <w:color w:val="auto"/>
          <w:sz w:val="32"/>
        </w:rPr>
        <w:t>。</w:t>
      </w:r>
    </w:p>
    <w:p>
      <w:pPr>
        <w:spacing w:line="580" w:lineRule="exact"/>
        <w:ind w:firstLine="600"/>
        <w:rPr>
          <w:rFonts w:hint="default" w:eastAsia="Times New Roman"/>
          <w:color w:val="auto"/>
          <w:sz w:val="32"/>
        </w:rPr>
      </w:pPr>
      <w:r>
        <w:rPr>
          <w:rFonts w:hint="eastAsia" w:ascii="楷体" w:hAnsi="楷体" w:eastAsia="楷体"/>
          <w:color w:val="auto"/>
          <w:sz w:val="32"/>
        </w:rPr>
        <w:t>（五）关于2020年度一般公共预算财政拨款支出决算情况说明</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本部门2020年度一般公共预算财政拨款支出合计983.18万元，其中：基本支出981.87万元，占99.9%；项目支出1.31万元，占0.1%。</w:t>
      </w:r>
    </w:p>
    <w:p>
      <w:pPr>
        <w:spacing w:line="580" w:lineRule="exact"/>
        <w:ind w:firstLine="600"/>
        <w:rPr>
          <w:rFonts w:hint="default" w:eastAsia="Times New Roman"/>
          <w:color w:val="auto"/>
          <w:sz w:val="32"/>
        </w:rPr>
      </w:pPr>
      <w:r>
        <w:rPr>
          <w:rFonts w:hint="eastAsia" w:ascii="楷体" w:hAnsi="楷体" w:eastAsia="楷体"/>
          <w:color w:val="auto"/>
          <w:sz w:val="32"/>
        </w:rPr>
        <w:t>（六）关于2020年度一般公共预算财政拨款基本支出决算情况说明</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本部门2020年度一般公共预算财政拨款基本支出981.87万元，其中：人员经费829.01万元，主要包括：基本工资、津贴补贴、奖金、社会保障缴费，较上年增加176.26万元，主要原因是：</w:t>
      </w:r>
      <w:r>
        <w:rPr>
          <w:rFonts w:hint="eastAsia" w:ascii="仿宋_GB2312" w:hAnsi="仿宋_GB2312" w:eastAsia="仿宋_GB2312"/>
          <w:color w:val="auto"/>
          <w:sz w:val="32"/>
          <w:lang w:val="en-US" w:eastAsia="zh-CN"/>
        </w:rPr>
        <w:t>工资上涨以及本年补发了以前年度乡镇补贴</w:t>
      </w:r>
      <w:r>
        <w:rPr>
          <w:rFonts w:hint="eastAsia" w:ascii="仿宋_GB2312" w:hAnsi="仿宋_GB2312" w:eastAsia="仿宋_GB2312"/>
          <w:color w:val="auto"/>
          <w:sz w:val="32"/>
        </w:rPr>
        <w:t>；公用经费152.86万元，主要包括：办公费、印刷费、咨询费、手续费</w:t>
      </w:r>
      <w:r>
        <w:rPr>
          <w:rFonts w:hint="eastAsia" w:ascii="仿宋_GB2312" w:hAnsi="仿宋_GB2312" w:eastAsia="仿宋_GB2312"/>
          <w:color w:val="auto"/>
          <w:sz w:val="32"/>
          <w:lang w:eastAsia="zh-CN"/>
        </w:rPr>
        <w:t>、</w:t>
      </w:r>
      <w:r>
        <w:rPr>
          <w:rFonts w:hint="eastAsia" w:ascii="仿宋_GB2312" w:hAnsi="仿宋_GB2312" w:eastAsia="仿宋_GB2312"/>
          <w:color w:val="auto"/>
          <w:sz w:val="32"/>
          <w:lang w:val="en-US" w:eastAsia="zh-CN"/>
        </w:rPr>
        <w:t>防疫办公费</w:t>
      </w:r>
      <w:r>
        <w:rPr>
          <w:rFonts w:hint="eastAsia" w:ascii="仿宋_GB2312" w:hAnsi="仿宋_GB2312" w:eastAsia="仿宋_GB2312"/>
          <w:color w:val="auto"/>
          <w:sz w:val="32"/>
        </w:rPr>
        <w:t>，较上年增加31.47万元，主要原因是：</w:t>
      </w:r>
      <w:r>
        <w:rPr>
          <w:rFonts w:hint="eastAsia" w:ascii="仿宋_GB2312" w:hAnsi="仿宋_GB2312" w:eastAsia="仿宋_GB2312"/>
          <w:color w:val="auto"/>
          <w:sz w:val="32"/>
          <w:lang w:val="en-US" w:eastAsia="zh-CN"/>
        </w:rPr>
        <w:t>本年发生了疫情防控支出</w:t>
      </w:r>
      <w:r>
        <w:rPr>
          <w:rFonts w:hint="eastAsia" w:ascii="仿宋_GB2312" w:hAnsi="仿宋_GB2312" w:eastAsia="仿宋_GB2312"/>
          <w:color w:val="auto"/>
          <w:sz w:val="32"/>
        </w:rPr>
        <w:t>。</w:t>
      </w:r>
    </w:p>
    <w:p>
      <w:pPr>
        <w:spacing w:line="580" w:lineRule="exact"/>
        <w:ind w:firstLine="600"/>
        <w:rPr>
          <w:rFonts w:hint="default" w:eastAsia="Times New Roman"/>
          <w:color w:val="auto"/>
          <w:sz w:val="32"/>
        </w:rPr>
      </w:pPr>
      <w:r>
        <w:rPr>
          <w:rFonts w:hint="eastAsia" w:ascii="楷体" w:hAnsi="楷体" w:eastAsia="楷体"/>
          <w:color w:val="auto"/>
          <w:sz w:val="32"/>
        </w:rPr>
        <w:t>（七）关于2020年度财政拨款</w:t>
      </w:r>
      <w:r>
        <w:rPr>
          <w:rFonts w:hint="default" w:eastAsia="Times New Roman"/>
          <w:color w:val="auto"/>
          <w:sz w:val="32"/>
        </w:rPr>
        <w:t>“</w:t>
      </w:r>
      <w:r>
        <w:rPr>
          <w:rFonts w:hint="eastAsia" w:ascii="楷体" w:hAnsi="楷体" w:eastAsia="楷体"/>
          <w:color w:val="auto"/>
          <w:sz w:val="32"/>
        </w:rPr>
        <w:t>三公</w:t>
      </w:r>
      <w:r>
        <w:rPr>
          <w:rFonts w:hint="default" w:eastAsia="Times New Roman"/>
          <w:color w:val="auto"/>
          <w:sz w:val="32"/>
        </w:rPr>
        <w:t>”</w:t>
      </w:r>
      <w:r>
        <w:rPr>
          <w:rFonts w:hint="eastAsia" w:ascii="楷体" w:hAnsi="楷体" w:eastAsia="楷体"/>
          <w:color w:val="auto"/>
          <w:sz w:val="32"/>
        </w:rPr>
        <w:t>经费支出决算情况说明</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1、财政拨款</w:t>
      </w:r>
      <w:r>
        <w:rPr>
          <w:rFonts w:hint="default" w:eastAsia="Times New Roman"/>
          <w:color w:val="auto"/>
          <w:sz w:val="32"/>
        </w:rPr>
        <w:t>“</w:t>
      </w:r>
      <w:r>
        <w:rPr>
          <w:rFonts w:hint="eastAsia" w:ascii="仿宋_GB2312" w:hAnsi="仿宋_GB2312" w:eastAsia="仿宋_GB2312"/>
          <w:color w:val="auto"/>
          <w:sz w:val="32"/>
        </w:rPr>
        <w:t>三公</w:t>
      </w:r>
      <w:r>
        <w:rPr>
          <w:rFonts w:hint="default" w:eastAsia="Times New Roman"/>
          <w:color w:val="auto"/>
          <w:sz w:val="32"/>
        </w:rPr>
        <w:t>”</w:t>
      </w:r>
      <w:r>
        <w:rPr>
          <w:rFonts w:hint="eastAsia" w:ascii="仿宋_GB2312" w:hAnsi="仿宋_GB2312" w:eastAsia="仿宋_GB2312"/>
          <w:color w:val="auto"/>
          <w:sz w:val="32"/>
        </w:rPr>
        <w:t>经费支出决算总体情况说明</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本部门2020年度财政拨款</w:t>
      </w:r>
      <w:r>
        <w:rPr>
          <w:rFonts w:hint="default" w:eastAsia="Times New Roman"/>
          <w:color w:val="auto"/>
          <w:sz w:val="32"/>
        </w:rPr>
        <w:t>“</w:t>
      </w:r>
      <w:r>
        <w:rPr>
          <w:rFonts w:hint="eastAsia" w:ascii="仿宋_GB2312" w:hAnsi="仿宋_GB2312" w:eastAsia="仿宋_GB2312"/>
          <w:color w:val="auto"/>
          <w:sz w:val="32"/>
        </w:rPr>
        <w:t>三公</w:t>
      </w:r>
      <w:r>
        <w:rPr>
          <w:rFonts w:hint="default" w:eastAsia="Times New Roman"/>
          <w:color w:val="auto"/>
          <w:sz w:val="32"/>
        </w:rPr>
        <w:t>”</w:t>
      </w:r>
      <w:r>
        <w:rPr>
          <w:rFonts w:hint="eastAsia" w:ascii="仿宋_GB2312" w:hAnsi="仿宋_GB2312" w:eastAsia="仿宋_GB2312"/>
          <w:color w:val="auto"/>
          <w:sz w:val="32"/>
        </w:rPr>
        <w:t>经费预算为20.4万元，支出决算为20.4万元，完成预算的100%，其中：因公出国（境）费预算为0万元，支出决算为0万元，完成预算的0%；公务用车购置及运行维护费预算为20.4万元，支出决算为20.4万元，完成预算的100%；公务接待费预算为0万元，支出决算为0万元，完成预算的0%。2020年度财政拨款</w:t>
      </w:r>
      <w:r>
        <w:rPr>
          <w:rFonts w:hint="default" w:eastAsia="Times New Roman"/>
          <w:color w:val="auto"/>
          <w:sz w:val="32"/>
        </w:rPr>
        <w:t>“</w:t>
      </w:r>
      <w:r>
        <w:rPr>
          <w:rFonts w:hint="eastAsia" w:ascii="仿宋_GB2312" w:hAnsi="仿宋_GB2312" w:eastAsia="仿宋_GB2312"/>
          <w:color w:val="auto"/>
          <w:sz w:val="32"/>
        </w:rPr>
        <w:t>三公</w:t>
      </w:r>
      <w:r>
        <w:rPr>
          <w:rFonts w:hint="default" w:eastAsia="Times New Roman"/>
          <w:color w:val="auto"/>
          <w:sz w:val="32"/>
        </w:rPr>
        <w:t>”</w:t>
      </w:r>
      <w:r>
        <w:rPr>
          <w:rFonts w:hint="eastAsia" w:ascii="仿宋_GB2312" w:hAnsi="仿宋_GB2312" w:eastAsia="仿宋_GB2312"/>
          <w:color w:val="auto"/>
          <w:sz w:val="32"/>
        </w:rPr>
        <w:t>经费支出决算与预算差异情况的原因：</w:t>
      </w:r>
      <w:r>
        <w:rPr>
          <w:rFonts w:hint="eastAsia" w:ascii="仿宋_GB2312" w:hAnsi="仿宋_GB2312" w:eastAsia="仿宋_GB2312"/>
          <w:color w:val="auto"/>
          <w:sz w:val="32"/>
          <w:lang w:val="en-US" w:eastAsia="zh-CN"/>
        </w:rPr>
        <w:t>本单位三公经费预算决算数据一致，二者之间并无差异</w:t>
      </w:r>
      <w:r>
        <w:rPr>
          <w:rFonts w:hint="eastAsia" w:ascii="仿宋_GB2312" w:hAnsi="仿宋_GB2312" w:eastAsia="仿宋_GB2312"/>
          <w:color w:val="auto"/>
          <w:sz w:val="32"/>
        </w:rPr>
        <w:t>。</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2、财政拨款</w:t>
      </w:r>
      <w:r>
        <w:rPr>
          <w:rFonts w:hint="default" w:eastAsia="Times New Roman"/>
          <w:color w:val="auto"/>
          <w:sz w:val="32"/>
        </w:rPr>
        <w:t>“</w:t>
      </w:r>
      <w:r>
        <w:rPr>
          <w:rFonts w:hint="eastAsia" w:ascii="仿宋_GB2312" w:hAnsi="仿宋_GB2312" w:eastAsia="仿宋_GB2312"/>
          <w:color w:val="auto"/>
          <w:sz w:val="32"/>
        </w:rPr>
        <w:t>三公</w:t>
      </w:r>
      <w:r>
        <w:rPr>
          <w:rFonts w:hint="default" w:eastAsia="Times New Roman"/>
          <w:color w:val="auto"/>
          <w:sz w:val="32"/>
        </w:rPr>
        <w:t>”</w:t>
      </w:r>
      <w:r>
        <w:rPr>
          <w:rFonts w:hint="eastAsia" w:ascii="仿宋_GB2312" w:hAnsi="仿宋_GB2312" w:eastAsia="仿宋_GB2312"/>
          <w:color w:val="auto"/>
          <w:sz w:val="32"/>
        </w:rPr>
        <w:t>经费支出决算具体情况说明</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本部门2020年度财政拨款</w:t>
      </w:r>
      <w:r>
        <w:rPr>
          <w:rFonts w:hint="default" w:eastAsia="Times New Roman"/>
          <w:color w:val="auto"/>
          <w:sz w:val="32"/>
        </w:rPr>
        <w:t>“</w:t>
      </w:r>
      <w:r>
        <w:rPr>
          <w:rFonts w:hint="eastAsia" w:ascii="仿宋_GB2312" w:hAnsi="仿宋_GB2312" w:eastAsia="仿宋_GB2312"/>
          <w:color w:val="auto"/>
          <w:sz w:val="32"/>
        </w:rPr>
        <w:t>三公</w:t>
      </w:r>
      <w:r>
        <w:rPr>
          <w:rFonts w:hint="default" w:eastAsia="Times New Roman"/>
          <w:color w:val="auto"/>
          <w:sz w:val="32"/>
        </w:rPr>
        <w:t>”</w:t>
      </w:r>
      <w:r>
        <w:rPr>
          <w:rFonts w:hint="eastAsia" w:ascii="仿宋_GB2312" w:hAnsi="仿宋_GB2312" w:eastAsia="仿宋_GB2312"/>
          <w:color w:val="auto"/>
          <w:sz w:val="32"/>
        </w:rPr>
        <w:t>经费支出20.4万元，因公出国（境）费支出0万元，占0%；公务用车购置及运行维护费支出20.4万元，占100%；公务接待费支出0万元，占0%。具体情况如下：</w:t>
      </w:r>
    </w:p>
    <w:p>
      <w:pPr>
        <w:spacing w:line="580" w:lineRule="exact"/>
        <w:ind w:firstLine="600"/>
        <w:rPr>
          <w:rFonts w:hint="eastAsia" w:ascii="仿宋_GB2312" w:hAnsi="仿宋_GB2312" w:eastAsia="仿宋_GB2312"/>
          <w:color w:val="auto"/>
          <w:sz w:val="32"/>
          <w:lang w:val="en-US" w:eastAsia="zh-CN"/>
        </w:rPr>
      </w:pPr>
      <w:r>
        <w:rPr>
          <w:rFonts w:hint="eastAsia" w:ascii="仿宋_GB2312" w:hAnsi="仿宋_GB2312" w:eastAsia="仿宋_GB2312"/>
          <w:b/>
          <w:color w:val="auto"/>
          <w:sz w:val="32"/>
        </w:rPr>
        <w:t>因公出国（境）费支出</w:t>
      </w:r>
      <w:r>
        <w:rPr>
          <w:rFonts w:hint="eastAsia" w:ascii="仿宋_GB2312" w:hAnsi="仿宋_GB2312" w:eastAsia="仿宋_GB2312"/>
          <w:color w:val="auto"/>
          <w:sz w:val="32"/>
        </w:rPr>
        <w:t>0万元。全年因公出国（境）团组0个，累计0人次。较上年增加0万元，主要原因是</w:t>
      </w:r>
      <w:r>
        <w:rPr>
          <w:rFonts w:hint="eastAsia" w:ascii="仿宋_GB2312" w:hAnsi="仿宋_GB2312" w:eastAsia="仿宋_GB2312"/>
          <w:color w:val="auto"/>
          <w:sz w:val="32"/>
          <w:lang w:val="en-US" w:eastAsia="zh-CN"/>
        </w:rPr>
        <w:t>本单位并未发生因公出国（境）支出。</w:t>
      </w:r>
    </w:p>
    <w:p>
      <w:pPr>
        <w:spacing w:line="580" w:lineRule="exact"/>
        <w:ind w:firstLine="600"/>
        <w:rPr>
          <w:rFonts w:hint="default" w:eastAsia="Times New Roman"/>
          <w:color w:val="auto"/>
          <w:sz w:val="32"/>
        </w:rPr>
      </w:pPr>
      <w:r>
        <w:rPr>
          <w:rFonts w:hint="eastAsia" w:ascii="仿宋_GB2312" w:hAnsi="仿宋_GB2312" w:eastAsia="仿宋_GB2312"/>
          <w:b/>
          <w:color w:val="auto"/>
          <w:sz w:val="32"/>
        </w:rPr>
        <w:t>公务用车购置及运行维护费支出</w:t>
      </w:r>
      <w:r>
        <w:rPr>
          <w:rFonts w:hint="eastAsia" w:ascii="仿宋_GB2312" w:hAnsi="仿宋_GB2312" w:eastAsia="仿宋_GB2312"/>
          <w:color w:val="auto"/>
          <w:sz w:val="32"/>
        </w:rPr>
        <w:t>20.4万元。其中：公务用车购置支出0万元，车均购置费0万元，公务用车购置支出较上年增加0万元，主要原因是</w:t>
      </w:r>
      <w:r>
        <w:rPr>
          <w:rFonts w:hint="eastAsia" w:ascii="仿宋_GB2312" w:hAnsi="仿宋_GB2312" w:eastAsia="仿宋_GB2312"/>
          <w:color w:val="auto"/>
          <w:sz w:val="32"/>
          <w:lang w:val="en-US" w:eastAsia="zh-CN"/>
        </w:rPr>
        <w:t>本单位并未发生公务用车购置支出</w:t>
      </w:r>
      <w:r>
        <w:rPr>
          <w:rFonts w:hint="eastAsia" w:ascii="仿宋_GB2312" w:hAnsi="仿宋_GB2312" w:eastAsia="仿宋_GB2312"/>
          <w:color w:val="auto"/>
          <w:sz w:val="32"/>
        </w:rPr>
        <w:t>。公务用车运行维护费支出20.4万元，用于</w:t>
      </w:r>
      <w:r>
        <w:rPr>
          <w:rFonts w:hint="eastAsia" w:ascii="仿宋_GB2312" w:hAnsi="仿宋_GB2312" w:eastAsia="仿宋_GB2312"/>
          <w:color w:val="auto"/>
          <w:sz w:val="32"/>
          <w:lang w:val="en-US" w:eastAsia="zh-CN"/>
        </w:rPr>
        <w:t>维修公务用车，车辆保险，公务用车加油等</w:t>
      </w:r>
      <w:r>
        <w:rPr>
          <w:rFonts w:hint="eastAsia" w:ascii="仿宋_GB2312" w:hAnsi="仿宋_GB2312" w:eastAsia="仿宋_GB2312"/>
          <w:color w:val="auto"/>
          <w:sz w:val="32"/>
        </w:rPr>
        <w:t>，车均运维费5.1万元，公务用车运行维护费支出较上年增加14.13万元，主要原因是</w:t>
      </w:r>
      <w:r>
        <w:rPr>
          <w:rFonts w:hint="eastAsia" w:ascii="仿宋_GB2312" w:hAnsi="仿宋_GB2312" w:eastAsia="仿宋_GB2312"/>
          <w:color w:val="auto"/>
          <w:sz w:val="32"/>
          <w:lang w:val="en-US" w:eastAsia="zh-CN"/>
        </w:rPr>
        <w:t>增加了用于车辆维修维护的费用</w:t>
      </w:r>
      <w:r>
        <w:rPr>
          <w:rFonts w:hint="eastAsia" w:ascii="仿宋_GB2312" w:hAnsi="仿宋_GB2312" w:eastAsia="仿宋_GB2312"/>
          <w:color w:val="auto"/>
          <w:sz w:val="32"/>
        </w:rPr>
        <w:t>，财政拨款开支的公务用车保有量为4辆。</w:t>
      </w:r>
    </w:p>
    <w:p>
      <w:pPr>
        <w:spacing w:line="580" w:lineRule="exact"/>
        <w:ind w:firstLine="600"/>
        <w:rPr>
          <w:rFonts w:hint="eastAsia" w:ascii="仿宋_GB2312" w:hAnsi="仿宋_GB2312" w:eastAsia="仿宋_GB2312"/>
          <w:color w:val="auto"/>
          <w:sz w:val="32"/>
          <w:lang w:val="en-US" w:eastAsia="zh-CN"/>
        </w:rPr>
      </w:pPr>
      <w:r>
        <w:rPr>
          <w:rFonts w:hint="eastAsia" w:ascii="仿宋_GB2312" w:hAnsi="仿宋_GB2312" w:eastAsia="仿宋_GB2312"/>
          <w:b/>
          <w:color w:val="auto"/>
          <w:sz w:val="32"/>
        </w:rPr>
        <w:t>公务接待费支出</w:t>
      </w:r>
      <w:r>
        <w:rPr>
          <w:rFonts w:hint="eastAsia" w:ascii="仿宋_GB2312" w:hAnsi="仿宋_GB2312" w:eastAsia="仿宋_GB2312"/>
          <w:color w:val="auto"/>
          <w:sz w:val="32"/>
        </w:rPr>
        <w:t>0万元。较上年增加0万元，主要原因是</w:t>
      </w:r>
      <w:r>
        <w:rPr>
          <w:rFonts w:hint="eastAsia" w:ascii="仿宋_GB2312" w:hAnsi="仿宋_GB2312" w:eastAsia="仿宋_GB2312"/>
          <w:color w:val="auto"/>
          <w:sz w:val="32"/>
          <w:lang w:val="en-US" w:eastAsia="zh-CN"/>
        </w:rPr>
        <w:t>本单位未发生公务接待支出。</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三、预算绩效情况说明</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（一）预算绩效管理工作开展情况</w:t>
      </w:r>
    </w:p>
    <w:p>
      <w:pPr>
        <w:spacing w:line="580" w:lineRule="exact"/>
        <w:ind w:firstLine="600"/>
        <w:rPr>
          <w:rFonts w:hint="eastAsia" w:ascii="仿宋_GB2312" w:hAnsi="仿宋_GB2312" w:eastAsia="仿宋_GB2312"/>
          <w:color w:val="FF0000"/>
          <w:sz w:val="32"/>
          <w:lang w:eastAsia="zh-CN"/>
        </w:rPr>
      </w:pPr>
      <w:r>
        <w:rPr>
          <w:rFonts w:hint="eastAsia" w:ascii="仿宋_GB2312" w:hAnsi="仿宋_GB2312" w:eastAsia="仿宋_GB2312"/>
          <w:color w:val="auto"/>
          <w:sz w:val="32"/>
        </w:rPr>
        <w:t>根据预算绩效管理要求，我部门（单位）组织对2020年度一般公共预算项目支出全面开展绩效自评，其中，一级项目</w:t>
      </w:r>
      <w:r>
        <w:rPr>
          <w:rFonts w:hint="eastAsia" w:ascii="仿宋_GB2312" w:hAnsi="仿宋_GB2312" w:eastAsia="仿宋_GB2312"/>
          <w:color w:val="auto"/>
          <w:sz w:val="32"/>
          <w:lang w:val="en-US" w:eastAsia="zh-CN"/>
        </w:rPr>
        <w:t>1</w:t>
      </w:r>
      <w:r>
        <w:rPr>
          <w:rFonts w:hint="eastAsia" w:ascii="仿宋_GB2312" w:hAnsi="仿宋_GB2312" w:eastAsia="仿宋_GB2312"/>
          <w:color w:val="auto"/>
          <w:sz w:val="32"/>
        </w:rPr>
        <w:t>个，二级项目</w:t>
      </w:r>
      <w:r>
        <w:rPr>
          <w:rFonts w:hint="eastAsia" w:ascii="仿宋_GB2312" w:hAnsi="仿宋_GB2312" w:eastAsia="仿宋_GB2312"/>
          <w:color w:val="auto"/>
          <w:sz w:val="32"/>
          <w:lang w:val="en-US" w:eastAsia="zh-CN"/>
        </w:rPr>
        <w:t>1</w:t>
      </w:r>
      <w:r>
        <w:rPr>
          <w:rFonts w:hint="eastAsia" w:ascii="仿宋_GB2312" w:hAnsi="仿宋_GB2312" w:eastAsia="仿宋_GB2312"/>
          <w:color w:val="auto"/>
          <w:sz w:val="32"/>
        </w:rPr>
        <w:t>个，共涉及资金</w:t>
      </w:r>
      <w:r>
        <w:rPr>
          <w:rFonts w:hint="eastAsia" w:ascii="仿宋_GB2312" w:hAnsi="仿宋_GB2312" w:eastAsia="仿宋_GB2312"/>
          <w:color w:val="auto"/>
          <w:sz w:val="32"/>
          <w:lang w:val="en-US" w:eastAsia="zh-CN"/>
        </w:rPr>
        <w:t>1.31</w:t>
      </w:r>
      <w:r>
        <w:rPr>
          <w:rFonts w:hint="eastAsia" w:ascii="仿宋_GB2312" w:hAnsi="仿宋_GB2312" w:eastAsia="仿宋_GB2312"/>
          <w:color w:val="auto"/>
          <w:sz w:val="32"/>
        </w:rPr>
        <w:t>万元，占一般公共预算项目支出总额的100%；政府性基金预算项目</w:t>
      </w:r>
      <w:r>
        <w:rPr>
          <w:rFonts w:hint="eastAsia" w:ascii="仿宋_GB2312" w:hAnsi="仿宋_GB2312" w:eastAsia="仿宋_GB2312"/>
          <w:color w:val="auto"/>
          <w:sz w:val="32"/>
          <w:lang w:val="en-US" w:eastAsia="zh-CN"/>
        </w:rPr>
        <w:t>1</w:t>
      </w:r>
      <w:r>
        <w:rPr>
          <w:rFonts w:hint="eastAsia" w:ascii="仿宋_GB2312" w:hAnsi="仿宋_GB2312" w:eastAsia="仿宋_GB2312"/>
          <w:color w:val="auto"/>
          <w:sz w:val="32"/>
        </w:rPr>
        <w:t>个，其中，一级项目</w:t>
      </w:r>
      <w:r>
        <w:rPr>
          <w:rFonts w:hint="eastAsia" w:ascii="仿宋_GB2312" w:hAnsi="仿宋_GB2312" w:eastAsia="仿宋_GB2312"/>
          <w:color w:val="auto"/>
          <w:sz w:val="32"/>
          <w:lang w:val="en-US" w:eastAsia="zh-CN"/>
        </w:rPr>
        <w:t>1</w:t>
      </w:r>
      <w:r>
        <w:rPr>
          <w:rFonts w:hint="eastAsia" w:ascii="仿宋_GB2312" w:hAnsi="仿宋_GB2312" w:eastAsia="仿宋_GB2312"/>
          <w:color w:val="auto"/>
          <w:sz w:val="32"/>
        </w:rPr>
        <w:t>个，二级项目</w:t>
      </w:r>
      <w:r>
        <w:rPr>
          <w:rFonts w:hint="eastAsia" w:ascii="仿宋_GB2312" w:hAnsi="仿宋_GB2312" w:eastAsia="仿宋_GB2312"/>
          <w:color w:val="auto"/>
          <w:sz w:val="32"/>
          <w:lang w:val="en-US" w:eastAsia="zh-CN"/>
        </w:rPr>
        <w:t>1</w:t>
      </w:r>
      <w:r>
        <w:rPr>
          <w:rFonts w:hint="eastAsia" w:ascii="仿宋_GB2312" w:hAnsi="仿宋_GB2312" w:eastAsia="仿宋_GB2312"/>
          <w:color w:val="auto"/>
          <w:sz w:val="32"/>
        </w:rPr>
        <w:t>个，共涉及资金</w:t>
      </w:r>
      <w:r>
        <w:rPr>
          <w:rFonts w:hint="eastAsia" w:ascii="仿宋_GB2312" w:hAnsi="仿宋_GB2312" w:eastAsia="仿宋_GB2312"/>
          <w:color w:val="auto"/>
          <w:sz w:val="32"/>
          <w:lang w:val="en-US" w:eastAsia="zh-CN"/>
        </w:rPr>
        <w:t>27</w:t>
      </w:r>
      <w:r>
        <w:rPr>
          <w:rFonts w:hint="eastAsia" w:ascii="仿宋_GB2312" w:hAnsi="仿宋_GB2312" w:eastAsia="仿宋_GB2312"/>
          <w:color w:val="auto"/>
          <w:sz w:val="32"/>
        </w:rPr>
        <w:t>万元，占应纳入绩效自评的政府性基金预算项目支出总额的100%</w:t>
      </w:r>
      <w:r>
        <w:rPr>
          <w:rFonts w:hint="eastAsia" w:ascii="仿宋_GB2312" w:hAnsi="仿宋_GB2312" w:eastAsia="仿宋_GB2312"/>
          <w:color w:val="auto"/>
          <w:sz w:val="32"/>
          <w:lang w:eastAsia="zh-CN"/>
        </w:rPr>
        <w:t>。</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（二）部门决算中项目绩效自评结果</w:t>
      </w:r>
    </w:p>
    <w:p>
      <w:pPr>
        <w:widowControl w:val="0"/>
        <w:autoSpaceDE w:val="0"/>
        <w:autoSpaceDN w:val="0"/>
        <w:spacing w:line="580" w:lineRule="exact"/>
        <w:ind w:firstLine="600"/>
        <w:rPr>
          <w:rFonts w:hint="eastAsia" w:ascii="仿宋_GB2312" w:hAnsi="仿宋_GB2312" w:eastAsia="仿宋_GB2312"/>
          <w:color w:val="auto"/>
          <w:sz w:val="32"/>
        </w:rPr>
      </w:pPr>
      <w:r>
        <w:rPr>
          <w:rFonts w:hint="eastAsia" w:ascii="仿宋_GB2312" w:hAnsi="仿宋_GB2312" w:eastAsia="仿宋_GB2312"/>
          <w:color w:val="auto"/>
          <w:sz w:val="32"/>
        </w:rPr>
        <w:t>我部门今年在在部门决算中反映“</w:t>
      </w:r>
      <w:r>
        <w:rPr>
          <w:rFonts w:hint="eastAsia" w:ascii="仿宋_GB2312" w:hAnsi="仿宋_GB2312" w:eastAsia="仿宋_GB2312"/>
          <w:color w:val="auto"/>
          <w:sz w:val="32"/>
          <w:lang w:val="en-US" w:eastAsia="zh-CN"/>
        </w:rPr>
        <w:t>灾害防治及应急管理项目</w:t>
      </w:r>
      <w:r>
        <w:rPr>
          <w:rFonts w:hint="eastAsia" w:ascii="仿宋_GB2312" w:hAnsi="仿宋_GB2312" w:eastAsia="仿宋_GB2312"/>
          <w:color w:val="auto"/>
          <w:sz w:val="32"/>
        </w:rPr>
        <w:t>”等</w:t>
      </w:r>
      <w:r>
        <w:rPr>
          <w:rFonts w:hint="eastAsia" w:ascii="仿宋_GB2312" w:hAnsi="仿宋_GB2312" w:eastAsia="仿宋_GB2312"/>
          <w:color w:val="auto"/>
          <w:sz w:val="32"/>
          <w:lang w:val="en-US" w:eastAsia="zh-CN"/>
        </w:rPr>
        <w:t>1</w:t>
      </w:r>
      <w:r>
        <w:rPr>
          <w:rFonts w:hint="eastAsia" w:ascii="仿宋_GB2312" w:hAnsi="仿宋_GB2312" w:eastAsia="仿宋_GB2312"/>
          <w:color w:val="auto"/>
          <w:sz w:val="32"/>
        </w:rPr>
        <w:t>个一般公共预算项目，以及“抗击新冠肺炎疫情专项项目”等</w:t>
      </w:r>
      <w:r>
        <w:rPr>
          <w:rFonts w:hint="eastAsia" w:ascii="仿宋_GB2312" w:hAnsi="仿宋_GB2312" w:eastAsia="仿宋_GB2312"/>
          <w:color w:val="auto"/>
          <w:sz w:val="32"/>
          <w:lang w:val="en-US" w:eastAsia="zh-CN"/>
        </w:rPr>
        <w:t>1</w:t>
      </w:r>
      <w:r>
        <w:rPr>
          <w:rFonts w:hint="eastAsia" w:ascii="仿宋_GB2312" w:hAnsi="仿宋_GB2312" w:eastAsia="仿宋_GB2312"/>
          <w:color w:val="auto"/>
          <w:sz w:val="32"/>
        </w:rPr>
        <w:t>个政府性基金项目</w:t>
      </w:r>
      <w:r>
        <w:rPr>
          <w:rFonts w:hint="eastAsia" w:ascii="仿宋_GB2312" w:hAnsi="仿宋_GB2312" w:eastAsia="仿宋_GB2312"/>
          <w:color w:val="auto"/>
          <w:sz w:val="32"/>
          <w:lang w:eastAsia="zh-CN"/>
        </w:rPr>
        <w:t>，</w:t>
      </w:r>
      <w:r>
        <w:rPr>
          <w:rFonts w:hint="eastAsia" w:ascii="仿宋_GB2312" w:hAnsi="仿宋_GB2312" w:eastAsia="仿宋_GB2312"/>
          <w:color w:val="auto"/>
          <w:sz w:val="32"/>
        </w:rPr>
        <w:t>共</w:t>
      </w:r>
      <w:r>
        <w:rPr>
          <w:rFonts w:hint="eastAsia" w:ascii="仿宋_GB2312" w:hAnsi="仿宋_GB2312" w:eastAsia="仿宋_GB2312"/>
          <w:color w:val="auto"/>
          <w:sz w:val="32"/>
          <w:lang w:val="en-US" w:eastAsia="zh-CN"/>
        </w:rPr>
        <w:t>2</w:t>
      </w:r>
      <w:r>
        <w:rPr>
          <w:rFonts w:hint="eastAsia" w:ascii="仿宋_GB2312" w:hAnsi="仿宋_GB2312" w:eastAsia="仿宋_GB2312"/>
          <w:color w:val="auto"/>
          <w:sz w:val="32"/>
        </w:rPr>
        <w:t>个项目的绩效自评结果。</w:t>
      </w:r>
    </w:p>
    <w:p>
      <w:pPr>
        <w:widowControl w:val="0"/>
        <w:autoSpaceDE w:val="0"/>
        <w:autoSpaceDN w:val="0"/>
        <w:spacing w:line="580" w:lineRule="exact"/>
        <w:ind w:firstLine="600"/>
        <w:rPr>
          <w:rFonts w:hint="eastAsia" w:ascii="仿宋_GB2312" w:hAnsi="仿宋_GB2312" w:eastAsia="仿宋_GB2312"/>
          <w:color w:val="auto"/>
          <w:sz w:val="32"/>
        </w:rPr>
      </w:pPr>
      <w:r>
        <w:rPr>
          <w:rFonts w:hint="eastAsia" w:ascii="仿宋_GB2312" w:hAnsi="仿宋_GB2312" w:eastAsia="仿宋_GB2312"/>
          <w:color w:val="auto"/>
          <w:sz w:val="32"/>
        </w:rPr>
        <w:t>1.</w:t>
      </w:r>
      <w:r>
        <w:rPr>
          <w:rFonts w:hint="eastAsia" w:ascii="仿宋_GB2312" w:hAnsi="仿宋_GB2312" w:eastAsia="仿宋_GB2312"/>
          <w:color w:val="auto"/>
          <w:sz w:val="32"/>
          <w:lang w:val="en-US" w:eastAsia="zh-CN"/>
        </w:rPr>
        <w:t>灾害防治及应急管理</w:t>
      </w:r>
      <w:r>
        <w:rPr>
          <w:rFonts w:hint="eastAsia" w:ascii="仿宋_GB2312" w:hAnsi="仿宋_GB2312" w:eastAsia="仿宋_GB2312"/>
          <w:color w:val="auto"/>
          <w:sz w:val="32"/>
        </w:rPr>
        <w:t>项目自评综述：根据年初设定的绩效目标，项目自评得分</w:t>
      </w:r>
      <w:r>
        <w:rPr>
          <w:rFonts w:hint="eastAsia" w:ascii="仿宋_GB2312" w:hAnsi="仿宋_GB2312" w:eastAsia="仿宋_GB2312"/>
          <w:color w:val="auto"/>
          <w:sz w:val="32"/>
          <w:lang w:val="en-US" w:eastAsia="zh-CN"/>
        </w:rPr>
        <w:t>100</w:t>
      </w:r>
      <w:r>
        <w:rPr>
          <w:rFonts w:hint="eastAsia" w:ascii="仿宋_GB2312" w:hAnsi="仿宋_GB2312" w:eastAsia="仿宋_GB2312"/>
          <w:color w:val="auto"/>
          <w:sz w:val="32"/>
        </w:rPr>
        <w:t>分。全年预算数为</w:t>
      </w:r>
      <w:r>
        <w:rPr>
          <w:rFonts w:hint="eastAsia" w:ascii="仿宋_GB2312" w:hAnsi="仿宋_GB2312" w:eastAsia="仿宋_GB2312"/>
          <w:color w:val="auto"/>
          <w:sz w:val="32"/>
          <w:lang w:val="en-US" w:eastAsia="zh-CN"/>
        </w:rPr>
        <w:t>1.31</w:t>
      </w:r>
      <w:r>
        <w:rPr>
          <w:rFonts w:hint="eastAsia" w:ascii="仿宋_GB2312" w:hAnsi="仿宋_GB2312" w:eastAsia="仿宋_GB2312"/>
          <w:color w:val="auto"/>
          <w:sz w:val="32"/>
        </w:rPr>
        <w:t>万元，执行数为</w:t>
      </w:r>
      <w:r>
        <w:rPr>
          <w:rFonts w:hint="eastAsia" w:ascii="仿宋_GB2312" w:hAnsi="仿宋_GB2312" w:eastAsia="仿宋_GB2312"/>
          <w:color w:val="auto"/>
          <w:sz w:val="32"/>
          <w:lang w:val="en-US" w:eastAsia="zh-CN"/>
        </w:rPr>
        <w:t>1.31</w:t>
      </w:r>
      <w:r>
        <w:rPr>
          <w:rFonts w:hint="eastAsia" w:ascii="仿宋_GB2312" w:hAnsi="仿宋_GB2312" w:eastAsia="仿宋_GB2312"/>
          <w:color w:val="auto"/>
          <w:sz w:val="32"/>
        </w:rPr>
        <w:t>万元，完成预算的</w:t>
      </w:r>
      <w:r>
        <w:rPr>
          <w:rFonts w:hint="eastAsia" w:ascii="仿宋_GB2312" w:hAnsi="仿宋_GB2312" w:eastAsia="仿宋_GB2312"/>
          <w:color w:val="auto"/>
          <w:sz w:val="32"/>
          <w:lang w:val="en-US" w:eastAsia="zh-CN"/>
        </w:rPr>
        <w:t>100</w:t>
      </w:r>
      <w:r>
        <w:rPr>
          <w:rFonts w:hint="eastAsia" w:ascii="仿宋_GB2312" w:hAnsi="仿宋_GB2312" w:eastAsia="仿宋_GB2312"/>
          <w:color w:val="auto"/>
          <w:sz w:val="32"/>
        </w:rPr>
        <w:t>%。项目绩效目标完成情况：</w:t>
      </w:r>
      <w:r>
        <w:rPr>
          <w:rFonts w:hint="eastAsia" w:ascii="仿宋_GB2312" w:hAnsi="仿宋_GB2312" w:eastAsia="仿宋_GB2312"/>
          <w:color w:val="auto"/>
          <w:sz w:val="32"/>
          <w:lang w:val="en-US" w:eastAsia="zh-CN"/>
        </w:rPr>
        <w:t>抵御洪涝灾害</w:t>
      </w:r>
      <w:r>
        <w:rPr>
          <w:rFonts w:hint="eastAsia" w:ascii="仿宋_GB2312" w:hAnsi="仿宋_GB2312" w:eastAsia="仿宋_GB2312"/>
          <w:color w:val="auto"/>
          <w:sz w:val="32"/>
        </w:rPr>
        <w:t>。发现的主要问题及原因：</w:t>
      </w:r>
      <w:r>
        <w:rPr>
          <w:rFonts w:hint="eastAsia" w:ascii="仿宋_GB2312" w:hAnsi="仿宋_GB2312" w:eastAsia="仿宋_GB2312"/>
          <w:color w:val="auto"/>
          <w:sz w:val="32"/>
          <w:lang w:val="en-US" w:eastAsia="zh-CN"/>
        </w:rPr>
        <w:t>未发现问题</w:t>
      </w:r>
      <w:r>
        <w:rPr>
          <w:rFonts w:hint="eastAsia" w:ascii="仿宋_GB2312" w:hAnsi="仿宋_GB2312" w:eastAsia="仿宋_GB2312"/>
          <w:color w:val="auto"/>
          <w:sz w:val="32"/>
        </w:rPr>
        <w:t>。下一步改进措施：</w:t>
      </w:r>
      <w:r>
        <w:rPr>
          <w:rFonts w:hint="eastAsia" w:ascii="仿宋_GB2312" w:hAnsi="仿宋_GB2312" w:eastAsia="仿宋_GB2312"/>
          <w:color w:val="auto"/>
          <w:sz w:val="32"/>
          <w:lang w:val="en-US" w:eastAsia="zh-CN"/>
        </w:rPr>
        <w:t>继续重视灾害防治，保障群众生命安全</w:t>
      </w:r>
      <w:r>
        <w:rPr>
          <w:rFonts w:hint="eastAsia" w:ascii="仿宋_GB2312" w:hAnsi="仿宋_GB2312" w:eastAsia="仿宋_GB2312"/>
          <w:color w:val="auto"/>
          <w:sz w:val="32"/>
        </w:rPr>
        <w:t>。</w:t>
      </w:r>
    </w:p>
    <w:p>
      <w:pPr>
        <w:widowControl w:val="0"/>
        <w:autoSpaceDE w:val="0"/>
        <w:autoSpaceDN w:val="0"/>
        <w:spacing w:line="580" w:lineRule="exact"/>
        <w:ind w:firstLine="600"/>
        <w:rPr>
          <w:rFonts w:hint="eastAsia" w:ascii="仿宋_GB2312" w:hAnsi="仿宋_GB2312" w:eastAsia="仿宋_GB2312"/>
          <w:color w:val="auto"/>
          <w:sz w:val="32"/>
        </w:rPr>
      </w:pPr>
      <w:r>
        <w:rPr>
          <w:rFonts w:hint="eastAsia" w:ascii="仿宋_GB2312" w:hAnsi="仿宋_GB2312" w:eastAsia="仿宋_GB2312"/>
          <w:color w:val="auto"/>
          <w:sz w:val="32"/>
        </w:rPr>
        <w:t>2.抗击新冠肺炎疫情专项项目自评综述：根据年初设定的绩效目标，项目自评得分</w:t>
      </w:r>
      <w:r>
        <w:rPr>
          <w:rFonts w:hint="eastAsia" w:ascii="仿宋_GB2312" w:hAnsi="仿宋_GB2312" w:eastAsia="仿宋_GB2312"/>
          <w:color w:val="auto"/>
          <w:sz w:val="32"/>
          <w:lang w:val="en-US" w:eastAsia="zh-CN"/>
        </w:rPr>
        <w:t>100</w:t>
      </w:r>
      <w:r>
        <w:rPr>
          <w:rFonts w:hint="eastAsia" w:ascii="仿宋_GB2312" w:hAnsi="仿宋_GB2312" w:eastAsia="仿宋_GB2312"/>
          <w:color w:val="auto"/>
          <w:sz w:val="32"/>
        </w:rPr>
        <w:t>分。全年预算数为</w:t>
      </w:r>
      <w:r>
        <w:rPr>
          <w:rFonts w:hint="eastAsia" w:ascii="仿宋_GB2312" w:hAnsi="仿宋_GB2312" w:eastAsia="仿宋_GB2312"/>
          <w:color w:val="auto"/>
          <w:sz w:val="32"/>
          <w:lang w:val="en-US" w:eastAsia="zh-CN"/>
        </w:rPr>
        <w:t>27</w:t>
      </w:r>
      <w:r>
        <w:rPr>
          <w:rFonts w:hint="eastAsia" w:ascii="仿宋_GB2312" w:hAnsi="仿宋_GB2312" w:eastAsia="仿宋_GB2312"/>
          <w:color w:val="auto"/>
          <w:sz w:val="32"/>
        </w:rPr>
        <w:t>万元，执行数为</w:t>
      </w:r>
      <w:r>
        <w:rPr>
          <w:rFonts w:hint="eastAsia" w:ascii="仿宋_GB2312" w:hAnsi="仿宋_GB2312" w:eastAsia="仿宋_GB2312"/>
          <w:color w:val="auto"/>
          <w:sz w:val="32"/>
          <w:lang w:val="en-US" w:eastAsia="zh-CN"/>
        </w:rPr>
        <w:t>27</w:t>
      </w:r>
      <w:r>
        <w:rPr>
          <w:rFonts w:hint="eastAsia" w:ascii="仿宋_GB2312" w:hAnsi="仿宋_GB2312" w:eastAsia="仿宋_GB2312"/>
          <w:color w:val="auto"/>
          <w:sz w:val="32"/>
        </w:rPr>
        <w:t>万元，完成预算的</w:t>
      </w:r>
      <w:r>
        <w:rPr>
          <w:rFonts w:hint="eastAsia" w:ascii="仿宋_GB2312" w:hAnsi="仿宋_GB2312" w:eastAsia="仿宋_GB2312"/>
          <w:color w:val="auto"/>
          <w:sz w:val="32"/>
          <w:lang w:val="en-US" w:eastAsia="zh-CN"/>
        </w:rPr>
        <w:t>100</w:t>
      </w:r>
      <w:r>
        <w:rPr>
          <w:rFonts w:hint="eastAsia" w:ascii="仿宋_GB2312" w:hAnsi="仿宋_GB2312" w:eastAsia="仿宋_GB2312"/>
          <w:color w:val="auto"/>
          <w:sz w:val="32"/>
        </w:rPr>
        <w:t>%。项目绩效目标完成情况：</w:t>
      </w:r>
      <w:r>
        <w:rPr>
          <w:rFonts w:hint="eastAsia" w:ascii="仿宋_GB2312" w:hAnsi="仿宋_GB2312" w:eastAsia="仿宋_GB2312"/>
          <w:color w:val="auto"/>
          <w:sz w:val="32"/>
          <w:lang w:val="en-US" w:eastAsia="zh-CN"/>
        </w:rPr>
        <w:t>抗击突发新冠疫情</w:t>
      </w:r>
      <w:r>
        <w:rPr>
          <w:rFonts w:hint="eastAsia" w:ascii="仿宋_GB2312" w:hAnsi="仿宋_GB2312" w:eastAsia="仿宋_GB2312"/>
          <w:color w:val="auto"/>
          <w:sz w:val="32"/>
        </w:rPr>
        <w:t>。发现的主要问题及原因：</w:t>
      </w:r>
      <w:r>
        <w:rPr>
          <w:rFonts w:hint="eastAsia" w:ascii="仿宋_GB2312" w:hAnsi="仿宋_GB2312" w:eastAsia="仿宋_GB2312"/>
          <w:color w:val="auto"/>
          <w:sz w:val="32"/>
          <w:lang w:val="en-US" w:eastAsia="zh-CN"/>
        </w:rPr>
        <w:t>未发现问题</w:t>
      </w:r>
      <w:r>
        <w:rPr>
          <w:rFonts w:hint="eastAsia" w:ascii="仿宋_GB2312" w:hAnsi="仿宋_GB2312" w:eastAsia="仿宋_GB2312"/>
          <w:color w:val="auto"/>
          <w:sz w:val="32"/>
        </w:rPr>
        <w:t>。下一步改进措施：</w:t>
      </w:r>
      <w:r>
        <w:rPr>
          <w:rFonts w:hint="eastAsia" w:ascii="仿宋_GB2312" w:hAnsi="仿宋_GB2312" w:eastAsia="仿宋_GB2312"/>
          <w:color w:val="auto"/>
          <w:sz w:val="32"/>
          <w:lang w:val="en-US" w:eastAsia="zh-CN"/>
        </w:rPr>
        <w:t>继续重视抗击新冠疫情，保障群众生命安全</w:t>
      </w:r>
      <w:r>
        <w:rPr>
          <w:rFonts w:hint="eastAsia" w:ascii="仿宋_GB2312" w:hAnsi="仿宋_GB2312" w:eastAsia="仿宋_GB2312"/>
          <w:color w:val="auto"/>
          <w:sz w:val="32"/>
        </w:rPr>
        <w:t>。</w:t>
      </w:r>
    </w:p>
    <w:p>
      <w:pPr>
        <w:spacing w:line="580" w:lineRule="exact"/>
        <w:rPr>
          <w:rFonts w:hint="default" w:eastAsia="Times New Roman"/>
          <w:color w:val="auto"/>
          <w:sz w:val="32"/>
        </w:rPr>
      </w:pPr>
    </w:p>
    <w:tbl>
      <w:tblPr>
        <w:tblStyle w:val="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0"/>
        <w:gridCol w:w="960"/>
        <w:gridCol w:w="1"/>
        <w:gridCol w:w="959"/>
        <w:gridCol w:w="960"/>
        <w:gridCol w:w="2"/>
        <w:gridCol w:w="1"/>
        <w:gridCol w:w="957"/>
        <w:gridCol w:w="2"/>
        <w:gridCol w:w="1"/>
        <w:gridCol w:w="957"/>
        <w:gridCol w:w="2"/>
        <w:gridCol w:w="1"/>
        <w:gridCol w:w="957"/>
        <w:gridCol w:w="2"/>
        <w:gridCol w:w="2"/>
        <w:gridCol w:w="956"/>
        <w:gridCol w:w="2"/>
        <w:gridCol w:w="2"/>
        <w:gridCol w:w="956"/>
        <w:gridCol w:w="2"/>
        <w:gridCol w:w="2"/>
        <w:gridCol w:w="1"/>
        <w:gridCol w:w="1"/>
        <w:gridCol w:w="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trHeight w:val="190" w:hRule="atLeast"/>
        </w:trPr>
        <w:tc>
          <w:tcPr>
            <w:tcW w:w="8647" w:type="dxa"/>
            <w:gridSpan w:val="25"/>
            <w:tcBorders>
              <w:top w:val="single" w:color="000000" w:sz="4" w:space="0"/>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24"/>
                <w:lang w:val="en-US" w:eastAsia="zh-CN"/>
              </w:rPr>
            </w:pPr>
            <w:r>
              <w:rPr>
                <w:rFonts w:hint="eastAsia" w:ascii="宋体" w:hAnsi="宋体"/>
                <w:b/>
                <w:color w:val="000000"/>
                <w:sz w:val="24"/>
                <w:lang w:eastAsia="zh-CN"/>
              </w:rPr>
              <w:t>项目支出绩效自评表</w:t>
            </w:r>
            <w:r>
              <w:rPr>
                <w:rFonts w:hint="eastAsia" w:ascii="宋体" w:hAnsi="宋体"/>
                <w:b/>
                <w:color w:val="000000"/>
                <w:sz w:val="24"/>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trHeight w:val="190" w:hRule="atLeast"/>
        </w:trPr>
        <w:tc>
          <w:tcPr>
            <w:tcW w:w="8647" w:type="dxa"/>
            <w:gridSpan w:val="25"/>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21"/>
                <w:lang w:eastAsia="zh-CN"/>
              </w:rPr>
            </w:pPr>
            <w:r>
              <w:rPr>
                <w:rFonts w:hint="eastAsia" w:ascii="宋体" w:hAnsi="宋体"/>
                <w:b/>
                <w:color w:val="000000"/>
                <w:sz w:val="21"/>
                <w:lang w:eastAsia="zh-CN"/>
              </w:rPr>
              <w:t>（ 2020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Before w:w="0" w:type="dxa"/>
          <w:wAfter w:w="0"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项目名称</w:t>
            </w:r>
          </w:p>
        </w:tc>
        <w:tc>
          <w:tcPr>
            <w:tcW w:w="2882" w:type="dxa"/>
            <w:gridSpan w:val="7"/>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22"/>
                <w:lang w:eastAsia="zh-CN"/>
              </w:rPr>
            </w:pPr>
            <w:r>
              <w:rPr>
                <w:rFonts w:hint="eastAsia" w:ascii="宋体" w:hAnsi="宋体"/>
                <w:color w:val="000000"/>
                <w:sz w:val="22"/>
                <w:lang w:val="en-US" w:eastAsia="zh-CN"/>
              </w:rPr>
              <w:t>灾害防治及应急管理</w:t>
            </w:r>
            <w:r>
              <w:rPr>
                <w:rFonts w:hint="eastAsia" w:ascii="宋体" w:hAnsi="宋体"/>
                <w:color w:val="000000"/>
                <w:sz w:val="22"/>
                <w:lang w:eastAsia="zh-CN"/>
              </w:rPr>
              <w:t>项目</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项目负责人及电话</w:t>
            </w:r>
          </w:p>
        </w:tc>
        <w:tc>
          <w:tcPr>
            <w:tcW w:w="2882" w:type="dxa"/>
            <w:gridSpan w:val="10"/>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Before w:w="0" w:type="dxa"/>
          <w:wAfter w:w="0"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主管部门</w:t>
            </w:r>
          </w:p>
        </w:tc>
        <w:tc>
          <w:tcPr>
            <w:tcW w:w="2882" w:type="dxa"/>
            <w:gridSpan w:val="7"/>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实施单位</w:t>
            </w:r>
          </w:p>
        </w:tc>
        <w:tc>
          <w:tcPr>
            <w:tcW w:w="2882" w:type="dxa"/>
            <w:gridSpan w:val="10"/>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Before w:w="0" w:type="dxa"/>
          <w:wAfter w:w="0"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项目预算执行情况 （万元）</w:t>
            </w:r>
          </w:p>
        </w:tc>
        <w:tc>
          <w:tcPr>
            <w:tcW w:w="1921"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全年预算数（A）</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全年执行数（B）</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分值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执行率（B/A)</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Before w:w="0" w:type="dxa"/>
          <w:wAfter w:w="0"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1921"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年度资金总额：</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lang w:val="en-US" w:eastAsia="zh-CN"/>
              </w:rPr>
            </w:pPr>
            <w:r>
              <w:rPr>
                <w:rFonts w:hint="eastAsia"/>
                <w:color w:val="000000"/>
                <w:sz w:val="32"/>
                <w:lang w:val="en-US" w:eastAsia="zh-CN"/>
              </w:rPr>
              <w:t>1.31</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lang w:val="en-US" w:eastAsia="zh-CN"/>
              </w:rPr>
            </w:pPr>
            <w:r>
              <w:rPr>
                <w:rFonts w:hint="eastAsia"/>
                <w:color w:val="000000"/>
                <w:sz w:val="32"/>
                <w:lang w:val="en-US" w:eastAsia="zh-CN"/>
              </w:rPr>
              <w:t>1.31</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rPr>
            </w:pPr>
            <w:r>
              <w:rPr>
                <w:rFonts w:hint="default"/>
                <w:b/>
                <w:color w:val="000000"/>
                <w:sz w:val="13"/>
              </w:rPr>
              <w:t>100%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rPr>
            </w:pPr>
            <w:r>
              <w:rPr>
                <w:rFonts w:hint="default"/>
                <w:b/>
                <w:color w:val="000000"/>
                <w:sz w:val="13"/>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Before w:w="0" w:type="dxa"/>
          <w:wAfter w:w="0"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1921"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其中：财政拨款</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rPr>
            </w:pPr>
            <w:r>
              <w:rPr>
                <w:rFonts w:hint="default"/>
                <w:b/>
                <w:color w:val="000000"/>
                <w:sz w:val="13"/>
              </w:rPr>
              <w:t>-</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rPr>
            </w:pPr>
            <w:r>
              <w:rPr>
                <w:rFonts w:hint="default"/>
                <w:b/>
                <w:color w:val="000000"/>
                <w:sz w:val="13"/>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Before w:w="0" w:type="dxa"/>
          <w:wAfter w:w="0"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1921"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其他资金</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rPr>
            </w:pPr>
            <w:r>
              <w:rPr>
                <w:rFonts w:hint="default"/>
                <w:b/>
                <w:color w:val="000000"/>
                <w:sz w:val="13"/>
              </w:rPr>
              <w:t>-</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rPr>
            </w:pPr>
            <w:r>
              <w:rPr>
                <w:rFonts w:hint="default"/>
                <w:b/>
                <w:color w:val="000000"/>
                <w:sz w:val="13"/>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Before w:w="0" w:type="dxa"/>
          <w:wAfter w:w="0" w:type="dxa"/>
          <w:trHeight w:val="32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年度总体目标完成情况</w:t>
            </w:r>
          </w:p>
        </w:tc>
        <w:tc>
          <w:tcPr>
            <w:tcW w:w="3843" w:type="dxa"/>
            <w:gridSpan w:val="9"/>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预期目标</w:t>
            </w:r>
          </w:p>
        </w:tc>
        <w:tc>
          <w:tcPr>
            <w:tcW w:w="3843" w:type="dxa"/>
            <w:gridSpan w:val="14"/>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目标实际完成情况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3843" w:type="dxa"/>
            <w:gridSpan w:val="9"/>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24"/>
                <w:lang w:val="en-US" w:eastAsia="zh-CN"/>
              </w:rPr>
            </w:pPr>
            <w:r>
              <w:rPr>
                <w:rFonts w:hint="eastAsia" w:ascii="宋体" w:hAnsi="宋体"/>
                <w:color w:val="000000"/>
                <w:sz w:val="24"/>
                <w:lang w:val="en-US" w:eastAsia="zh-CN"/>
              </w:rPr>
              <w:t>抵御洪涝灾害，保障人民生命安全</w:t>
            </w:r>
          </w:p>
        </w:tc>
        <w:tc>
          <w:tcPr>
            <w:tcW w:w="3843" w:type="dxa"/>
            <w:gridSpan w:val="14"/>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24"/>
                <w:lang w:eastAsia="zh-CN"/>
              </w:rPr>
            </w:pPr>
            <w:r>
              <w:rPr>
                <w:rFonts w:hint="eastAsia" w:ascii="宋体" w:hAnsi="宋体"/>
                <w:color w:val="000000"/>
                <w:sz w:val="24"/>
                <w:lang w:val="en-US" w:eastAsia="zh-CN"/>
              </w:rPr>
              <w:t>抵御洪涝灾害，保障人民生命安全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32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绩效指标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一级指标</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二级指标</w:t>
            </w:r>
          </w:p>
        </w:tc>
        <w:tc>
          <w:tcPr>
            <w:tcW w:w="960" w:type="dxa"/>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三级指标</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分值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预期指标值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实际完成指标值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得分</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未完成原因及拟采取的改进措施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产出指标 (50分)</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数量指标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16"/>
                <w:lang w:val="en-US" w:eastAsia="zh-CN"/>
              </w:rPr>
            </w:pPr>
            <w:r>
              <w:rPr>
                <w:rFonts w:hint="eastAsia" w:ascii="宋体" w:hAnsi="宋体"/>
                <w:color w:val="000000"/>
                <w:sz w:val="16"/>
                <w:lang w:val="en-US" w:eastAsia="zh-CN"/>
              </w:rPr>
              <w:t>抵御洪涝灾害</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质量指标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时效指标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成本指标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(30分) 效益指标</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经济效益指标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社会效益指标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16"/>
                <w:lang w:eastAsia="zh-CN"/>
              </w:rPr>
            </w:pPr>
            <w:r>
              <w:rPr>
                <w:rFonts w:hint="eastAsia" w:ascii="宋体" w:hAnsi="宋体"/>
                <w:color w:val="000000"/>
                <w:sz w:val="16"/>
                <w:lang w:val="en-US" w:eastAsia="zh-CN"/>
              </w:rPr>
              <w:t>抵御洪涝灾害</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生态效益指标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可持续影响指标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满意度指标(10分)</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服务对象满意度指标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16"/>
                <w:lang w:eastAsia="zh-CN"/>
              </w:rPr>
            </w:pPr>
            <w:r>
              <w:rPr>
                <w:rFonts w:hint="eastAsia" w:ascii="宋体" w:hAnsi="宋体"/>
                <w:color w:val="000000"/>
                <w:sz w:val="16"/>
                <w:lang w:eastAsia="zh-CN"/>
              </w:rPr>
              <w:t>群众满意度</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Before w:w="0" w:type="dxa"/>
          <w:wAfter w:w="0" w:type="dxa"/>
          <w:trHeight w:val="410" w:hRule="atLeast"/>
        </w:trPr>
        <w:tc>
          <w:tcPr>
            <w:tcW w:w="3843" w:type="dxa"/>
            <w:gridSpan w:val="7"/>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总分</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100</w:t>
            </w:r>
          </w:p>
        </w:tc>
        <w:tc>
          <w:tcPr>
            <w:tcW w:w="1921" w:type="dxa"/>
            <w:gridSpan w:val="6"/>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100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bl>
    <w:p>
      <w:pPr>
        <w:spacing w:line="580" w:lineRule="exact"/>
        <w:ind w:firstLine="600"/>
        <w:rPr>
          <w:rFonts w:hint="eastAsia" w:ascii="仿宋_GB2312" w:hAnsi="仿宋_GB2312" w:eastAsia="仿宋_GB2312"/>
          <w:color w:val="FF0000"/>
          <w:sz w:val="32"/>
        </w:rPr>
      </w:pPr>
    </w:p>
    <w:tbl>
      <w:tblPr>
        <w:tblStyle w:val="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0"/>
        <w:gridCol w:w="960"/>
        <w:gridCol w:w="1"/>
        <w:gridCol w:w="959"/>
        <w:gridCol w:w="960"/>
        <w:gridCol w:w="2"/>
        <w:gridCol w:w="1"/>
        <w:gridCol w:w="957"/>
        <w:gridCol w:w="2"/>
        <w:gridCol w:w="1"/>
        <w:gridCol w:w="957"/>
        <w:gridCol w:w="2"/>
        <w:gridCol w:w="1"/>
        <w:gridCol w:w="957"/>
        <w:gridCol w:w="2"/>
        <w:gridCol w:w="2"/>
        <w:gridCol w:w="956"/>
        <w:gridCol w:w="2"/>
        <w:gridCol w:w="2"/>
        <w:gridCol w:w="956"/>
        <w:gridCol w:w="2"/>
        <w:gridCol w:w="2"/>
        <w:gridCol w:w="1"/>
        <w:gridCol w:w="1"/>
        <w:gridCol w:w="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wBefore w:w="0" w:type="dxa"/>
          <w:wAfter w:w="0" w:type="dxa"/>
          <w:trHeight w:val="190" w:hRule="atLeast"/>
        </w:trPr>
        <w:tc>
          <w:tcPr>
            <w:tcW w:w="8647" w:type="dxa"/>
            <w:gridSpan w:val="25"/>
            <w:tcBorders>
              <w:top w:val="single" w:color="000000" w:sz="4" w:space="0"/>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24"/>
                <w:lang w:val="en-US" w:eastAsia="zh-CN"/>
              </w:rPr>
            </w:pPr>
            <w:r>
              <w:rPr>
                <w:rFonts w:hint="eastAsia" w:ascii="宋体" w:hAnsi="宋体"/>
                <w:b/>
                <w:color w:val="000000"/>
                <w:sz w:val="24"/>
                <w:lang w:eastAsia="zh-CN"/>
              </w:rPr>
              <w:t>项目支出绩效自评表</w:t>
            </w:r>
            <w:r>
              <w:rPr>
                <w:rFonts w:hint="eastAsia" w:ascii="宋体" w:hAnsi="宋体"/>
                <w:b/>
                <w:color w:val="000000"/>
                <w:sz w:val="24"/>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trHeight w:val="190" w:hRule="atLeast"/>
        </w:trPr>
        <w:tc>
          <w:tcPr>
            <w:tcW w:w="8647" w:type="dxa"/>
            <w:gridSpan w:val="25"/>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21"/>
                <w:lang w:eastAsia="zh-CN"/>
              </w:rPr>
            </w:pPr>
            <w:r>
              <w:rPr>
                <w:rFonts w:hint="eastAsia" w:ascii="宋体" w:hAnsi="宋体"/>
                <w:b/>
                <w:color w:val="000000"/>
                <w:sz w:val="21"/>
                <w:lang w:eastAsia="zh-CN"/>
              </w:rPr>
              <w:t>（ 2020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Before w:w="0" w:type="dxa"/>
          <w:wAfter w:w="0"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项目名称</w:t>
            </w:r>
          </w:p>
        </w:tc>
        <w:tc>
          <w:tcPr>
            <w:tcW w:w="2882" w:type="dxa"/>
            <w:gridSpan w:val="7"/>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22"/>
                <w:lang w:eastAsia="zh-CN"/>
              </w:rPr>
            </w:pPr>
            <w:r>
              <w:rPr>
                <w:rFonts w:hint="eastAsia" w:ascii="宋体" w:hAnsi="宋体"/>
                <w:color w:val="000000"/>
                <w:sz w:val="22"/>
                <w:lang w:eastAsia="zh-CN"/>
              </w:rPr>
              <w:t>抗击新冠肺炎疫情专项项目</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项目负责人及电话</w:t>
            </w:r>
          </w:p>
        </w:tc>
        <w:tc>
          <w:tcPr>
            <w:tcW w:w="2882" w:type="dxa"/>
            <w:gridSpan w:val="10"/>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Before w:w="0" w:type="dxa"/>
          <w:wAfter w:w="0"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主管部门</w:t>
            </w:r>
          </w:p>
        </w:tc>
        <w:tc>
          <w:tcPr>
            <w:tcW w:w="2882" w:type="dxa"/>
            <w:gridSpan w:val="7"/>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实施单位</w:t>
            </w:r>
          </w:p>
        </w:tc>
        <w:tc>
          <w:tcPr>
            <w:tcW w:w="2882" w:type="dxa"/>
            <w:gridSpan w:val="10"/>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Before w:w="0" w:type="dxa"/>
          <w:wAfter w:w="0"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项目预算执行情况 （万元）</w:t>
            </w:r>
          </w:p>
        </w:tc>
        <w:tc>
          <w:tcPr>
            <w:tcW w:w="1921"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全年预算数（A）</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全年执行数（B）</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分值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执行率（B/A)</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Before w:w="0" w:type="dxa"/>
          <w:wAfter w:w="0"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1921"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年度资金总额：</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lang w:val="en-US" w:eastAsia="zh-CN"/>
              </w:rPr>
            </w:pPr>
            <w:r>
              <w:rPr>
                <w:rFonts w:hint="eastAsia"/>
                <w:color w:val="000000"/>
                <w:sz w:val="32"/>
                <w:lang w:val="en-US" w:eastAsia="zh-CN"/>
              </w:rPr>
              <w:t>27</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lang w:val="en-US" w:eastAsia="zh-CN"/>
              </w:rPr>
            </w:pPr>
            <w:r>
              <w:rPr>
                <w:rFonts w:hint="eastAsia"/>
                <w:color w:val="000000"/>
                <w:sz w:val="32"/>
                <w:lang w:val="en-US" w:eastAsia="zh-CN"/>
              </w:rPr>
              <w:t>27</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rPr>
            </w:pPr>
            <w:r>
              <w:rPr>
                <w:rFonts w:hint="default"/>
                <w:b/>
                <w:color w:val="000000"/>
                <w:sz w:val="13"/>
              </w:rPr>
              <w:t>100%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rPr>
            </w:pPr>
            <w:r>
              <w:rPr>
                <w:rFonts w:hint="default"/>
                <w:b/>
                <w:color w:val="000000"/>
                <w:sz w:val="13"/>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Before w:w="0" w:type="dxa"/>
          <w:wAfter w:w="0"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1921"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其中：财政拨款</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rPr>
            </w:pPr>
            <w:r>
              <w:rPr>
                <w:rFonts w:hint="default"/>
                <w:b/>
                <w:color w:val="000000"/>
                <w:sz w:val="13"/>
              </w:rPr>
              <w:t>-</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rPr>
            </w:pPr>
            <w:r>
              <w:rPr>
                <w:rFonts w:hint="default"/>
                <w:b/>
                <w:color w:val="000000"/>
                <w:sz w:val="13"/>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Before w:w="0" w:type="dxa"/>
          <w:wAfter w:w="0"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1921"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其他资金</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rPr>
            </w:pPr>
            <w:r>
              <w:rPr>
                <w:rFonts w:hint="default"/>
                <w:b/>
                <w:color w:val="000000"/>
                <w:sz w:val="13"/>
              </w:rPr>
              <w:t>-</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rPr>
            </w:pPr>
            <w:r>
              <w:rPr>
                <w:rFonts w:hint="default"/>
                <w:b/>
                <w:color w:val="000000"/>
                <w:sz w:val="13"/>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Before w:w="0" w:type="dxa"/>
          <w:wAfter w:w="0" w:type="dxa"/>
          <w:trHeight w:val="32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年度总体目标完成情况</w:t>
            </w:r>
          </w:p>
        </w:tc>
        <w:tc>
          <w:tcPr>
            <w:tcW w:w="3843" w:type="dxa"/>
            <w:gridSpan w:val="9"/>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预期目标</w:t>
            </w:r>
          </w:p>
        </w:tc>
        <w:tc>
          <w:tcPr>
            <w:tcW w:w="3843" w:type="dxa"/>
            <w:gridSpan w:val="14"/>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目标实际完成情况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3843" w:type="dxa"/>
            <w:gridSpan w:val="9"/>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24"/>
                <w:lang w:eastAsia="zh-CN"/>
              </w:rPr>
            </w:pPr>
            <w:r>
              <w:rPr>
                <w:rFonts w:hint="eastAsia" w:ascii="宋体" w:hAnsi="宋体"/>
                <w:color w:val="000000"/>
                <w:sz w:val="24"/>
                <w:lang w:eastAsia="zh-CN"/>
              </w:rPr>
              <w:t>抗击新冠肺炎疫情</w:t>
            </w:r>
          </w:p>
        </w:tc>
        <w:tc>
          <w:tcPr>
            <w:tcW w:w="3843" w:type="dxa"/>
            <w:gridSpan w:val="14"/>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24"/>
                <w:lang w:eastAsia="zh-CN"/>
              </w:rPr>
            </w:pPr>
            <w:r>
              <w:rPr>
                <w:rFonts w:hint="eastAsia" w:ascii="宋体" w:hAnsi="宋体"/>
                <w:color w:val="000000"/>
                <w:sz w:val="24"/>
                <w:lang w:eastAsia="zh-CN"/>
              </w:rPr>
              <w:t>抗击新冠肺炎疫情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32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绩效指标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一级指标</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二级指标</w:t>
            </w:r>
          </w:p>
        </w:tc>
        <w:tc>
          <w:tcPr>
            <w:tcW w:w="960" w:type="dxa"/>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三级指标</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分值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预期指标值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实际完成指标值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得分</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未完成原因及拟采取的改进措施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产出指标 (50分)</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数量指标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16"/>
                <w:lang w:eastAsia="zh-CN"/>
              </w:rPr>
            </w:pPr>
            <w:r>
              <w:rPr>
                <w:rFonts w:hint="eastAsia" w:ascii="宋体" w:hAnsi="宋体"/>
                <w:color w:val="000000"/>
                <w:sz w:val="16"/>
                <w:lang w:eastAsia="zh-CN"/>
              </w:rPr>
              <w:t>抗击新冠肺炎疫情</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质量指标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时效指标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成本指标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(30分) 效益指标</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经济效益指标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社会效益指标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16"/>
                <w:lang w:eastAsia="zh-CN"/>
              </w:rPr>
            </w:pPr>
            <w:r>
              <w:rPr>
                <w:rFonts w:hint="eastAsia" w:ascii="宋体" w:hAnsi="宋体"/>
                <w:color w:val="000000"/>
                <w:sz w:val="16"/>
                <w:lang w:eastAsia="zh-CN"/>
              </w:rPr>
              <w:t>抗击新冠肺炎疫情</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生态效益指标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可持续影响指标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Before w:w="0" w:type="dxa"/>
          <w:wAfter w:w="0"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满意度指标(10分)</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服务对象满意度指标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16"/>
                <w:lang w:eastAsia="zh-CN"/>
              </w:rPr>
            </w:pPr>
            <w:r>
              <w:rPr>
                <w:rFonts w:hint="eastAsia" w:ascii="宋体" w:hAnsi="宋体"/>
                <w:color w:val="000000"/>
                <w:sz w:val="16"/>
                <w:lang w:eastAsia="zh-CN"/>
              </w:rPr>
              <w:t>群众满意度</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Before w:w="0" w:type="dxa"/>
          <w:wAfter w:w="0" w:type="dxa"/>
          <w:trHeight w:val="410" w:hRule="atLeast"/>
        </w:trPr>
        <w:tc>
          <w:tcPr>
            <w:tcW w:w="3843" w:type="dxa"/>
            <w:gridSpan w:val="7"/>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总分</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lang w:eastAsia="zh-CN"/>
              </w:rPr>
            </w:pPr>
            <w:r>
              <w:rPr>
                <w:rFonts w:hint="eastAsia" w:ascii="宋体" w:hAnsi="宋体"/>
                <w:b/>
                <w:color w:val="000000"/>
                <w:sz w:val="13"/>
                <w:lang w:eastAsia="zh-CN"/>
              </w:rPr>
              <w:t>100</w:t>
            </w:r>
          </w:p>
        </w:tc>
        <w:tc>
          <w:tcPr>
            <w:tcW w:w="1921" w:type="dxa"/>
            <w:gridSpan w:val="6"/>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r>
              <w:rPr>
                <w:rFonts w:hint="default"/>
                <w:color w:val="000000"/>
                <w:sz w:val="32"/>
              </w:rPr>
              <w:t>100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rPr>
            </w:pPr>
          </w:p>
        </w:tc>
      </w:tr>
    </w:tbl>
    <w:p>
      <w:pPr>
        <w:spacing w:line="580" w:lineRule="exact"/>
        <w:ind w:firstLine="600"/>
        <w:rPr>
          <w:rFonts w:hint="eastAsia" w:ascii="仿宋_GB2312" w:hAnsi="仿宋_GB2312" w:eastAsia="仿宋_GB2312"/>
          <w:color w:val="FF0000"/>
          <w:sz w:val="32"/>
        </w:rPr>
      </w:pPr>
    </w:p>
    <w:p>
      <w:pPr>
        <w:spacing w:line="580" w:lineRule="exact"/>
        <w:ind w:firstLine="600"/>
        <w:rPr>
          <w:rFonts w:hint="eastAsia" w:ascii="仿宋_GB2312" w:hAnsi="仿宋_GB2312" w:eastAsia="仿宋_GB2312"/>
          <w:b/>
          <w:color w:val="FF0000"/>
          <w:sz w:val="32"/>
        </w:rPr>
      </w:pPr>
      <w:r>
        <w:rPr>
          <w:rFonts w:hint="eastAsia" w:ascii="仿宋_GB2312" w:hAnsi="仿宋_GB2312" w:eastAsia="仿宋_GB2312"/>
          <w:b/>
          <w:color w:val="000000"/>
          <w:sz w:val="32"/>
        </w:rPr>
        <w:t>（三）部门评价项目绩效评价结果。</w:t>
      </w:r>
    </w:p>
    <w:p>
      <w:pPr>
        <w:widowControl w:val="0"/>
        <w:autoSpaceDE w:val="0"/>
        <w:autoSpaceDN w:val="0"/>
        <w:spacing w:line="580" w:lineRule="exact"/>
        <w:ind w:firstLine="600"/>
        <w:rPr>
          <w:rFonts w:hint="eastAsia" w:ascii="仿宋_GB2312" w:hAnsi="仿宋_GB2312" w:eastAsia="仿宋_GB2312"/>
          <w:b/>
          <w:color w:val="FF0000"/>
          <w:sz w:val="32"/>
        </w:rPr>
      </w:pPr>
      <w:r>
        <w:rPr>
          <w:rFonts w:hint="eastAsia" w:ascii="仿宋_GB2312" w:hAnsi="仿宋_GB2312" w:eastAsia="仿宋_GB2312"/>
          <w:color w:val="auto"/>
          <w:sz w:val="32"/>
        </w:rPr>
        <w:t>“</w:t>
      </w:r>
      <w:r>
        <w:rPr>
          <w:rFonts w:hint="eastAsia" w:ascii="仿宋_GB2312" w:hAnsi="仿宋_GB2312" w:eastAsia="仿宋_GB2312"/>
          <w:color w:val="auto"/>
          <w:sz w:val="32"/>
          <w:lang w:eastAsia="zh-CN"/>
        </w:rPr>
        <w:t>抗击新冠肺炎疫情专项项目</w:t>
      </w:r>
      <w:r>
        <w:rPr>
          <w:rFonts w:hint="eastAsia" w:ascii="仿宋_GB2312" w:hAnsi="仿宋_GB2312" w:eastAsia="仿宋_GB2312"/>
          <w:color w:val="auto"/>
          <w:sz w:val="32"/>
        </w:rPr>
        <w:t>”</w:t>
      </w:r>
      <w:r>
        <w:rPr>
          <w:rFonts w:hint="eastAsia" w:ascii="仿宋_GB2312" w:hAnsi="仿宋_GB2312" w:eastAsia="仿宋_GB2312"/>
          <w:color w:val="auto"/>
          <w:sz w:val="32"/>
          <w:lang w:eastAsia="zh-CN"/>
        </w:rPr>
        <w:t>，</w:t>
      </w:r>
      <w:r>
        <w:rPr>
          <w:rFonts w:hint="eastAsia" w:ascii="仿宋_GB2312" w:hAnsi="仿宋_GB2312" w:eastAsia="仿宋_GB2312"/>
          <w:color w:val="auto"/>
          <w:sz w:val="32"/>
        </w:rPr>
        <w:t>该项目绩效评价综合得分为</w:t>
      </w:r>
      <w:r>
        <w:rPr>
          <w:rFonts w:hint="eastAsia" w:ascii="仿宋_GB2312" w:hAnsi="仿宋_GB2312" w:eastAsia="仿宋_GB2312"/>
          <w:color w:val="auto"/>
          <w:sz w:val="32"/>
          <w:lang w:val="en-US" w:eastAsia="zh-CN"/>
        </w:rPr>
        <w:t>100</w:t>
      </w:r>
      <w:r>
        <w:rPr>
          <w:rFonts w:hint="eastAsia" w:ascii="仿宋_GB2312" w:hAnsi="仿宋_GB2312" w:eastAsia="仿宋_GB2312"/>
          <w:color w:val="auto"/>
          <w:sz w:val="32"/>
        </w:rPr>
        <w:t>分，绩效评价结果为“优”。重点项目绩效评价得分情况详见部门（单位）具体绩效评价结果。</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四、其他重要事项的情况说明</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（一）机关运行经费支出情况</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本部门2020年度机关运行经费支出</w:t>
      </w:r>
      <w:r>
        <w:rPr>
          <w:rFonts w:hint="eastAsia" w:ascii="仿宋_GB2312" w:hAnsi="仿宋_GB2312" w:eastAsia="仿宋_GB2312"/>
          <w:color w:val="auto"/>
          <w:sz w:val="32"/>
          <w:lang w:val="en-US" w:eastAsia="zh-CN"/>
        </w:rPr>
        <w:t>152.86</w:t>
      </w:r>
      <w:r>
        <w:rPr>
          <w:rFonts w:hint="eastAsia" w:ascii="仿宋_GB2312" w:hAnsi="仿宋_GB2312" w:eastAsia="仿宋_GB2312"/>
          <w:color w:val="auto"/>
          <w:sz w:val="32"/>
        </w:rPr>
        <w:t>万元，比2019年增加</w:t>
      </w:r>
      <w:r>
        <w:rPr>
          <w:rFonts w:hint="eastAsia" w:ascii="仿宋_GB2312" w:hAnsi="仿宋_GB2312" w:eastAsia="仿宋_GB2312"/>
          <w:color w:val="auto"/>
          <w:sz w:val="32"/>
          <w:lang w:val="en-US" w:eastAsia="zh-CN"/>
        </w:rPr>
        <w:t>31.47</w:t>
      </w:r>
      <w:r>
        <w:rPr>
          <w:rFonts w:hint="eastAsia" w:ascii="仿宋_GB2312" w:hAnsi="仿宋_GB2312" w:eastAsia="仿宋_GB2312"/>
          <w:color w:val="auto"/>
          <w:sz w:val="32"/>
        </w:rPr>
        <w:t>万元，增长</w:t>
      </w:r>
      <w:r>
        <w:rPr>
          <w:rFonts w:hint="eastAsia" w:ascii="仿宋_GB2312" w:hAnsi="仿宋_GB2312" w:eastAsia="仿宋_GB2312"/>
          <w:color w:val="auto"/>
          <w:sz w:val="32"/>
          <w:lang w:val="en-US" w:eastAsia="zh-CN"/>
        </w:rPr>
        <w:t>25.9</w:t>
      </w:r>
      <w:r>
        <w:rPr>
          <w:rFonts w:hint="eastAsia" w:ascii="仿宋_GB2312" w:hAnsi="仿宋_GB2312" w:eastAsia="仿宋_GB2312"/>
          <w:color w:val="auto"/>
          <w:sz w:val="32"/>
        </w:rPr>
        <w:t>%。主要原因是：</w:t>
      </w:r>
      <w:r>
        <w:rPr>
          <w:rFonts w:hint="eastAsia" w:ascii="仿宋_GB2312" w:hAnsi="仿宋_GB2312" w:eastAsia="仿宋_GB2312"/>
          <w:color w:val="auto"/>
          <w:sz w:val="32"/>
          <w:lang w:val="en-US" w:eastAsia="zh-CN"/>
        </w:rPr>
        <w:t>本年发生了疫情防控支出</w:t>
      </w:r>
      <w:r>
        <w:rPr>
          <w:rFonts w:hint="eastAsia" w:ascii="仿宋_GB2312" w:hAnsi="仿宋_GB2312" w:eastAsia="仿宋_GB2312"/>
          <w:color w:val="auto"/>
          <w:sz w:val="32"/>
        </w:rPr>
        <w:t>。</w:t>
      </w:r>
    </w:p>
    <w:p>
      <w:pPr>
        <w:spacing w:line="580" w:lineRule="exact"/>
        <w:ind w:firstLine="320" w:firstLineChars="100"/>
        <w:rPr>
          <w:rFonts w:hint="eastAsia" w:ascii="仿宋_GB2312" w:hAnsi="仿宋_GB2312" w:eastAsia="仿宋_GB2312"/>
          <w:color w:val="auto"/>
          <w:sz w:val="32"/>
        </w:rPr>
      </w:pPr>
    </w:p>
    <w:p>
      <w:pPr>
        <w:spacing w:line="580" w:lineRule="exact"/>
        <w:ind w:firstLine="320" w:firstLineChars="100"/>
        <w:rPr>
          <w:rFonts w:hint="eastAsia" w:ascii="仿宋_GB2312" w:hAnsi="仿宋_GB2312" w:eastAsia="仿宋_GB2312"/>
          <w:color w:val="auto"/>
          <w:sz w:val="32"/>
        </w:rPr>
      </w:pPr>
    </w:p>
    <w:p>
      <w:pPr>
        <w:spacing w:line="580" w:lineRule="exact"/>
        <w:ind w:firstLine="640" w:firstLineChars="200"/>
        <w:rPr>
          <w:rFonts w:hint="default" w:eastAsia="Times New Roman"/>
          <w:color w:val="auto"/>
          <w:sz w:val="32"/>
        </w:rPr>
      </w:pPr>
      <w:r>
        <w:rPr>
          <w:rFonts w:hint="eastAsia" w:ascii="仿宋_GB2312" w:hAnsi="仿宋_GB2312" w:eastAsia="仿宋_GB2312"/>
          <w:color w:val="auto"/>
          <w:sz w:val="32"/>
        </w:rPr>
        <w:t>（二）政府采购支出情况</w:t>
      </w:r>
    </w:p>
    <w:p>
      <w:pPr>
        <w:widowControl w:val="0"/>
        <w:autoSpaceDE w:val="0"/>
        <w:autoSpaceDN w:val="0"/>
        <w:spacing w:line="580" w:lineRule="exact"/>
        <w:ind w:firstLine="600"/>
        <w:rPr>
          <w:rFonts w:hint="default" w:eastAsia="Times New Roman"/>
          <w:color w:val="auto"/>
          <w:sz w:val="32"/>
        </w:rPr>
      </w:pPr>
      <w:r>
        <w:rPr>
          <w:rFonts w:hint="eastAsia" w:ascii="仿宋_GB2312" w:hAnsi="仿宋_GB2312" w:eastAsia="仿宋_GB2312"/>
          <w:color w:val="auto"/>
          <w:sz w:val="32"/>
        </w:rPr>
        <w:t>本部门2020年度政府采购支出合计0万元，其中：政府采购货物支出0万元，比2019年减少49.95万元，降低100%，主要原因是：</w:t>
      </w:r>
      <w:r>
        <w:rPr>
          <w:rFonts w:hint="eastAsia" w:ascii="仿宋_GB2312" w:hAnsi="仿宋_GB2312" w:eastAsia="仿宋_GB2312"/>
          <w:color w:val="auto"/>
          <w:sz w:val="32"/>
          <w:lang w:val="en-US" w:eastAsia="zh-CN"/>
        </w:rPr>
        <w:t>本年度未发生政府采购支出</w:t>
      </w:r>
      <w:r>
        <w:rPr>
          <w:rFonts w:hint="eastAsia" w:ascii="仿宋_GB2312" w:hAnsi="仿宋_GB2312" w:eastAsia="仿宋_GB2312"/>
          <w:color w:val="auto"/>
          <w:sz w:val="32"/>
        </w:rPr>
        <w:t>；政府采购工程支出0万元，比2019年增加0万元，增长0%，主要原因是：</w:t>
      </w:r>
      <w:r>
        <w:rPr>
          <w:rFonts w:hint="eastAsia" w:ascii="仿宋_GB2312" w:hAnsi="仿宋_GB2312" w:eastAsia="仿宋_GB2312"/>
          <w:color w:val="auto"/>
          <w:sz w:val="32"/>
          <w:lang w:val="en-US" w:eastAsia="zh-CN"/>
        </w:rPr>
        <w:t>本年度未发生政府采购支出</w:t>
      </w:r>
      <w:r>
        <w:rPr>
          <w:rFonts w:hint="eastAsia" w:ascii="仿宋_GB2312" w:hAnsi="仿宋_GB2312" w:eastAsia="仿宋_GB2312"/>
          <w:color w:val="auto"/>
          <w:sz w:val="32"/>
        </w:rPr>
        <w:t>；政府采购服务支出0万元，比2019年增加0万元，增长0%，主要原因是：</w:t>
      </w:r>
      <w:r>
        <w:rPr>
          <w:rFonts w:hint="eastAsia" w:ascii="仿宋_GB2312" w:hAnsi="仿宋_GB2312" w:eastAsia="仿宋_GB2312"/>
          <w:color w:val="auto"/>
          <w:sz w:val="32"/>
          <w:lang w:val="en-US" w:eastAsia="zh-CN"/>
        </w:rPr>
        <w:t>本年度未发生政府采购支出</w:t>
      </w:r>
      <w:r>
        <w:rPr>
          <w:rFonts w:hint="eastAsia" w:ascii="仿宋_GB2312" w:hAnsi="仿宋_GB2312" w:eastAsia="仿宋_GB2312"/>
          <w:color w:val="auto"/>
          <w:sz w:val="32"/>
        </w:rPr>
        <w:t>。授予中小企业合同金额0万元，占政府采购支出合同总额的</w:t>
      </w:r>
      <w:r>
        <w:rPr>
          <w:rFonts w:hint="eastAsia" w:ascii="仿宋_GB2312" w:hAnsi="仿宋_GB2312" w:eastAsia="仿宋_GB2312"/>
          <w:color w:val="auto"/>
          <w:sz w:val="32"/>
          <w:lang w:val="en-US" w:eastAsia="zh-CN"/>
        </w:rPr>
        <w:t>0</w:t>
      </w:r>
      <w:r>
        <w:rPr>
          <w:rFonts w:hint="eastAsia" w:ascii="仿宋_GB2312" w:hAnsi="仿宋_GB2312" w:eastAsia="仿宋_GB2312"/>
          <w:color w:val="auto"/>
          <w:sz w:val="32"/>
        </w:rPr>
        <w:t>%。其中：授予小微企业合同金额0万元，占政府采购支出合同总额的</w:t>
      </w:r>
      <w:r>
        <w:rPr>
          <w:rFonts w:hint="eastAsia" w:ascii="仿宋_GB2312" w:hAnsi="仿宋_GB2312" w:eastAsia="仿宋_GB2312"/>
          <w:color w:val="auto"/>
          <w:sz w:val="32"/>
          <w:lang w:val="en-US" w:eastAsia="zh-CN"/>
        </w:rPr>
        <w:t>0</w:t>
      </w:r>
      <w:r>
        <w:rPr>
          <w:rFonts w:hint="eastAsia" w:ascii="仿宋_GB2312" w:hAnsi="仿宋_GB2312" w:eastAsia="仿宋_GB2312"/>
          <w:color w:val="auto"/>
          <w:sz w:val="32"/>
        </w:rPr>
        <w:t>%。</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（三）国有资产占用情况</w:t>
      </w:r>
    </w:p>
    <w:p>
      <w:pPr>
        <w:spacing w:line="580" w:lineRule="exact"/>
        <w:ind w:firstLine="600"/>
        <w:rPr>
          <w:rFonts w:hint="eastAsia" w:ascii="仿宋_GB2312" w:hAnsi="仿宋_GB2312" w:eastAsia="仿宋_GB2312"/>
          <w:color w:val="auto"/>
          <w:sz w:val="32"/>
        </w:rPr>
      </w:pPr>
      <w:r>
        <w:rPr>
          <w:rFonts w:hint="eastAsia" w:ascii="仿宋_GB2312" w:hAnsi="仿宋_GB2312" w:eastAsia="仿宋_GB2312"/>
          <w:color w:val="auto"/>
          <w:sz w:val="32"/>
        </w:rPr>
        <w:t>截至2020年12月31日，本部门共有车辆4辆，其中，机要通信用车4辆，主要用于：保障</w:t>
      </w:r>
      <w:r>
        <w:rPr>
          <w:rFonts w:hint="eastAsia" w:ascii="仿宋_GB2312" w:hAnsi="仿宋_GB2312" w:eastAsia="仿宋_GB2312"/>
          <w:color w:val="auto"/>
          <w:sz w:val="32"/>
          <w:lang w:val="en-US" w:eastAsia="zh-CN"/>
        </w:rPr>
        <w:t>日常</w:t>
      </w:r>
      <w:r>
        <w:rPr>
          <w:rFonts w:hint="eastAsia" w:ascii="仿宋_GB2312" w:hAnsi="仿宋_GB2312" w:eastAsia="仿宋_GB2312"/>
          <w:color w:val="auto"/>
          <w:sz w:val="32"/>
        </w:rPr>
        <w:t>工作需要的公务出行。</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单位价值50万元以上通用设备0台，比2019年增加0台，主要原因是</w:t>
      </w:r>
      <w:r>
        <w:rPr>
          <w:rFonts w:hint="eastAsia" w:ascii="仿宋_GB2312" w:hAnsi="仿宋_GB2312" w:eastAsia="仿宋_GB2312"/>
          <w:color w:val="auto"/>
          <w:sz w:val="32"/>
          <w:lang w:val="en-US" w:eastAsia="zh-CN"/>
        </w:rPr>
        <w:t>本</w:t>
      </w:r>
      <w:r>
        <w:rPr>
          <w:rFonts w:hint="eastAsia" w:ascii="仿宋_GB2312" w:hAnsi="仿宋_GB2312" w:eastAsia="仿宋_GB2312"/>
          <w:color w:val="auto"/>
          <w:sz w:val="32"/>
        </w:rPr>
        <w:t>单位</w:t>
      </w:r>
      <w:r>
        <w:rPr>
          <w:rFonts w:hint="eastAsia" w:ascii="仿宋_GB2312" w:hAnsi="仿宋_GB2312" w:eastAsia="仿宋_GB2312"/>
          <w:color w:val="auto"/>
          <w:sz w:val="32"/>
          <w:lang w:val="en-US" w:eastAsia="zh-CN"/>
        </w:rPr>
        <w:t>无</w:t>
      </w:r>
      <w:r>
        <w:rPr>
          <w:rFonts w:hint="eastAsia" w:ascii="仿宋_GB2312" w:hAnsi="仿宋_GB2312" w:eastAsia="仿宋_GB2312"/>
          <w:color w:val="auto"/>
          <w:sz w:val="32"/>
        </w:rPr>
        <w:t>价值50万元以上通用设备;单位价值100万元以上专用设备0台，比2019年增加0台，主要原因是</w:t>
      </w:r>
      <w:r>
        <w:rPr>
          <w:rFonts w:hint="eastAsia" w:ascii="仿宋_GB2312" w:hAnsi="仿宋_GB2312" w:eastAsia="仿宋_GB2312"/>
          <w:color w:val="auto"/>
          <w:sz w:val="32"/>
          <w:lang w:val="en-US" w:eastAsia="zh-CN"/>
        </w:rPr>
        <w:t>本</w:t>
      </w:r>
      <w:r>
        <w:rPr>
          <w:rFonts w:hint="eastAsia" w:ascii="仿宋_GB2312" w:hAnsi="仿宋_GB2312" w:eastAsia="仿宋_GB2312"/>
          <w:color w:val="auto"/>
          <w:sz w:val="32"/>
        </w:rPr>
        <w:t>单位</w:t>
      </w:r>
      <w:r>
        <w:rPr>
          <w:rFonts w:hint="eastAsia" w:ascii="仿宋_GB2312" w:hAnsi="仿宋_GB2312" w:eastAsia="仿宋_GB2312"/>
          <w:color w:val="auto"/>
          <w:sz w:val="32"/>
          <w:lang w:val="en-US" w:eastAsia="zh-CN"/>
        </w:rPr>
        <w:t>无</w:t>
      </w:r>
      <w:r>
        <w:rPr>
          <w:rFonts w:hint="eastAsia" w:ascii="仿宋_GB2312" w:hAnsi="仿宋_GB2312" w:eastAsia="仿宋_GB2312"/>
          <w:color w:val="auto"/>
          <w:sz w:val="32"/>
        </w:rPr>
        <w:t>价值</w:t>
      </w:r>
      <w:r>
        <w:rPr>
          <w:rFonts w:hint="eastAsia" w:ascii="仿宋_GB2312" w:hAnsi="仿宋_GB2312" w:eastAsia="仿宋_GB2312"/>
          <w:color w:val="auto"/>
          <w:sz w:val="32"/>
          <w:lang w:val="en-US" w:eastAsia="zh-CN"/>
        </w:rPr>
        <w:t>100</w:t>
      </w:r>
      <w:r>
        <w:rPr>
          <w:rFonts w:hint="eastAsia" w:ascii="仿宋_GB2312" w:hAnsi="仿宋_GB2312" w:eastAsia="仿宋_GB2312"/>
          <w:color w:val="auto"/>
          <w:sz w:val="32"/>
        </w:rPr>
        <w:t>元以上通用设备</w:t>
      </w:r>
      <w:r>
        <w:rPr>
          <w:rFonts w:hint="eastAsia" w:ascii="仿宋_GB2312" w:hAnsi="仿宋_GB2312" w:eastAsia="仿宋_GB2312"/>
          <w:color w:val="auto"/>
          <w:sz w:val="32"/>
          <w:lang w:eastAsia="zh-CN"/>
        </w:rPr>
        <w:t>。</w:t>
      </w:r>
    </w:p>
    <w:p>
      <w:pPr>
        <w:spacing w:line="580" w:lineRule="exact"/>
        <w:ind w:firstLine="600"/>
        <w:rPr>
          <w:rFonts w:hint="default" w:eastAsia="Times New Roman"/>
          <w:b/>
          <w:color w:val="auto"/>
          <w:sz w:val="32"/>
        </w:rPr>
      </w:pPr>
      <w:r>
        <w:rPr>
          <w:rFonts w:hint="eastAsia" w:ascii="仿宋_GB2312" w:hAnsi="仿宋_GB2312" w:eastAsia="仿宋_GB2312"/>
          <w:b/>
          <w:color w:val="auto"/>
          <w:sz w:val="32"/>
        </w:rPr>
        <w:t>第三部分 名词解释</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（一）财政拨款收入：指本年度从本级财政部门取得的财政拨款，包括一般公共预算财政拨款、政府性基金预算财政拨款和国有资本经营预算财政拨款。</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（二）事业收入：指事业单位开展专业业务活动及其辅助活动取得的收入；事业单位收到的财政专户实际核拨的教育收费等资金。</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（三）经营收入：指事业单位在专业业务活动及其辅助活动之外开展非独立核算经营活动取得的收入。</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（五）使用非财政拨款结余：指事业单位使用以前年度积累的非财政拨款结余弥补当年收支差额的金额。</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（六）年初结转和结余：</w:t>
      </w:r>
      <w:r>
        <w:rPr>
          <w:rFonts w:hint="eastAsia" w:ascii="仿宋_GB2312" w:hAnsi="仿宋_GB2312" w:eastAsia="仿宋_GB2312"/>
          <w:color w:val="auto"/>
          <w:sz w:val="32"/>
          <w:highlight w:val="white"/>
        </w:rPr>
        <w:t>指以前年度支出预算因客观条件变化未执行完毕、结转到本年度按有关规定继续使用的资金。</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（七）结余分配</w:t>
      </w:r>
      <w:r>
        <w:rPr>
          <w:rFonts w:hint="eastAsia" w:ascii="仿宋_GB2312" w:hAnsi="仿宋_GB2312" w:eastAsia="仿宋_GB2312"/>
          <w:color w:val="auto"/>
          <w:sz w:val="32"/>
          <w:highlight w:val="white"/>
        </w:rPr>
        <w:t>：指事业单位按照会计制度规定缴纳的所得税以及从非财政拨款结余中提取的职工福利基金、事业基金等。</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（八）年末结转和结余</w:t>
      </w:r>
      <w:r>
        <w:rPr>
          <w:rFonts w:hint="eastAsia" w:ascii="仿宋_GB2312" w:hAnsi="仿宋_GB2312" w:eastAsia="仿宋_GB2312"/>
          <w:color w:val="auto"/>
          <w:sz w:val="32"/>
          <w:highlight w:val="white"/>
        </w:rPr>
        <w:t>：指单位本年度或以前年度预算安排、因客观条件发生变化未全部执行或未执行，结转到以后年度继续使用的资金，或项目已完成等产生的结余资金。</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（九）基本支出：指为保障机构正常运转、完成日常工作任务而发生的人员经费和公用经费。其中：人员经费指政府收支分类经济科目中的</w:t>
      </w:r>
      <w:r>
        <w:rPr>
          <w:rFonts w:hint="default" w:eastAsia="Times New Roman"/>
          <w:color w:val="auto"/>
          <w:sz w:val="32"/>
        </w:rPr>
        <w:t>“</w:t>
      </w:r>
      <w:r>
        <w:rPr>
          <w:rFonts w:hint="eastAsia" w:ascii="仿宋_GB2312" w:hAnsi="仿宋_GB2312" w:eastAsia="仿宋_GB2312"/>
          <w:color w:val="auto"/>
          <w:sz w:val="32"/>
        </w:rPr>
        <w:t>工资福利支出</w:t>
      </w:r>
      <w:r>
        <w:rPr>
          <w:rFonts w:hint="default" w:eastAsia="Times New Roman"/>
          <w:color w:val="auto"/>
          <w:sz w:val="32"/>
        </w:rPr>
        <w:t>”</w:t>
      </w:r>
      <w:r>
        <w:rPr>
          <w:rFonts w:hint="eastAsia" w:ascii="仿宋_GB2312" w:hAnsi="仿宋_GB2312" w:eastAsia="仿宋_GB2312"/>
          <w:color w:val="auto"/>
          <w:sz w:val="32"/>
        </w:rPr>
        <w:t>和</w:t>
      </w:r>
      <w:r>
        <w:rPr>
          <w:rFonts w:hint="default" w:eastAsia="Times New Roman"/>
          <w:color w:val="auto"/>
          <w:sz w:val="32"/>
        </w:rPr>
        <w:t>“</w:t>
      </w:r>
      <w:r>
        <w:rPr>
          <w:rFonts w:hint="eastAsia" w:ascii="仿宋_GB2312" w:hAnsi="仿宋_GB2312" w:eastAsia="仿宋_GB2312"/>
          <w:color w:val="auto"/>
          <w:sz w:val="32"/>
        </w:rPr>
        <w:t>对个人和家庭的补助</w:t>
      </w:r>
      <w:r>
        <w:rPr>
          <w:rFonts w:hint="default" w:eastAsia="Times New Roman"/>
          <w:color w:val="auto"/>
          <w:sz w:val="32"/>
        </w:rPr>
        <w:t>”</w:t>
      </w:r>
      <w:r>
        <w:rPr>
          <w:rFonts w:hint="eastAsia" w:ascii="仿宋_GB2312" w:hAnsi="仿宋_GB2312" w:eastAsia="仿宋_GB2312"/>
          <w:color w:val="auto"/>
          <w:sz w:val="32"/>
        </w:rPr>
        <w:t>；公用经费指政府收支分类经济科目中除</w:t>
      </w:r>
      <w:r>
        <w:rPr>
          <w:rFonts w:hint="default" w:eastAsia="Times New Roman"/>
          <w:color w:val="auto"/>
          <w:sz w:val="32"/>
        </w:rPr>
        <w:t>“</w:t>
      </w:r>
      <w:r>
        <w:rPr>
          <w:rFonts w:hint="eastAsia" w:ascii="仿宋_GB2312" w:hAnsi="仿宋_GB2312" w:eastAsia="仿宋_GB2312"/>
          <w:color w:val="auto"/>
          <w:sz w:val="32"/>
        </w:rPr>
        <w:t>工资福利支出</w:t>
      </w:r>
      <w:r>
        <w:rPr>
          <w:rFonts w:hint="default" w:eastAsia="Times New Roman"/>
          <w:color w:val="auto"/>
          <w:sz w:val="32"/>
        </w:rPr>
        <w:t>”</w:t>
      </w:r>
      <w:r>
        <w:rPr>
          <w:rFonts w:hint="eastAsia" w:ascii="仿宋_GB2312" w:hAnsi="仿宋_GB2312" w:eastAsia="仿宋_GB2312"/>
          <w:color w:val="auto"/>
          <w:sz w:val="32"/>
        </w:rPr>
        <w:t>和</w:t>
      </w:r>
      <w:r>
        <w:rPr>
          <w:rFonts w:hint="default" w:eastAsia="Times New Roman"/>
          <w:color w:val="auto"/>
          <w:sz w:val="32"/>
        </w:rPr>
        <w:t>“</w:t>
      </w:r>
      <w:r>
        <w:rPr>
          <w:rFonts w:hint="eastAsia" w:ascii="仿宋_GB2312" w:hAnsi="仿宋_GB2312" w:eastAsia="仿宋_GB2312"/>
          <w:color w:val="auto"/>
          <w:sz w:val="32"/>
        </w:rPr>
        <w:t>对个人和家庭的补助</w:t>
      </w:r>
      <w:r>
        <w:rPr>
          <w:rFonts w:hint="default" w:eastAsia="Times New Roman"/>
          <w:color w:val="auto"/>
          <w:sz w:val="32"/>
        </w:rPr>
        <w:t>”</w:t>
      </w:r>
      <w:r>
        <w:rPr>
          <w:rFonts w:hint="eastAsia" w:ascii="仿宋_GB2312" w:hAnsi="仿宋_GB2312" w:eastAsia="仿宋_GB2312"/>
          <w:color w:val="auto"/>
          <w:sz w:val="32"/>
        </w:rPr>
        <w:t>外的其他支出。</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（十）项目支出：指在基本支出之外为完成特定任务和事业发展目标所发生的支出。</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（十一）经营支出：指事业单位在专业业务活动及其辅助活动之外开展非独立核算经营活动发生的支出。</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（十二）</w:t>
      </w:r>
      <w:r>
        <w:rPr>
          <w:rFonts w:hint="default" w:eastAsia="Times New Roman"/>
          <w:color w:val="auto"/>
          <w:sz w:val="32"/>
        </w:rPr>
        <w:t>“</w:t>
      </w:r>
      <w:r>
        <w:rPr>
          <w:rFonts w:hint="eastAsia" w:ascii="仿宋_GB2312" w:hAnsi="仿宋_GB2312" w:eastAsia="仿宋_GB2312"/>
          <w:color w:val="auto"/>
          <w:sz w:val="32"/>
        </w:rPr>
        <w:t>三公</w:t>
      </w:r>
      <w:r>
        <w:rPr>
          <w:rFonts w:hint="default" w:eastAsia="Times New Roman"/>
          <w:color w:val="auto"/>
          <w:sz w:val="32"/>
        </w:rPr>
        <w:t>”</w:t>
      </w:r>
      <w:r>
        <w:rPr>
          <w:rFonts w:hint="eastAsia" w:ascii="仿宋_GB2312" w:hAnsi="仿宋_GB2312" w:eastAsia="仿宋_GB2312"/>
          <w:color w:val="auto"/>
          <w:sz w:val="32"/>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spacing w:line="580" w:lineRule="exact"/>
        <w:ind w:firstLine="600"/>
        <w:rPr>
          <w:rFonts w:hint="eastAsia" w:ascii="仿宋_GB2312" w:hAnsi="仿宋_GB2312" w:eastAsia="仿宋_GB2312"/>
          <w:color w:val="auto"/>
          <w:sz w:val="32"/>
        </w:rPr>
      </w:pPr>
      <w:r>
        <w:rPr>
          <w:rFonts w:hint="eastAsia" w:ascii="仿宋_GB2312" w:hAnsi="仿宋_GB2312" w:eastAsia="仿宋_GB2312"/>
          <w:color w:val="auto"/>
          <w:sz w:val="32"/>
        </w:rPr>
        <w:t>（十三）机关运行经费：指行政单位和参照公务员法管理的事业单位使用一般公共预算财政拨款安排的基本支出中的日常公用经费支出。</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（十四）工资福利支出（支出经济分类科目类级）：反映单位开支的在职职工和编制外长期聘用人员的各类劳动报酬，以及为上述人员缴纳的各项社会保险费等。</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（十五）商品和服务支出（支出经济分类科目类级）：反映单位购买商品和服务的支出（不包括用于购置固定资产的支出、战略性和应急储备支出）。</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（十六）对个人和家庭的补助（支出经济分类科目类级）：反映用于对个人和家庭的补助支出。</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十七）资本性支出（支出经济分类科目类级）：反映非各级发展与改革部门集中安排的用于购置固定资产、战略性和应急性储备、土地和无形资产，以及构建基础设施、大型修缮和财政支持企业更新改造所发生的支出。</w:t>
      </w:r>
    </w:p>
    <w:p>
      <w:pPr>
        <w:spacing w:line="580" w:lineRule="exact"/>
        <w:ind w:firstLine="600"/>
        <w:rPr>
          <w:rFonts w:hint="default" w:eastAsia="Times New Roman"/>
          <w:color w:val="auto"/>
          <w:sz w:val="32"/>
        </w:rPr>
      </w:pPr>
    </w:p>
    <w:p>
      <w:pPr>
        <w:spacing w:line="580" w:lineRule="exact"/>
        <w:ind w:firstLine="600"/>
        <w:rPr>
          <w:rFonts w:hint="default" w:eastAsia="Times New Roman"/>
          <w:b/>
          <w:color w:val="auto"/>
          <w:sz w:val="32"/>
        </w:rPr>
      </w:pPr>
      <w:r>
        <w:rPr>
          <w:rFonts w:hint="eastAsia" w:ascii="仿宋_GB2312" w:hAnsi="仿宋_GB2312" w:eastAsia="仿宋_GB2312"/>
          <w:b/>
          <w:color w:val="auto"/>
          <w:sz w:val="32"/>
        </w:rPr>
        <w:t>第四部分 决算公开联系方式及信息反馈渠道</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本单位决算公开信息反馈和联系方式：</w:t>
      </w:r>
    </w:p>
    <w:p>
      <w:pPr>
        <w:spacing w:line="580" w:lineRule="exact"/>
        <w:ind w:firstLine="600"/>
        <w:rPr>
          <w:rFonts w:hint="default" w:eastAsia="Times New Roman"/>
          <w:b/>
          <w:color w:val="auto"/>
          <w:sz w:val="36"/>
        </w:rPr>
      </w:pPr>
      <w:r>
        <w:rPr>
          <w:rFonts w:hint="eastAsia" w:ascii="仿宋_GB2312" w:hAnsi="仿宋_GB2312" w:eastAsia="仿宋_GB2312"/>
          <w:color w:val="auto"/>
          <w:sz w:val="32"/>
        </w:rPr>
        <w:t>联系人：讷晓东    联系电话：0470</w:t>
      </w:r>
      <w:r>
        <w:rPr>
          <w:rFonts w:hint="default" w:eastAsia="Times New Roman"/>
          <w:color w:val="auto"/>
          <w:sz w:val="32"/>
        </w:rPr>
        <w:t>-</w:t>
      </w:r>
      <w:r>
        <w:rPr>
          <w:rFonts w:hint="eastAsia" w:ascii="仿宋_GB2312" w:hAnsi="仿宋_GB2312" w:eastAsia="仿宋_GB2312"/>
          <w:color w:val="auto"/>
          <w:sz w:val="32"/>
        </w:rPr>
        <w:t>4900006</w:t>
      </w:r>
    </w:p>
    <w:p>
      <w:pPr>
        <w:jc w:val="left"/>
        <w:rPr>
          <w:rFonts w:hint="default" w:eastAsia="Times New Roman"/>
          <w:b/>
          <w:color w:val="auto"/>
          <w:sz w:val="36"/>
        </w:rPr>
      </w:pPr>
    </w:p>
    <w:sectPr>
      <w:pgSz w:w="12240" w:h="15840"/>
      <w:pgMar w:top="1440" w:right="1800" w:bottom="1440" w:left="1800" w:header="720" w:footer="720" w:gutter="0"/>
      <w:lnNumType w:countBy="0" w:distance="36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HorizontalSpacing w:val="120"/>
  <w:drawingGridVerticalSpacing w:val="120"/>
  <w:displayHorizontalDrawingGridEvery w:val="3"/>
  <w:displayVerticalDrawingGridEvery w:val="3"/>
  <w:doNotUseMarginsForDrawingGridOrigin w:val="1"/>
  <w:drawingGridHorizontalOrigin w:val="1701"/>
  <w:drawingGridVerticalOrigin w:val="1984"/>
  <w:doNotShadeFormData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65C4756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99" w:semiHidden="0" w:name="index heading"/>
    <w:lsdException w:qFormat="1" w:unhideWhenUsed="0" w:uiPriority="99" w:semiHidden="0" w:name="caption"/>
    <w:lsdException w:qFormat="1" w:unhideWhenUsed="0" w:uiPriority="99" w:semiHidden="0" w:name="table of figures"/>
    <w:lsdException w:qFormat="1" w:unhideWhenUsed="0" w:uiPriority="99" w:semiHidden="0" w:name="envelope address"/>
    <w:lsdException w:qFormat="1" w:unhideWhenUsed="0" w:uiPriority="99" w:semiHidden="0" w:name="envelope return"/>
    <w:lsdException w:qFormat="1" w:unhideWhenUsed="0" w:uiPriority="99" w:semiHidden="0" w:name="footnote reference"/>
    <w:lsdException w:qFormat="1" w:unhideWhenUsed="0" w:uiPriority="99" w:semiHidden="0" w:name="annotation reference"/>
    <w:lsdException w:qFormat="1" w:unhideWhenUsed="0" w:uiPriority="99" w:semiHidden="0" w:name="line number"/>
    <w:lsdException w:qFormat="1" w:unhideWhenUsed="0" w:uiPriority="99" w:semiHidden="0" w:name="page number"/>
    <w:lsdException w:qFormat="1" w:unhideWhenUsed="0" w:uiPriority="99" w:semiHidden="0" w:name="endnote reference"/>
    <w:lsdException w:qFormat="1" w:unhideWhenUsed="0" w:uiPriority="99" w:semiHidden="0" w:name="endnote text"/>
    <w:lsdException w:qFormat="1" w:unhideWhenUsed="0" w:uiPriority="99" w:semiHidden="0" w:name="table of authorities"/>
    <w:lsdException w:qFormat="1" w:unhideWhenUsed="0" w:uiPriority="99" w:semiHidden="0" w:name="macro"/>
    <w:lsdException w:qFormat="1" w:unhideWhenUsed="0" w:uiPriority="99" w:semiHidden="0" w:name="toa heading"/>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nhideWhenUsed="0" w:uiPriority="99" w:semiHidden="0" w:name="List Number 2"/>
    <w:lsdException w:qFormat="1" w:unhideWhenUsed="0" w:uiPriority="99" w:semiHidden="0" w:name="List Number 3"/>
    <w:lsdException w:qFormat="1" w:unhideWhenUsed="0" w:uiPriority="99" w:semiHidden="0" w:name="List Number 4"/>
    <w:lsdException w:qFormat="1" w:unhideWhenUsed="0" w:uiPriority="99" w:semiHidden="0" w:name="List Number 5"/>
    <w:lsdException w:qFormat="1" w:unhideWhenUsed="0" w:uiPriority="99" w:semiHidden="0" w:name="Title"/>
    <w:lsdException w:qFormat="1" w:unhideWhenUsed="0" w:uiPriority="99" w:semiHidden="0" w:name="Closing"/>
    <w:lsdException w:qFormat="1" w:unhideWhenUsed="0" w:uiPriority="99" w:semiHidden="0" w:name="Signature"/>
    <w:lsdException w:uiPriority="99" w:semiHidden="0" w:name="Default Paragraph Font"/>
    <w:lsdException w:qFormat="1" w:unhideWhenUsed="0" w:uiPriority="99" w:semiHidden="0" w:name="Body Text"/>
    <w:lsdException w:qFormat="1" w:unhideWhenUsed="0" w:uiPriority="99"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semiHidden="0" w:name="List Continue 5"/>
    <w:lsdException w:qFormat="1" w:unhideWhenUsed="0" w:uiPriority="99" w:semiHidden="0" w:name="Message Header"/>
    <w:lsdException w:qFormat="1" w:unhideWhenUsed="0" w:uiPriority="99" w:semiHidden="0" w:name="Subtitle"/>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qFormat="1" w:unhideWhenUsed="0" w:uiPriority="99"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qFormat="1" w:unhideWhenUsed="0" w:uiPriority="99" w:semiHidden="0" w:name="E-mail Signature"/>
    <w:lsdException w:qFormat="1" w:unhideWhenUsed="0" w:uiPriority="99" w:semiHidden="0" w:name="Normal (Web)"/>
    <w:lsdException w:qFormat="1" w:unhideWhenUsed="0" w:uiPriority="99" w:semiHidden="0" w:name="HTML Acronym"/>
    <w:lsdException w:qFormat="1" w:unhideWhenUsed="0" w:uiPriority="99" w:semiHidden="0"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99" w:semiHidden="0" w:name="HTML Preformatted"/>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nhideWhenUsed="0" w:uiPriority="99" w:semiHidden="0" w:name="Normal Table"/>
    <w:lsdException w:qFormat="1" w:unhideWhenUsed="0" w:uiPriority="99" w:semiHidden="0" w:name="annotation subject"/>
    <w:lsdException w:qFormat="1" w:unhideWhenUsed="0" w:uiPriority="99" w:semiHidden="0" w:name="Table Simple 1"/>
    <w:lsdException w:qFormat="1" w:unhideWhenUsed="0" w:uiPriority="99" w:semiHidden="0" w:name="Table Simple 2"/>
    <w:lsdException w:qFormat="1" w:unhideWhenUsed="0" w:uiPriority="99" w:semiHidden="0" w:name="Table Simple 3"/>
    <w:lsdException w:qFormat="1" w:unhideWhenUsed="0" w:uiPriority="99" w:semiHidden="0" w:name="Table Classic 1"/>
    <w:lsdException w:qFormat="1" w:unhideWhenUsed="0" w:uiPriority="99" w:semiHidden="0" w:name="Table Classic 2"/>
    <w:lsdException w:qFormat="1" w:unhideWhenUsed="0" w:uiPriority="99" w:semiHidden="0" w:name="Table Classic 3"/>
    <w:lsdException w:qFormat="1" w:unhideWhenUsed="0" w:uiPriority="99" w:semiHidden="0" w:name="Table Classic 4"/>
    <w:lsdException w:qFormat="1" w:unhideWhenUsed="0" w:uiPriority="99" w:semiHidden="0" w:name="Table Colorful 1"/>
    <w:lsdException w:qFormat="1" w:unhideWhenUsed="0" w:uiPriority="99" w:semiHidden="0" w:name="Table Colorful 2"/>
    <w:lsdException w:qFormat="1" w:unhideWhenUsed="0" w:uiPriority="99" w:semiHidden="0" w:name="Table Colorful 3"/>
    <w:lsdException w:qFormat="1" w:unhideWhenUsed="0" w:uiPriority="99" w:semiHidden="0" w:name="Table Columns 1"/>
    <w:lsdException w:qFormat="1" w:unhideWhenUsed="0" w:uiPriority="99" w:semiHidden="0" w:name="Table Columns 2"/>
    <w:lsdException w:qFormat="1" w:unhideWhenUsed="0" w:uiPriority="99" w:semiHidden="0" w:name="Table Columns 3"/>
    <w:lsdException w:qFormat="1" w:unhideWhenUsed="0" w:uiPriority="99" w:semiHidden="0" w:name="Table Columns 4"/>
    <w:lsdException w:qFormat="1" w:unhideWhenUsed="0" w:uiPriority="99" w:semiHidden="0" w:name="Table Columns 5"/>
    <w:lsdException w:qFormat="1" w:unhideWhenUsed="0" w:uiPriority="99" w:semiHidden="0" w:name="Table Grid 1"/>
    <w:lsdException w:qFormat="1" w:unhideWhenUsed="0" w:uiPriority="99" w:semiHidden="0" w:name="Table Grid 2"/>
    <w:lsdException w:qFormat="1" w:unhideWhenUsed="0" w:uiPriority="99" w:semiHidden="0" w:name="Table Grid 3"/>
    <w:lsdException w:qFormat="1" w:unhideWhenUsed="0" w:uiPriority="99" w:semiHidden="0" w:name="Table Grid 4"/>
    <w:lsdException w:qFormat="1" w:unhideWhenUsed="0" w:uiPriority="99" w:semiHidden="0" w:name="Table Grid 5"/>
    <w:lsdException w:qFormat="1" w:unhideWhenUsed="0" w:uiPriority="99" w:semiHidden="0" w:name="Table Grid 6"/>
    <w:lsdException w:qFormat="1" w:unhideWhenUsed="0" w:uiPriority="99" w:semiHidden="0" w:name="Table Grid 7"/>
    <w:lsdException w:qFormat="1" w:unhideWhenUsed="0" w:uiPriority="99" w:semiHidden="0" w:name="Table Grid 8"/>
    <w:lsdException w:qFormat="1" w:unhideWhenUsed="0" w:uiPriority="99" w:semiHidden="0" w:name="Table List 1"/>
    <w:lsdException w:qFormat="1" w:unhideWhenUsed="0" w:uiPriority="99" w:semiHidden="0" w:name="Table List 2"/>
    <w:lsdException w:qFormat="1" w:unhideWhenUsed="0" w:uiPriority="99" w:semiHidden="0" w:name="Table List 3"/>
    <w:lsdException w:qFormat="1" w:unhideWhenUsed="0" w:uiPriority="99" w:semiHidden="0" w:name="Table List 4"/>
    <w:lsdException w:qFormat="1" w:unhideWhenUsed="0" w:uiPriority="99" w:semiHidden="0" w:name="Table List 5"/>
    <w:lsdException w:qFormat="1" w:unhideWhenUsed="0" w:uiPriority="99" w:semiHidden="0" w:name="Table List 6"/>
    <w:lsdException w:qFormat="1" w:unhideWhenUsed="0" w:uiPriority="99" w:semiHidden="0" w:name="Table List 7"/>
    <w:lsdException w:qFormat="1" w:unhideWhenUsed="0" w:uiPriority="99" w:semiHidden="0" w:name="Table List 8"/>
    <w:lsdException w:qFormat="1" w:unhideWhenUsed="0" w:uiPriority="99" w:semiHidden="0" w:name="Table 3D effects 1"/>
    <w:lsdException w:qFormat="1" w:unhideWhenUsed="0" w:uiPriority="99" w:semiHidden="0" w:name="Table 3D effects 2"/>
    <w:lsdException w:qFormat="1" w:unhideWhenUsed="0" w:uiPriority="99" w:semiHidden="0" w:name="Table 3D effects 3"/>
    <w:lsdException w:qFormat="1" w:unhideWhenUsed="0" w:uiPriority="99" w:semiHidden="0" w:name="Table Contemporary"/>
    <w:lsdException w:qFormat="1" w:unhideWhenUsed="0" w:uiPriority="99" w:semiHidden="0" w:name="Table Elegant"/>
    <w:lsdException w:qFormat="1" w:unhideWhenUsed="0" w:uiPriority="99" w:semiHidden="0" w:name="Table Professional"/>
    <w:lsdException w:qFormat="1" w:unhideWhenUsed="0" w:uiPriority="99" w:semiHidden="0" w:name="Table Subtle 1"/>
    <w:lsdException w:qFormat="1" w:unhideWhenUsed="0" w:uiPriority="99" w:semiHidden="0" w:name="Table Subtle 2"/>
    <w:lsdException w:qFormat="1" w:unhideWhenUsed="0" w:uiPriority="99" w:semiHidden="0" w:name="Table Web 1"/>
    <w:lsdException w:qFormat="1" w:unhideWhenUsed="0" w:uiPriority="99" w:semiHidden="0" w:name="Table Web 2"/>
    <w:lsdException w:qFormat="1" w:unhideWhenUsed="0" w:uiPriority="99" w:semiHidden="0" w:name="Table Web 3"/>
    <w:lsdException w:qFormat="1" w:unhideWhenUsed="0" w:uiPriority="99" w:semiHidden="0" w:name="Balloon Text"/>
    <w:lsdException w:qFormat="1" w:unhideWhenUsed="0" w:uiPriority="99" w:semiHidden="0" w:name="Table Grid"/>
    <w:lsdException w:qFormat="1" w:unhideWhenUsed="0" w:uiPriority="99" w:semiHidden="0" w:name="Table Theme"/>
    <w:lsdException w:qFormat="1" w:unhideWhenUsed="0" w:uiPriority="99" w:semiHidden="0" w:name="Light Shading"/>
    <w:lsdException w:qFormat="1" w:unhideWhenUsed="0" w:uiPriority="99" w:semiHidden="0" w:name="Light List"/>
    <w:lsdException w:qFormat="1" w:unhideWhenUsed="0" w:uiPriority="99" w:semiHidden="0" w:name="Light Grid"/>
    <w:lsdException w:qFormat="1" w:unhideWhenUsed="0" w:uiPriority="99" w:semiHidden="0" w:name="Medium Shading 1"/>
    <w:lsdException w:qFormat="1" w:unhideWhenUsed="0" w:uiPriority="99" w:semiHidden="0" w:name="Medium Shading 2"/>
    <w:lsdException w:qFormat="1" w:unhideWhenUsed="0" w:uiPriority="99" w:semiHidden="0" w:name="Medium List 1"/>
    <w:lsdException w:qFormat="1" w:unhideWhenUsed="0" w:uiPriority="99" w:semiHidden="0" w:name="Medium List 2"/>
    <w:lsdException w:qFormat="1" w:unhideWhenUsed="0" w:uiPriority="99" w:semiHidden="0" w:name="Medium Grid 1"/>
    <w:lsdException w:qFormat="1" w:unhideWhenUsed="0" w:uiPriority="99" w:semiHidden="0" w:name="Medium Grid 2"/>
    <w:lsdException w:qFormat="1" w:unhideWhenUsed="0" w:uiPriority="99" w:semiHidden="0" w:name="Medium Grid 3"/>
    <w:lsdException w:qFormat="1" w:unhideWhenUsed="0" w:uiPriority="99" w:semiHidden="0" w:name="Dark List"/>
    <w:lsdException w:qFormat="1" w:unhideWhenUsed="0" w:uiPriority="99" w:semiHidden="0" w:name="Colorful Shading"/>
    <w:lsdException w:qFormat="1" w:unhideWhenUsed="0" w:uiPriority="99" w:semiHidden="0" w:name="Colorful List"/>
    <w:lsdException w:qFormat="1" w:unhideWhenUsed="0" w:uiPriority="99" w:semiHidden="0" w:name="Colorful Grid"/>
    <w:lsdException w:qFormat="1" w:unhideWhenUsed="0" w:uiPriority="99" w:semiHidden="0" w:name="Light Shading Accent 1"/>
    <w:lsdException w:qFormat="1" w:unhideWhenUsed="0" w:uiPriority="99" w:semiHidden="0" w:name="Light List Accent 1"/>
    <w:lsdException w:qFormat="1" w:unhideWhenUsed="0" w:uiPriority="99" w:semiHidden="0" w:name="Light Grid Accent 1"/>
    <w:lsdException w:qFormat="1" w:unhideWhenUsed="0" w:uiPriority="99" w:semiHidden="0" w:name="Medium Shading 1 Accent 1"/>
    <w:lsdException w:qFormat="1" w:unhideWhenUsed="0" w:uiPriority="99" w:semiHidden="0" w:name="Medium Shading 2 Accent 1"/>
    <w:lsdException w:qFormat="1" w:unhideWhenUsed="0" w:uiPriority="99" w:semiHidden="0" w:name="Medium List 1 Accent 1"/>
    <w:lsdException w:qFormat="1" w:unhideWhenUsed="0" w:uiPriority="99" w:semiHidden="0" w:name="Medium List 2 Accent 1"/>
    <w:lsdException w:qFormat="1" w:unhideWhenUsed="0" w:uiPriority="99" w:semiHidden="0" w:name="Medium Grid 1 Accent 1"/>
    <w:lsdException w:qFormat="1" w:unhideWhenUsed="0" w:uiPriority="99" w:semiHidden="0" w:name="Medium Grid 2 Accent 1"/>
    <w:lsdException w:qFormat="1" w:unhideWhenUsed="0" w:uiPriority="99" w:semiHidden="0" w:name="Medium Grid 3 Accent 1"/>
    <w:lsdException w:qFormat="1" w:unhideWhenUsed="0" w:uiPriority="99" w:semiHidden="0" w:name="Dark List Accent 1"/>
    <w:lsdException w:qFormat="1" w:unhideWhenUsed="0" w:uiPriority="99" w:semiHidden="0" w:name="Colorful Shading Accent 1"/>
    <w:lsdException w:qFormat="1" w:unhideWhenUsed="0" w:uiPriority="99" w:semiHidden="0" w:name="Colorful List Accent 1"/>
    <w:lsdException w:qFormat="1" w:unhideWhenUsed="0" w:uiPriority="99" w:semiHidden="0" w:name="Colorful Grid Accent 1"/>
    <w:lsdException w:qFormat="1" w:unhideWhenUsed="0" w:uiPriority="99" w:semiHidden="0" w:name="Light Shading Accent 2"/>
    <w:lsdException w:qFormat="1" w:unhideWhenUsed="0" w:uiPriority="99" w:semiHidden="0" w:name="Light List Accent 2"/>
    <w:lsdException w:qFormat="1" w:unhideWhenUsed="0" w:uiPriority="99" w:semiHidden="0" w:name="Light Grid Accent 2"/>
    <w:lsdException w:qFormat="1" w:unhideWhenUsed="0" w:uiPriority="99" w:semiHidden="0" w:name="Medium Shading 1 Accent 2"/>
    <w:lsdException w:qFormat="1" w:unhideWhenUsed="0" w:uiPriority="99" w:semiHidden="0" w:name="Medium Shading 2 Accent 2"/>
    <w:lsdException w:qFormat="1" w:unhideWhenUsed="0" w:uiPriority="99" w:semiHidden="0" w:name="Medium List 1 Accent 2"/>
    <w:lsdException w:qFormat="1" w:unhideWhenUsed="0" w:uiPriority="99" w:semiHidden="0" w:name="Medium List 2 Accent 2"/>
    <w:lsdException w:qFormat="1" w:unhideWhenUsed="0" w:uiPriority="99" w:semiHidden="0" w:name="Medium Grid 1 Accent 2"/>
    <w:lsdException w:qFormat="1" w:unhideWhenUsed="0" w:uiPriority="99" w:semiHidden="0" w:name="Medium Grid 2 Accent 2"/>
    <w:lsdException w:qFormat="1" w:unhideWhenUsed="0" w:uiPriority="99" w:semiHidden="0" w:name="Medium Grid 3 Accent 2"/>
    <w:lsdException w:qFormat="1" w:unhideWhenUsed="0" w:uiPriority="99" w:semiHidden="0" w:name="Dark List Accent 2"/>
    <w:lsdException w:qFormat="1" w:unhideWhenUsed="0" w:uiPriority="99" w:semiHidden="0" w:name="Colorful Shading Accent 2"/>
    <w:lsdException w:qFormat="1" w:unhideWhenUsed="0" w:uiPriority="99" w:semiHidden="0" w:name="Colorful List Accent 2"/>
    <w:lsdException w:qFormat="1" w:unhideWhenUsed="0" w:uiPriority="99" w:semiHidden="0" w:name="Colorful Grid Accent 2"/>
    <w:lsdException w:qFormat="1" w:unhideWhenUsed="0" w:uiPriority="99" w:semiHidden="0" w:name="Light Shading Accent 3"/>
    <w:lsdException w:qFormat="1" w:unhideWhenUsed="0" w:uiPriority="99" w:semiHidden="0" w:name="Light List Accent 3"/>
    <w:lsdException w:qFormat="1" w:unhideWhenUsed="0" w:uiPriority="99" w:semiHidden="0" w:name="Light Grid Accent 3"/>
    <w:lsdException w:qFormat="1" w:unhideWhenUsed="0" w:uiPriority="99" w:semiHidden="0" w:name="Medium Shading 1 Accent 3"/>
    <w:lsdException w:qFormat="1" w:unhideWhenUsed="0" w:uiPriority="99" w:semiHidden="0" w:name="Medium Shading 2 Accent 3"/>
    <w:lsdException w:qFormat="1" w:unhideWhenUsed="0" w:uiPriority="99" w:semiHidden="0" w:name="Medium List 1 Accent 3"/>
    <w:lsdException w:qFormat="1" w:unhideWhenUsed="0" w:uiPriority="99" w:semiHidden="0" w:name="Medium List 2 Accent 3"/>
    <w:lsdException w:qFormat="1" w:unhideWhenUsed="0" w:uiPriority="99" w:semiHidden="0" w:name="Medium Grid 1 Accent 3"/>
    <w:lsdException w:qFormat="1" w:unhideWhenUsed="0" w:uiPriority="99" w:semiHidden="0" w:name="Medium Grid 2 Accent 3"/>
    <w:lsdException w:qFormat="1" w:unhideWhenUsed="0" w:uiPriority="99" w:semiHidden="0" w:name="Medium Grid 3 Accent 3"/>
    <w:lsdException w:qFormat="1" w:unhideWhenUsed="0" w:uiPriority="99" w:semiHidden="0" w:name="Dark List Accent 3"/>
    <w:lsdException w:qFormat="1" w:unhideWhenUsed="0" w:uiPriority="99" w:semiHidden="0" w:name="Colorful Shading Accent 3"/>
    <w:lsdException w:qFormat="1" w:unhideWhenUsed="0" w:uiPriority="99" w:semiHidden="0" w:name="Colorful List Accent 3"/>
    <w:lsdException w:qFormat="1" w:unhideWhenUsed="0" w:uiPriority="99" w:semiHidden="0" w:name="Colorful Grid Accent 3"/>
    <w:lsdException w:qFormat="1" w:unhideWhenUsed="0" w:uiPriority="99" w:semiHidden="0" w:name="Light Shading Accent 4"/>
    <w:lsdException w:qFormat="1" w:unhideWhenUsed="0" w:uiPriority="99" w:semiHidden="0" w:name="Light List Accent 4"/>
    <w:lsdException w:qFormat="1" w:unhideWhenUsed="0" w:uiPriority="99" w:semiHidden="0" w:name="Light Grid Accent 4"/>
    <w:lsdException w:qFormat="1" w:unhideWhenUsed="0" w:uiPriority="99" w:semiHidden="0" w:name="Medium Shading 1 Accent 4"/>
    <w:lsdException w:qFormat="1" w:unhideWhenUsed="0" w:uiPriority="99" w:semiHidden="0" w:name="Medium Shading 2 Accent 4"/>
    <w:lsdException w:qFormat="1" w:unhideWhenUsed="0" w:uiPriority="99" w:semiHidden="0" w:name="Medium List 1 Accent 4"/>
    <w:lsdException w:qFormat="1" w:unhideWhenUsed="0" w:uiPriority="99" w:semiHidden="0" w:name="Medium List 2 Accent 4"/>
    <w:lsdException w:qFormat="1" w:unhideWhenUsed="0" w:uiPriority="99" w:semiHidden="0" w:name="Medium Grid 1 Accent 4"/>
    <w:lsdException w:qFormat="1" w:unhideWhenUsed="0" w:uiPriority="99" w:semiHidden="0" w:name="Medium Grid 2 Accent 4"/>
    <w:lsdException w:qFormat="1" w:unhideWhenUsed="0" w:uiPriority="99" w:semiHidden="0" w:name="Medium Grid 3 Accent 4"/>
    <w:lsdException w:qFormat="1" w:unhideWhenUsed="0" w:uiPriority="99" w:semiHidden="0" w:name="Dark List Accent 4"/>
    <w:lsdException w:qFormat="1" w:unhideWhenUsed="0" w:uiPriority="99" w:semiHidden="0" w:name="Colorful Shading Accent 4"/>
    <w:lsdException w:qFormat="1" w:unhideWhenUsed="0" w:uiPriority="99" w:semiHidden="0" w:name="Colorful List Accent 4"/>
    <w:lsdException w:qFormat="1" w:unhideWhenUsed="0" w:uiPriority="99" w:semiHidden="0" w:name="Colorful Grid Accent 4"/>
    <w:lsdException w:qFormat="1" w:unhideWhenUsed="0" w:uiPriority="99" w:semiHidden="0" w:name="Light Shading Accent 5"/>
    <w:lsdException w:qFormat="1" w:unhideWhenUsed="0" w:uiPriority="99" w:semiHidden="0" w:name="Light List Accent 5"/>
    <w:lsdException w:qFormat="1" w:unhideWhenUsed="0" w:uiPriority="99" w:semiHidden="0" w:name="Light Grid Accent 5"/>
    <w:lsdException w:qFormat="1" w:unhideWhenUsed="0" w:uiPriority="99" w:semiHidden="0" w:name="Medium Shading 1 Accent 5"/>
    <w:lsdException w:qFormat="1" w:unhideWhenUsed="0" w:uiPriority="99" w:semiHidden="0" w:name="Medium Shading 2 Accent 5"/>
    <w:lsdException w:qFormat="1" w:unhideWhenUsed="0" w:uiPriority="99" w:semiHidden="0" w:name="Medium List 1 Accent 5"/>
    <w:lsdException w:qFormat="1" w:unhideWhenUsed="0" w:uiPriority="99" w:semiHidden="0" w:name="Medium List 2 Accent 5"/>
    <w:lsdException w:qFormat="1" w:unhideWhenUsed="0" w:uiPriority="99" w:semiHidden="0" w:name="Medium Grid 1 Accent 5"/>
    <w:lsdException w:qFormat="1" w:unhideWhenUsed="0" w:uiPriority="99" w:semiHidden="0" w:name="Medium Grid 2 Accent 5"/>
    <w:lsdException w:qFormat="1" w:unhideWhenUsed="0" w:uiPriority="99" w:semiHidden="0" w:name="Medium Grid 3 Accent 5"/>
    <w:lsdException w:qFormat="1" w:unhideWhenUsed="0" w:uiPriority="99" w:semiHidden="0" w:name="Dark List Accent 5"/>
    <w:lsdException w:qFormat="1" w:unhideWhenUsed="0" w:uiPriority="99" w:semiHidden="0" w:name="Colorful Shading Accent 5"/>
    <w:lsdException w:qFormat="1" w:unhideWhenUsed="0" w:uiPriority="99" w:semiHidden="0" w:name="Colorful List Accent 5"/>
    <w:lsdException w:qFormat="1" w:unhideWhenUsed="0" w:uiPriority="99" w:semiHidden="0" w:name="Colorful Grid Accent 5"/>
    <w:lsdException w:qFormat="1" w:unhideWhenUsed="0" w:uiPriority="99" w:semiHidden="0" w:name="Light Shading Accent 6"/>
    <w:lsdException w:qFormat="1" w:unhideWhenUsed="0" w:uiPriority="99" w:semiHidden="0" w:name="Light List Accent 6"/>
    <w:lsdException w:qFormat="1" w:unhideWhenUsed="0" w:uiPriority="99" w:semiHidden="0" w:name="Light Grid Accent 6"/>
    <w:lsdException w:qFormat="1" w:unhideWhenUsed="0" w:uiPriority="99" w:semiHidden="0" w:name="Medium Shading 1 Accent 6"/>
    <w:lsdException w:qFormat="1" w:unhideWhenUsed="0" w:uiPriority="99" w:semiHidden="0" w:name="Medium Shading 2 Accent 6"/>
    <w:lsdException w:qFormat="1" w:unhideWhenUsed="0" w:uiPriority="99" w:semiHidden="0" w:name="Medium List 1 Accent 6"/>
    <w:lsdException w:qFormat="1" w:unhideWhenUsed="0" w:uiPriority="99" w:semiHidden="0" w:name="Medium List 2 Accent 6"/>
    <w:lsdException w:qFormat="1" w:unhideWhenUsed="0" w:uiPriority="99" w:semiHidden="0" w:name="Medium Grid 1 Accent 6"/>
    <w:lsdException w:qFormat="1" w:unhideWhenUsed="0" w:uiPriority="99" w:semiHidden="0" w:name="Medium Grid 2 Accent 6"/>
    <w:lsdException w:qFormat="1" w:unhideWhenUsed="0" w:uiPriority="99" w:semiHidden="0" w:name="Medium Grid 3 Accent 6"/>
    <w:lsdException w:qFormat="1" w:unhideWhenUsed="0" w:uiPriority="99" w:semiHidden="0" w:name="Dark List Accent 6"/>
    <w:lsdException w:qFormat="1" w:unhideWhenUsed="0" w:uiPriority="99" w:semiHidden="0" w:name="Colorful Shading Accent 6"/>
    <w:lsdException w:qFormat="1" w:unhideWhenUsed="0" w:uiPriority="99" w:semiHidden="0" w:name="Colorful List Accent 6"/>
    <w:lsdException w:qFormat="1" w:unhideWhenUsed="0" w:uiPriority="99" w:semiHidden="0" w:name="Colorful Grid Accent 6"/>
  </w:latentStyles>
  <w:style w:type="paragraph" w:default="1" w:styleId="1">
    <w:name w:val="Normal"/>
    <w:unhideWhenUsed/>
    <w:uiPriority w:val="0"/>
    <w:pPr>
      <w:jc w:val="both"/>
    </w:pPr>
    <w:rPr>
      <w:rFonts w:hint="default" w:ascii="Times New Roman" w:hAnsi="Times New Roman" w:eastAsia="宋体"/>
      <w:kern w:val="2"/>
      <w:sz w:val="21"/>
    </w:rPr>
  </w:style>
  <w:style w:type="character" w:default="1" w:styleId="3">
    <w:name w:val="Default Paragraph Font"/>
    <w:unhideWhenUsed/>
    <w:uiPriority w:val="99"/>
    <w:rPr>
      <w:rFonts w:hint="default"/>
      <w:sz w:val="24"/>
    </w:rPr>
  </w:style>
  <w:style w:type="table" w:default="1" w:styleId="2">
    <w:name w:val="Normal Table"/>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Office_11.1.0.10314_F1E327BC-269C-435d-A152-05C5408002CA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2021-10-26T07:51:42Z</dcterms:created>
  <dc:creator>-.-</dc:creator>
  <cp:lastModifiedBy>Hecate</cp:lastModifiedBy>
  <dcterms:modified xsi:type="dcterms:W3CDTF">2021-10-26T07:52:04Z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