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line="580" w:lineRule="exact"/>
        <w:ind w:firstLine="600"/>
        <w:jc w:val="center"/>
        <w:rPr>
          <w:rFonts w:hint="default" w:eastAsia="Times New Roman"/>
          <w:b/>
          <w:sz w:val="36"/>
          <w:szCs w:val="24"/>
        </w:rPr>
      </w:pPr>
    </w:p>
    <w:p>
      <w:pPr>
        <w:spacing w:beforeLines="0" w:afterLines="0" w:line="580" w:lineRule="exact"/>
        <w:ind w:firstLine="600"/>
        <w:jc w:val="center"/>
        <w:rPr>
          <w:rFonts w:hint="default" w:eastAsia="Times New Roman"/>
          <w:b/>
          <w:sz w:val="36"/>
          <w:szCs w:val="24"/>
        </w:rPr>
      </w:pPr>
    </w:p>
    <w:p>
      <w:pPr>
        <w:spacing w:beforeLines="0" w:afterLines="0" w:line="580" w:lineRule="exact"/>
        <w:ind w:firstLine="600"/>
        <w:jc w:val="center"/>
        <w:rPr>
          <w:rFonts w:hint="default" w:eastAsia="Times New Roman"/>
          <w:b/>
          <w:sz w:val="36"/>
          <w:szCs w:val="24"/>
        </w:rPr>
      </w:pPr>
    </w:p>
    <w:p>
      <w:pPr>
        <w:spacing w:beforeLines="0" w:afterLines="0" w:line="580" w:lineRule="exact"/>
        <w:ind w:firstLine="600"/>
        <w:jc w:val="center"/>
        <w:rPr>
          <w:rFonts w:hint="default" w:eastAsia="Times New Roman"/>
          <w:b/>
          <w:sz w:val="36"/>
          <w:szCs w:val="24"/>
        </w:rPr>
      </w:pPr>
    </w:p>
    <w:p>
      <w:pPr>
        <w:spacing w:beforeLines="0" w:afterLines="0" w:line="580" w:lineRule="exact"/>
        <w:ind w:firstLine="600"/>
        <w:jc w:val="center"/>
        <w:rPr>
          <w:rFonts w:hint="default" w:eastAsia="Times New Roman"/>
          <w:b/>
          <w:sz w:val="36"/>
          <w:szCs w:val="24"/>
        </w:rPr>
      </w:pPr>
    </w:p>
    <w:p>
      <w:pPr>
        <w:spacing w:beforeLines="0" w:afterLines="0" w:line="580" w:lineRule="exact"/>
        <w:ind w:firstLine="600"/>
        <w:jc w:val="center"/>
        <w:rPr>
          <w:rFonts w:hint="default" w:eastAsia="Times New Roman"/>
          <w:b/>
          <w:sz w:val="36"/>
          <w:szCs w:val="24"/>
        </w:rPr>
      </w:pPr>
    </w:p>
    <w:p>
      <w:pPr>
        <w:spacing w:beforeLines="0" w:afterLines="0" w:line="580" w:lineRule="exact"/>
        <w:ind w:firstLine="600"/>
        <w:jc w:val="center"/>
        <w:rPr>
          <w:rFonts w:hint="default" w:eastAsia="Times New Roman"/>
          <w:b/>
          <w:sz w:val="36"/>
          <w:szCs w:val="24"/>
        </w:rPr>
      </w:pPr>
    </w:p>
    <w:p>
      <w:pPr>
        <w:spacing w:beforeLines="0" w:afterLines="0" w:line="580" w:lineRule="exact"/>
        <w:ind w:firstLine="600"/>
        <w:jc w:val="center"/>
        <w:rPr>
          <w:rFonts w:hint="default" w:eastAsia="Times New Roman"/>
          <w:b/>
          <w:sz w:val="36"/>
          <w:szCs w:val="24"/>
        </w:rPr>
      </w:pPr>
    </w:p>
    <w:p>
      <w:pPr>
        <w:spacing w:beforeLines="0" w:afterLines="0" w:line="580" w:lineRule="exact"/>
        <w:ind w:firstLine="600"/>
        <w:jc w:val="center"/>
        <w:rPr>
          <w:rFonts w:hint="default" w:eastAsia="Times New Roman"/>
          <w:b/>
          <w:sz w:val="36"/>
          <w:szCs w:val="24"/>
        </w:rPr>
      </w:pPr>
    </w:p>
    <w:p>
      <w:pPr>
        <w:spacing w:beforeLines="0" w:afterLines="0"/>
        <w:ind w:firstLine="601"/>
        <w:jc w:val="center"/>
        <w:rPr>
          <w:rFonts w:hint="default" w:eastAsia="Times New Roman"/>
          <w:b/>
          <w:sz w:val="44"/>
          <w:szCs w:val="24"/>
        </w:rPr>
      </w:pPr>
      <w:r>
        <w:rPr>
          <w:rFonts w:hint="eastAsia" w:ascii="仿宋_GB2312" w:hAnsi="仿宋_GB2312" w:eastAsia="仿宋_GB2312"/>
          <w:b/>
          <w:sz w:val="44"/>
          <w:szCs w:val="24"/>
        </w:rPr>
        <w:t>内蒙古自治区呼伦贝尔市莫力达瓦达斡尔族自治旗红彦镇人民政府</w:t>
      </w:r>
    </w:p>
    <w:p>
      <w:pPr>
        <w:spacing w:beforeLines="0" w:afterLines="0"/>
        <w:ind w:firstLine="2209" w:firstLineChars="500"/>
        <w:rPr>
          <w:rFonts w:hint="eastAsia" w:ascii="仿宋_GB2312" w:hAnsi="仿宋_GB2312" w:eastAsia="仿宋_GB2312"/>
          <w:b/>
          <w:sz w:val="44"/>
          <w:szCs w:val="24"/>
        </w:rPr>
      </w:pPr>
      <w:r>
        <w:rPr>
          <w:rFonts w:hint="eastAsia" w:ascii="仿宋_GB2312" w:hAnsi="仿宋_GB2312" w:eastAsia="仿宋_GB2312"/>
          <w:b/>
          <w:sz w:val="44"/>
          <w:szCs w:val="24"/>
        </w:rPr>
        <w:t>20</w:t>
      </w:r>
      <w:r>
        <w:rPr>
          <w:rFonts w:hint="eastAsia" w:ascii="仿宋_GB2312" w:hAnsi="仿宋_GB2312" w:eastAsia="仿宋_GB2312"/>
          <w:b/>
          <w:sz w:val="44"/>
          <w:szCs w:val="24"/>
          <w:lang w:val="en-US" w:eastAsia="zh-CN"/>
        </w:rPr>
        <w:t>20</w:t>
      </w:r>
      <w:r>
        <w:rPr>
          <w:rFonts w:hint="eastAsia" w:ascii="仿宋_GB2312" w:hAnsi="仿宋_GB2312" w:eastAsia="仿宋_GB2312"/>
          <w:b/>
          <w:sz w:val="44"/>
          <w:szCs w:val="24"/>
        </w:rPr>
        <w:t>年度决算公开报告</w:t>
      </w:r>
    </w:p>
    <w:p>
      <w:pPr>
        <w:spacing w:beforeLines="0" w:afterLines="0" w:line="580" w:lineRule="exact"/>
        <w:ind w:firstLine="600"/>
        <w:jc w:val="center"/>
        <w:rPr>
          <w:rFonts w:hint="default" w:eastAsia="Times New Roman"/>
          <w:b/>
          <w:color w:val="auto"/>
          <w:sz w:val="36"/>
          <w:szCs w:val="24"/>
        </w:rPr>
      </w:pPr>
    </w:p>
    <w:p>
      <w:pPr>
        <w:spacing w:beforeLines="0" w:afterLines="0" w:line="580" w:lineRule="exact"/>
        <w:ind w:firstLine="600"/>
        <w:jc w:val="center"/>
        <w:rPr>
          <w:rFonts w:hint="default" w:eastAsia="Times New Roman"/>
          <w:b/>
          <w:color w:val="auto"/>
          <w:sz w:val="36"/>
          <w:szCs w:val="24"/>
        </w:rPr>
      </w:pPr>
    </w:p>
    <w:p>
      <w:pPr>
        <w:spacing w:beforeLines="0" w:afterLines="0" w:line="580" w:lineRule="exact"/>
        <w:ind w:firstLine="600"/>
        <w:jc w:val="center"/>
        <w:rPr>
          <w:rFonts w:hint="default" w:eastAsia="Times New Roman"/>
          <w:b/>
          <w:color w:val="auto"/>
          <w:sz w:val="36"/>
          <w:szCs w:val="24"/>
        </w:rPr>
      </w:pPr>
    </w:p>
    <w:p>
      <w:pPr>
        <w:spacing w:beforeLines="0" w:afterLines="0" w:line="580" w:lineRule="exact"/>
        <w:ind w:firstLine="600"/>
        <w:jc w:val="center"/>
        <w:rPr>
          <w:rFonts w:hint="default" w:eastAsia="Times New Roman"/>
          <w:b/>
          <w:color w:val="auto"/>
          <w:sz w:val="36"/>
          <w:szCs w:val="24"/>
        </w:rPr>
      </w:pPr>
    </w:p>
    <w:p>
      <w:pPr>
        <w:spacing w:beforeLines="0" w:afterLines="0" w:line="580" w:lineRule="exact"/>
        <w:ind w:firstLine="600"/>
        <w:jc w:val="center"/>
        <w:rPr>
          <w:rFonts w:hint="default" w:eastAsia="Times New Roman"/>
          <w:b/>
          <w:color w:val="auto"/>
          <w:sz w:val="36"/>
          <w:szCs w:val="24"/>
        </w:rPr>
      </w:pPr>
    </w:p>
    <w:p>
      <w:pPr>
        <w:spacing w:beforeLines="0" w:afterLines="0" w:line="580" w:lineRule="exact"/>
        <w:ind w:firstLine="600"/>
        <w:jc w:val="center"/>
        <w:rPr>
          <w:rFonts w:hint="default" w:eastAsia="Times New Roman"/>
          <w:b/>
          <w:color w:val="auto"/>
          <w:sz w:val="36"/>
          <w:szCs w:val="24"/>
        </w:rPr>
      </w:pPr>
    </w:p>
    <w:p>
      <w:pPr>
        <w:spacing w:beforeLines="0" w:afterLines="0" w:line="580" w:lineRule="exact"/>
        <w:ind w:firstLine="600"/>
        <w:jc w:val="center"/>
        <w:rPr>
          <w:rFonts w:hint="default" w:eastAsia="Times New Roman"/>
          <w:b/>
          <w:color w:val="auto"/>
          <w:sz w:val="36"/>
          <w:szCs w:val="24"/>
        </w:rPr>
      </w:pPr>
    </w:p>
    <w:p>
      <w:pPr>
        <w:spacing w:beforeLines="0" w:afterLines="0" w:line="580" w:lineRule="exact"/>
        <w:ind w:firstLine="600"/>
        <w:jc w:val="center"/>
        <w:rPr>
          <w:rFonts w:hint="default" w:eastAsia="Times New Roman"/>
          <w:b/>
          <w:color w:val="auto"/>
          <w:sz w:val="36"/>
          <w:szCs w:val="24"/>
        </w:rPr>
      </w:pPr>
    </w:p>
    <w:p>
      <w:pPr>
        <w:spacing w:beforeLines="0" w:afterLines="0" w:line="580" w:lineRule="exact"/>
        <w:ind w:firstLine="600"/>
        <w:jc w:val="center"/>
        <w:rPr>
          <w:rFonts w:hint="default" w:eastAsia="Times New Roman"/>
          <w:b/>
          <w:color w:val="auto"/>
          <w:sz w:val="36"/>
          <w:szCs w:val="24"/>
        </w:rPr>
      </w:pPr>
    </w:p>
    <w:p>
      <w:pPr>
        <w:spacing w:beforeLines="0" w:afterLines="0" w:line="580" w:lineRule="exact"/>
        <w:ind w:firstLine="600"/>
        <w:jc w:val="center"/>
        <w:rPr>
          <w:rFonts w:hint="default" w:eastAsia="Times New Roman"/>
          <w:b/>
          <w:color w:val="auto"/>
          <w:sz w:val="36"/>
          <w:szCs w:val="24"/>
        </w:rPr>
      </w:pPr>
    </w:p>
    <w:p>
      <w:pPr>
        <w:spacing w:beforeLines="0" w:afterLines="0"/>
        <w:ind w:firstLine="601"/>
        <w:jc w:val="left"/>
        <w:rPr>
          <w:rFonts w:hint="default" w:eastAsia="Times New Roman"/>
          <w:b/>
          <w:color w:val="auto"/>
          <w:sz w:val="44"/>
          <w:szCs w:val="24"/>
        </w:rPr>
      </w:pPr>
    </w:p>
    <w:p>
      <w:pPr>
        <w:spacing w:beforeLines="0" w:afterLines="0"/>
        <w:ind w:firstLine="601"/>
        <w:jc w:val="center"/>
        <w:rPr>
          <w:rFonts w:hint="default" w:eastAsia="Times New Roman"/>
          <w:b/>
          <w:color w:val="auto"/>
          <w:sz w:val="44"/>
          <w:szCs w:val="24"/>
        </w:rPr>
      </w:pPr>
      <w:r>
        <w:rPr>
          <w:rFonts w:hint="eastAsia" w:ascii="仿宋_GB2312" w:hAnsi="仿宋_GB2312" w:eastAsia="仿宋_GB2312"/>
          <w:b/>
          <w:color w:val="auto"/>
          <w:sz w:val="44"/>
          <w:szCs w:val="24"/>
        </w:rPr>
        <w:t>目录</w:t>
      </w:r>
    </w:p>
    <w:p>
      <w:pPr>
        <w:spacing w:beforeLines="0" w:afterLines="0"/>
        <w:ind w:firstLine="601"/>
        <w:jc w:val="left"/>
        <w:rPr>
          <w:rFonts w:hint="default" w:eastAsia="Times New Roman"/>
          <w:b/>
          <w:color w:val="auto"/>
          <w:sz w:val="44"/>
          <w:szCs w:val="24"/>
        </w:rPr>
      </w:pPr>
    </w:p>
    <w:p>
      <w:pPr>
        <w:spacing w:beforeLines="0" w:afterLines="0" w:line="580" w:lineRule="exact"/>
        <w:ind w:firstLine="601"/>
        <w:jc w:val="left"/>
        <w:rPr>
          <w:rFonts w:hint="default" w:eastAsia="Times New Roman"/>
          <w:b/>
          <w:color w:val="auto"/>
          <w:sz w:val="32"/>
          <w:szCs w:val="24"/>
        </w:rPr>
      </w:pPr>
      <w:r>
        <w:rPr>
          <w:rFonts w:hint="eastAsia" w:ascii="黑体" w:hAnsi="黑体" w:eastAsia="黑体"/>
          <w:b/>
          <w:color w:val="auto"/>
          <w:sz w:val="32"/>
          <w:szCs w:val="24"/>
        </w:rPr>
        <w:t>第一部分 部门基本情况</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一、部门职责</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二、机构设置</w:t>
      </w:r>
    </w:p>
    <w:p>
      <w:pPr>
        <w:spacing w:beforeLines="0" w:afterLines="0" w:line="580" w:lineRule="exact"/>
        <w:ind w:firstLine="601"/>
        <w:jc w:val="left"/>
        <w:rPr>
          <w:rFonts w:hint="default" w:eastAsia="Times New Roman"/>
          <w:b/>
          <w:color w:val="auto"/>
          <w:sz w:val="32"/>
          <w:szCs w:val="24"/>
        </w:rPr>
      </w:pPr>
      <w:r>
        <w:rPr>
          <w:rFonts w:hint="eastAsia" w:ascii="黑体" w:hAnsi="黑体" w:eastAsia="黑体"/>
          <w:b/>
          <w:color w:val="auto"/>
          <w:sz w:val="32"/>
          <w:szCs w:val="24"/>
        </w:rPr>
        <w:t>第二部分 20</w:t>
      </w:r>
      <w:r>
        <w:rPr>
          <w:rFonts w:hint="eastAsia" w:ascii="黑体" w:hAnsi="黑体" w:eastAsia="黑体"/>
          <w:b/>
          <w:color w:val="auto"/>
          <w:sz w:val="32"/>
          <w:szCs w:val="24"/>
          <w:lang w:val="en-US" w:eastAsia="zh-CN"/>
        </w:rPr>
        <w:t>20</w:t>
      </w:r>
      <w:r>
        <w:rPr>
          <w:rFonts w:hint="eastAsia" w:ascii="黑体" w:hAnsi="黑体" w:eastAsia="黑体"/>
          <w:b/>
          <w:color w:val="auto"/>
          <w:sz w:val="32"/>
          <w:szCs w:val="24"/>
        </w:rPr>
        <w:t>年度部门决算情况说明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一、关于20</w:t>
      </w:r>
      <w:r>
        <w:rPr>
          <w:rFonts w:hint="eastAsia" w:ascii="黑体" w:hAnsi="黑体" w:eastAsia="黑体"/>
          <w:color w:val="auto"/>
          <w:sz w:val="32"/>
          <w:szCs w:val="24"/>
          <w:lang w:val="en-US" w:eastAsia="zh-CN"/>
        </w:rPr>
        <w:t>20</w:t>
      </w:r>
      <w:r>
        <w:rPr>
          <w:rFonts w:hint="eastAsia" w:ascii="仿宋_GB2312" w:hAnsi="仿宋_GB2312" w:eastAsia="仿宋_GB2312"/>
          <w:color w:val="auto"/>
          <w:sz w:val="32"/>
          <w:szCs w:val="24"/>
        </w:rPr>
        <w:t>年度预算执行情况分析</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二、关于20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年度决算情况说明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（一）关于收支情况总体说明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（二）关于20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年度收入决算情况说明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（三）关于20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年度支出决算情况说明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（四）关于20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年度财政拨款收入支出决算总体情况说明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（五）关于20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年度一般公共预算财政拨款支出决算情况说明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（六）关于20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年度一般公共预算财政拨款基本支出决算情况说明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（七）关于20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经费支出决算情况说明</w:t>
      </w:r>
    </w:p>
    <w:p>
      <w:pPr>
        <w:spacing w:beforeLines="0" w:afterLines="0" w:line="580" w:lineRule="exact"/>
        <w:ind w:firstLine="601"/>
        <w:jc w:val="left"/>
        <w:rPr>
          <w:rFonts w:hint="default" w:eastAsia="Times New Roman"/>
          <w:color w:val="auto"/>
          <w:sz w:val="32"/>
          <w:szCs w:val="24"/>
        </w:rPr>
      </w:pPr>
      <w:r>
        <w:rPr>
          <w:rFonts w:hint="default" w:eastAsia="Times New Roman"/>
          <w:color w:val="auto"/>
          <w:sz w:val="32"/>
          <w:szCs w:val="24"/>
        </w:rPr>
        <w:tab/>
      </w:r>
      <w:r>
        <w:rPr>
          <w:rFonts w:hint="eastAsia" w:ascii="仿宋_GB2312" w:hAnsi="仿宋_GB2312" w:eastAsia="仿宋_GB2312"/>
          <w:color w:val="auto"/>
          <w:sz w:val="32"/>
          <w:szCs w:val="24"/>
        </w:rPr>
        <w:t>1、财政拨款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经费支出决算总体情况说明</w:t>
      </w:r>
    </w:p>
    <w:p>
      <w:pPr>
        <w:spacing w:beforeLines="0" w:afterLines="0" w:line="580" w:lineRule="exact"/>
        <w:ind w:firstLine="601"/>
        <w:jc w:val="left"/>
        <w:rPr>
          <w:rFonts w:hint="default" w:eastAsia="Times New Roman"/>
          <w:color w:val="auto"/>
          <w:sz w:val="32"/>
          <w:szCs w:val="24"/>
        </w:rPr>
      </w:pPr>
      <w:r>
        <w:rPr>
          <w:rFonts w:hint="default" w:eastAsia="Times New Roman"/>
          <w:color w:val="auto"/>
          <w:sz w:val="32"/>
          <w:szCs w:val="24"/>
        </w:rPr>
        <w:tab/>
      </w:r>
      <w:r>
        <w:rPr>
          <w:rFonts w:hint="eastAsia" w:ascii="仿宋_GB2312" w:hAnsi="仿宋_GB2312" w:eastAsia="仿宋_GB2312"/>
          <w:color w:val="auto"/>
          <w:sz w:val="32"/>
          <w:szCs w:val="24"/>
        </w:rPr>
        <w:t>2、财政拨款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经费支出决算具体情况说明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三、预算绩效情况说明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（一）预算绩效管理工作开展情况</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（二）部门决算中项目绩效自评结果</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四、其他重要事项的情况说明</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（一）机关运行经费支出情况</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（二）政府采购支出情况</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（三）国有资产占用情况</w:t>
      </w:r>
    </w:p>
    <w:p>
      <w:pPr>
        <w:spacing w:beforeLines="0" w:afterLines="0" w:line="580" w:lineRule="exact"/>
        <w:ind w:firstLine="601"/>
        <w:jc w:val="left"/>
        <w:rPr>
          <w:rFonts w:hint="default" w:eastAsia="Times New Roman"/>
          <w:color w:val="auto"/>
          <w:sz w:val="32"/>
          <w:szCs w:val="24"/>
        </w:rPr>
      </w:pPr>
    </w:p>
    <w:p>
      <w:pPr>
        <w:spacing w:beforeLines="0" w:afterLines="0" w:line="580" w:lineRule="exact"/>
        <w:ind w:firstLine="601"/>
        <w:jc w:val="left"/>
        <w:rPr>
          <w:rFonts w:hint="default" w:eastAsia="Times New Roman"/>
          <w:b/>
          <w:color w:val="auto"/>
          <w:sz w:val="32"/>
          <w:szCs w:val="24"/>
        </w:rPr>
      </w:pPr>
      <w:r>
        <w:rPr>
          <w:rFonts w:hint="eastAsia" w:ascii="黑体" w:hAnsi="黑体" w:eastAsia="黑体"/>
          <w:b/>
          <w:color w:val="auto"/>
          <w:sz w:val="32"/>
          <w:szCs w:val="24"/>
        </w:rPr>
        <w:t>第三部分 名词解释</w:t>
      </w:r>
    </w:p>
    <w:p>
      <w:pPr>
        <w:spacing w:beforeLines="0" w:afterLines="0" w:line="580" w:lineRule="exact"/>
        <w:ind w:firstLine="601"/>
        <w:jc w:val="left"/>
        <w:rPr>
          <w:rFonts w:hint="default" w:eastAsia="Times New Roman"/>
          <w:b/>
          <w:color w:val="auto"/>
          <w:sz w:val="32"/>
          <w:szCs w:val="24"/>
        </w:rPr>
      </w:pPr>
      <w:r>
        <w:rPr>
          <w:rFonts w:hint="eastAsia" w:ascii="黑体" w:hAnsi="黑体" w:eastAsia="黑体"/>
          <w:b/>
          <w:color w:val="auto"/>
          <w:sz w:val="32"/>
          <w:szCs w:val="24"/>
        </w:rPr>
        <w:t>第四部分 决算公开联系方式及信息反馈渠道</w:t>
      </w:r>
    </w:p>
    <w:p>
      <w:pPr>
        <w:spacing w:beforeLines="0" w:afterLines="0" w:line="580" w:lineRule="exact"/>
        <w:ind w:firstLine="601"/>
        <w:jc w:val="left"/>
        <w:rPr>
          <w:rFonts w:hint="default" w:eastAsia="Times New Roman"/>
          <w:b/>
          <w:color w:val="auto"/>
          <w:sz w:val="32"/>
          <w:szCs w:val="24"/>
        </w:rPr>
      </w:pPr>
      <w:r>
        <w:rPr>
          <w:rFonts w:hint="eastAsia" w:ascii="黑体" w:hAnsi="黑体" w:eastAsia="黑体"/>
          <w:b/>
          <w:color w:val="auto"/>
          <w:sz w:val="32"/>
          <w:szCs w:val="24"/>
        </w:rPr>
        <w:t>第五部分 部门决算公开表</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一、收入支出决算总表</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二、收入决算表</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三、支出决算表</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四、财政拨款收入支出决算总表</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五、一般公共预算财政拨款支出决算表</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六、一般公共预算财政拨款基本支出决算明细表</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七、政府性基金预算财政拨款收入支出决算表</w:t>
      </w:r>
    </w:p>
    <w:p>
      <w:pPr>
        <w:spacing w:beforeLines="0" w:afterLines="0" w:line="580" w:lineRule="exact"/>
        <w:ind w:firstLine="601"/>
        <w:jc w:val="left"/>
        <w:rPr>
          <w:rFonts w:hint="default" w:eastAsia="Times New Roman"/>
          <w:color w:val="auto"/>
          <w:sz w:val="32"/>
          <w:szCs w:val="24"/>
        </w:rPr>
      </w:pPr>
      <w:r>
        <w:rPr>
          <w:rFonts w:hint="eastAsia" w:ascii="仿宋_GB2312" w:hAnsi="仿宋_GB2312" w:eastAsia="仿宋_GB2312"/>
          <w:color w:val="auto"/>
          <w:sz w:val="32"/>
          <w:szCs w:val="24"/>
        </w:rPr>
        <w:t>八、机构运行信息表</w:t>
      </w:r>
    </w:p>
    <w:p>
      <w:pPr>
        <w:spacing w:beforeLines="0" w:afterLines="0"/>
        <w:ind w:firstLine="601"/>
        <w:jc w:val="left"/>
        <w:rPr>
          <w:rFonts w:hint="default" w:eastAsia="Times New Roman"/>
          <w:b/>
          <w:color w:val="auto"/>
          <w:sz w:val="44"/>
          <w:szCs w:val="24"/>
        </w:rPr>
      </w:pPr>
    </w:p>
    <w:p>
      <w:pPr>
        <w:spacing w:beforeLines="0" w:afterLines="0" w:line="580" w:lineRule="exact"/>
        <w:ind w:firstLine="600"/>
        <w:rPr>
          <w:rFonts w:hint="default" w:eastAsia="Times New Roman"/>
          <w:color w:val="auto"/>
          <w:sz w:val="32"/>
          <w:szCs w:val="24"/>
        </w:rPr>
      </w:pPr>
      <w:r>
        <w:rPr>
          <w:rFonts w:hint="default" w:eastAsia="Times New Roman"/>
          <w:b/>
          <w:color w:val="auto"/>
          <w:sz w:val="36"/>
          <w:szCs w:val="24"/>
        </w:rPr>
        <w:br w:type="page"/>
      </w:r>
      <w:r>
        <w:rPr>
          <w:rFonts w:hint="eastAsia" w:ascii="仿宋_GB2312" w:hAnsi="仿宋_GB2312" w:eastAsia="仿宋_GB2312"/>
          <w:b/>
          <w:color w:val="auto"/>
          <w:sz w:val="32"/>
          <w:szCs w:val="24"/>
        </w:rPr>
        <w:t>第一部分 部门基本情况</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一、部门职责</w:t>
      </w:r>
    </w:p>
    <w:p>
      <w:pPr>
        <w:autoSpaceDE w:val="0"/>
        <w:autoSpaceDN w:val="0"/>
        <w:adjustRightInd w:val="0"/>
        <w:spacing w:beforeLines="0" w:afterLines="0" w:line="580" w:lineRule="exact"/>
        <w:ind w:firstLine="600"/>
        <w:rPr>
          <w:rFonts w:hint="default" w:eastAsia="Times New Roman"/>
          <w:color w:val="FF0000"/>
          <w:sz w:val="32"/>
          <w:szCs w:val="24"/>
        </w:rPr>
      </w:pPr>
      <w:r>
        <w:rPr>
          <w:rFonts w:hint="eastAsia" w:ascii="仿宋_GB2312" w:eastAsia="仿宋_GB2312"/>
          <w:sz w:val="32"/>
          <w:szCs w:val="24"/>
        </w:rPr>
        <w:t>制定并组织实施村镇建设规划，部署重点工程建设，地方道路建设及公共设施，水利设施的管理，负责土地、林木、水等自然资源和生态环境的保护，做好护林防火工作。抓好精神文明建设，丰富</w:t>
      </w:r>
      <w:r>
        <w:rPr>
          <w:rFonts w:hint="eastAsia" w:ascii="仿宋_GB2312" w:eastAsia="仿宋_GB2312"/>
          <w:sz w:val="32"/>
          <w:szCs w:val="24"/>
        </w:rPr>
        <w:fldChar w:fldCharType="begin"/>
      </w:r>
      <w:r>
        <w:rPr>
          <w:rFonts w:hint="eastAsia" w:ascii="仿宋_GB2312" w:eastAsia="仿宋_GB2312"/>
          <w:sz w:val="32"/>
          <w:szCs w:val="24"/>
        </w:rPr>
        <w:instrText xml:space="preserve"> HYPERLINK "https://www.baidu.com/s?wd=%E7%BE%A4%E4%BC%97%E6%96%87%E5%8C%96&amp;tn=44039180_cpr&amp;fenlei=mv6quAkxTZn0IZRqIHckPjm4nH00T1Y3PjP-n10vrj99PWbYmhFh0ZwV5Hcvrjm3rH6sPfKWUMw85HfYnjn4nH6sgvPsT6KdThsqpZwYTjCEQLGCpyw9Uz4Bmy-bIi4WUvYETgN-TLwGUv3EPjcLrHc3Pj04" \t "_blank" </w:instrText>
      </w:r>
      <w:r>
        <w:rPr>
          <w:rFonts w:hint="eastAsia" w:ascii="仿宋_GB2312" w:eastAsia="仿宋_GB2312"/>
          <w:sz w:val="32"/>
          <w:szCs w:val="24"/>
        </w:rPr>
        <w:fldChar w:fldCharType="separate"/>
      </w:r>
      <w:r>
        <w:rPr>
          <w:rFonts w:hint="eastAsia" w:ascii="仿宋_GB2312" w:eastAsia="仿宋_GB2312"/>
          <w:sz w:val="32"/>
          <w:szCs w:val="24"/>
        </w:rPr>
        <w:t>群众文化</w:t>
      </w:r>
      <w:r>
        <w:rPr>
          <w:rFonts w:hint="eastAsia" w:ascii="仿宋_GB2312" w:eastAsia="仿宋_GB2312"/>
          <w:sz w:val="32"/>
          <w:szCs w:val="24"/>
        </w:rPr>
        <w:fldChar w:fldCharType="end"/>
      </w:r>
      <w:r>
        <w:rPr>
          <w:rFonts w:hint="eastAsia" w:ascii="仿宋_GB2312" w:eastAsia="仿宋_GB2312"/>
          <w:sz w:val="32"/>
          <w:szCs w:val="24"/>
        </w:rPr>
        <w:t>生活，提倡移风易俗，反对封建迷信，破除陈规陋习，树立社会主义新风尚。完成上级政府交办的其它事项。</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二、机构设置</w:t>
      </w:r>
    </w:p>
    <w:p>
      <w:pPr>
        <w:autoSpaceDE w:val="0"/>
        <w:autoSpaceDN w:val="0"/>
        <w:adjustRightInd w:val="0"/>
        <w:spacing w:beforeLines="0" w:afterLines="0" w:line="580" w:lineRule="exact"/>
        <w:ind w:firstLine="600"/>
        <w:rPr>
          <w:rFonts w:hint="eastAsia" w:ascii="仿宋_GB2312" w:eastAsia="仿宋_GB2312"/>
          <w:sz w:val="32"/>
          <w:szCs w:val="24"/>
        </w:rPr>
      </w:pPr>
      <w:r>
        <w:rPr>
          <w:rFonts w:hint="eastAsia" w:ascii="仿宋_GB2312" w:eastAsia="仿宋_GB2312"/>
          <w:sz w:val="32"/>
          <w:szCs w:val="24"/>
        </w:rPr>
        <w:t>主要职能：红彦镇人民政府是行政事业单位，主要职能是负责本行政区域内的民政、计划生育、</w:t>
      </w:r>
      <w:r>
        <w:rPr>
          <w:rFonts w:hint="eastAsia" w:ascii="仿宋_GB2312" w:eastAsia="仿宋_GB2312"/>
          <w:sz w:val="32"/>
          <w:szCs w:val="24"/>
        </w:rPr>
        <w:fldChar w:fldCharType="begin"/>
      </w:r>
      <w:r>
        <w:rPr>
          <w:rFonts w:hint="eastAsia" w:ascii="仿宋_GB2312" w:eastAsia="仿宋_GB2312"/>
          <w:sz w:val="32"/>
          <w:szCs w:val="24"/>
        </w:rPr>
        <w:instrText xml:space="preserve"> HYPERLINK "https://www.baidu.com/s?wd=%E6%96%87%E5%8C%96%E6%95%99%E8%82%B2&amp;tn=44039180_cpr&amp;fenlei=mv6quAkxTZn0IZRqIHckPjm4nH00T1Y3PjP-n10vrj99PWbYmhFh0ZwV5Hcvrjm3rH6sPfKWUMw85HfYnjn4nH6sgvPsT6KdThsqpZwYTjCEQLGCpyw9Uz4Bmy-bIi4WUvYETgN-TLwGUv3EPjcLrHc3Pj04" \t "_blank" </w:instrText>
      </w:r>
      <w:r>
        <w:rPr>
          <w:rFonts w:hint="eastAsia" w:ascii="仿宋_GB2312" w:eastAsia="仿宋_GB2312"/>
          <w:sz w:val="32"/>
          <w:szCs w:val="24"/>
        </w:rPr>
        <w:fldChar w:fldCharType="separate"/>
      </w:r>
      <w:r>
        <w:rPr>
          <w:rFonts w:hint="eastAsia" w:ascii="仿宋_GB2312" w:eastAsia="仿宋_GB2312"/>
          <w:sz w:val="32"/>
          <w:szCs w:val="24"/>
        </w:rPr>
        <w:t>文化教育</w:t>
      </w:r>
      <w:r>
        <w:rPr>
          <w:rFonts w:hint="eastAsia" w:ascii="仿宋_GB2312" w:eastAsia="仿宋_GB2312"/>
          <w:sz w:val="32"/>
          <w:szCs w:val="24"/>
        </w:rPr>
        <w:fldChar w:fldCharType="end"/>
      </w:r>
      <w:r>
        <w:rPr>
          <w:rFonts w:hint="eastAsia" w:ascii="仿宋_GB2312" w:eastAsia="仿宋_GB2312"/>
          <w:sz w:val="32"/>
          <w:szCs w:val="24"/>
        </w:rPr>
        <w:t>、卫生、体育等社会公益事业的综合性工作，维护一切经济单位和个人的正当经济权益，取缔非法经济活动，调解和处理</w:t>
      </w:r>
      <w:r>
        <w:rPr>
          <w:rFonts w:hint="eastAsia" w:ascii="仿宋_GB2312" w:eastAsia="仿宋_GB2312"/>
          <w:sz w:val="32"/>
          <w:szCs w:val="24"/>
        </w:rPr>
        <w:fldChar w:fldCharType="begin"/>
      </w:r>
      <w:r>
        <w:rPr>
          <w:rFonts w:hint="eastAsia" w:ascii="仿宋_GB2312" w:eastAsia="仿宋_GB2312"/>
          <w:sz w:val="32"/>
          <w:szCs w:val="24"/>
        </w:rPr>
        <w:instrText xml:space="preserve"> HYPERLINK "https://www.baidu.com/s?wd=%E6%B0%91%E4%BA%8B%E7%BA%A0%E7%BA%B7&amp;tn=44039180_cpr&amp;fenlei=mv6quAkxTZn0IZRqIHckPjm4nH00T1Y3PjP-n10vrj99PWbYmhFh0ZwV5Hcvrjm3rH6sPfKWUMw85HfYnjn4nH6sgvPsT6KdThsqpZwYTjCEQLGCpyw9Uz4Bmy-bIi4WUvYETgN-TLwGUv3EPjcLrHc3Pj04" \t "_blank" </w:instrText>
      </w:r>
      <w:r>
        <w:rPr>
          <w:rFonts w:hint="eastAsia" w:ascii="仿宋_GB2312" w:eastAsia="仿宋_GB2312"/>
          <w:sz w:val="32"/>
          <w:szCs w:val="24"/>
        </w:rPr>
        <w:fldChar w:fldCharType="separate"/>
      </w:r>
      <w:r>
        <w:rPr>
          <w:rFonts w:hint="eastAsia" w:ascii="仿宋_GB2312" w:eastAsia="仿宋_GB2312"/>
          <w:sz w:val="32"/>
          <w:szCs w:val="24"/>
        </w:rPr>
        <w:t>民事纠纷</w:t>
      </w:r>
      <w:r>
        <w:rPr>
          <w:rFonts w:hint="eastAsia" w:ascii="仿宋_GB2312" w:eastAsia="仿宋_GB2312"/>
          <w:sz w:val="32"/>
          <w:szCs w:val="24"/>
        </w:rPr>
        <w:fldChar w:fldCharType="end"/>
      </w:r>
      <w:r>
        <w:rPr>
          <w:rFonts w:hint="eastAsia" w:ascii="仿宋_GB2312" w:eastAsia="仿宋_GB2312"/>
          <w:sz w:val="32"/>
          <w:szCs w:val="24"/>
        </w:rPr>
        <w:t>，打击刑事犯罪维护社会稳定。</w:t>
      </w:r>
    </w:p>
    <w:p>
      <w:pPr>
        <w:autoSpaceDE w:val="0"/>
        <w:autoSpaceDN w:val="0"/>
        <w:adjustRightInd w:val="0"/>
        <w:spacing w:beforeLines="0" w:afterLines="0" w:line="580" w:lineRule="exact"/>
        <w:ind w:firstLine="600"/>
        <w:rPr>
          <w:rFonts w:hint="eastAsia" w:ascii="仿宋_GB2312" w:eastAsia="仿宋_GB2312"/>
          <w:sz w:val="32"/>
          <w:szCs w:val="24"/>
        </w:rPr>
      </w:pPr>
      <w:r>
        <w:rPr>
          <w:rFonts w:hint="eastAsia" w:ascii="仿宋_GB2312" w:eastAsia="仿宋_GB2312"/>
          <w:sz w:val="32"/>
          <w:szCs w:val="24"/>
        </w:rPr>
        <w:t>内设机构：农业服务中心、文化站、社保所、水务站4个服务站所。</w:t>
      </w:r>
    </w:p>
    <w:p>
      <w:pPr>
        <w:autoSpaceDE w:val="0"/>
        <w:autoSpaceDN w:val="0"/>
        <w:adjustRightInd w:val="0"/>
        <w:spacing w:beforeLines="0" w:afterLines="0" w:line="580" w:lineRule="exact"/>
        <w:ind w:firstLine="600"/>
        <w:rPr>
          <w:rFonts w:hint="eastAsia" w:ascii="仿宋_GB2312" w:eastAsia="仿宋_GB2312"/>
          <w:sz w:val="32"/>
          <w:szCs w:val="24"/>
        </w:rPr>
      </w:pPr>
      <w:r>
        <w:rPr>
          <w:rFonts w:hint="eastAsia" w:ascii="仿宋_GB2312" w:eastAsia="仿宋_GB2312"/>
          <w:sz w:val="32"/>
          <w:szCs w:val="24"/>
        </w:rPr>
        <w:t>人员情况：年末实有职工1</w:t>
      </w:r>
      <w:r>
        <w:rPr>
          <w:rFonts w:hint="eastAsia" w:ascii="仿宋_GB2312" w:eastAsia="仿宋_GB2312"/>
          <w:sz w:val="32"/>
          <w:szCs w:val="24"/>
          <w:lang w:val="en-US" w:eastAsia="zh-CN"/>
        </w:rPr>
        <w:t>17</w:t>
      </w:r>
      <w:bookmarkStart w:id="0" w:name="_GoBack"/>
      <w:bookmarkEnd w:id="0"/>
      <w:r>
        <w:rPr>
          <w:rFonts w:hint="eastAsia" w:ascii="仿宋_GB2312" w:eastAsia="仿宋_GB2312"/>
          <w:sz w:val="32"/>
          <w:szCs w:val="24"/>
        </w:rPr>
        <w:t>名，其中在职在编人员</w:t>
      </w:r>
      <w:r>
        <w:rPr>
          <w:rFonts w:hint="eastAsia" w:ascii="仿宋_GB2312" w:eastAsia="仿宋_GB2312"/>
          <w:sz w:val="32"/>
          <w:szCs w:val="24"/>
          <w:lang w:val="en-US" w:eastAsia="zh-CN"/>
        </w:rPr>
        <w:t>68</w:t>
      </w:r>
      <w:r>
        <w:rPr>
          <w:rFonts w:hint="eastAsia" w:ascii="仿宋_GB2312" w:eastAsia="仿宋_GB2312"/>
          <w:sz w:val="32"/>
          <w:szCs w:val="24"/>
        </w:rPr>
        <w:t>人（行政编制</w:t>
      </w:r>
      <w:r>
        <w:rPr>
          <w:rFonts w:hint="eastAsia" w:ascii="仿宋_GB2312" w:eastAsia="仿宋_GB2312"/>
          <w:sz w:val="32"/>
          <w:szCs w:val="24"/>
          <w:lang w:val="en-US" w:eastAsia="zh-CN"/>
        </w:rPr>
        <w:t>28</w:t>
      </w:r>
      <w:r>
        <w:rPr>
          <w:rFonts w:hint="eastAsia" w:ascii="仿宋_GB2312" w:eastAsia="仿宋_GB2312"/>
          <w:sz w:val="32"/>
          <w:szCs w:val="24"/>
        </w:rPr>
        <w:t>人、事业编制</w:t>
      </w:r>
      <w:r>
        <w:rPr>
          <w:rFonts w:hint="eastAsia" w:ascii="仿宋_GB2312" w:eastAsia="仿宋_GB2312"/>
          <w:sz w:val="32"/>
          <w:szCs w:val="24"/>
          <w:lang w:val="en-US" w:eastAsia="zh-CN"/>
        </w:rPr>
        <w:t>40</w:t>
      </w:r>
      <w:r>
        <w:rPr>
          <w:rFonts w:hint="eastAsia" w:ascii="仿宋_GB2312" w:eastAsia="仿宋_GB2312"/>
          <w:sz w:val="32"/>
          <w:szCs w:val="24"/>
        </w:rPr>
        <w:t>人），退休退职人员</w:t>
      </w:r>
      <w:r>
        <w:rPr>
          <w:rFonts w:hint="eastAsia" w:ascii="仿宋_GB2312" w:eastAsia="仿宋_GB2312"/>
          <w:sz w:val="32"/>
          <w:szCs w:val="24"/>
          <w:lang w:val="en-US" w:eastAsia="zh-CN"/>
        </w:rPr>
        <w:t>49</w:t>
      </w:r>
      <w:r>
        <w:rPr>
          <w:rFonts w:hint="eastAsia" w:ascii="仿宋_GB2312" w:eastAsia="仿宋_GB2312"/>
          <w:sz w:val="32"/>
          <w:szCs w:val="24"/>
        </w:rPr>
        <w:t>人。</w:t>
      </w:r>
    </w:p>
    <w:p>
      <w:pPr>
        <w:spacing w:beforeLines="0" w:afterLines="0" w:line="580" w:lineRule="exact"/>
        <w:ind w:firstLine="600"/>
        <w:rPr>
          <w:rFonts w:hint="default" w:eastAsia="Times New Roman"/>
          <w:b/>
          <w:color w:val="auto"/>
          <w:sz w:val="32"/>
          <w:szCs w:val="24"/>
        </w:rPr>
      </w:pPr>
      <w:r>
        <w:rPr>
          <w:rFonts w:hint="eastAsia" w:ascii="仿宋_GB2312" w:hAnsi="仿宋_GB2312" w:eastAsia="仿宋_GB2312"/>
          <w:b/>
          <w:color w:val="auto"/>
          <w:sz w:val="32"/>
          <w:szCs w:val="24"/>
        </w:rPr>
        <w:t>第二部分 20</w:t>
      </w:r>
      <w:r>
        <w:rPr>
          <w:rFonts w:hint="eastAsia" w:ascii="仿宋_GB2312" w:hAnsi="仿宋_GB2312" w:eastAsia="仿宋_GB2312"/>
          <w:b/>
          <w:color w:val="auto"/>
          <w:sz w:val="32"/>
          <w:szCs w:val="24"/>
          <w:lang w:val="en-US" w:eastAsia="zh-CN"/>
        </w:rPr>
        <w:t>20</w:t>
      </w:r>
      <w:r>
        <w:rPr>
          <w:rFonts w:hint="eastAsia" w:ascii="仿宋_GB2312" w:hAnsi="仿宋_GB2312" w:eastAsia="仿宋_GB2312"/>
          <w:b/>
          <w:color w:val="auto"/>
          <w:sz w:val="32"/>
          <w:szCs w:val="24"/>
        </w:rPr>
        <w:t>年度部门决算情况说明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一、关于20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年度预算执行情况分析</w:t>
      </w:r>
    </w:p>
    <w:p>
      <w:pPr>
        <w:spacing w:beforeLines="0" w:afterLines="0" w:line="580" w:lineRule="exact"/>
        <w:ind w:firstLine="600"/>
        <w:rPr>
          <w:rFonts w:hint="eastAsia" w:ascii="仿宋_GB2312" w:eastAsia="仿宋_GB2312"/>
          <w:sz w:val="32"/>
          <w:szCs w:val="24"/>
          <w:lang w:val="en-US" w:eastAsia="zh-CN"/>
        </w:rPr>
      </w:pPr>
      <w:r>
        <w:rPr>
          <w:rFonts w:hint="eastAsia" w:ascii="仿宋_GB2312" w:eastAsia="仿宋_GB2312"/>
          <w:sz w:val="32"/>
          <w:szCs w:val="24"/>
        </w:rPr>
        <w:t>本部门20</w:t>
      </w:r>
      <w:r>
        <w:rPr>
          <w:rFonts w:hint="eastAsia" w:ascii="仿宋_GB2312" w:eastAsia="仿宋_GB2312"/>
          <w:sz w:val="32"/>
          <w:szCs w:val="24"/>
          <w:lang w:val="en-US" w:eastAsia="zh-CN"/>
        </w:rPr>
        <w:t>20</w:t>
      </w:r>
      <w:r>
        <w:rPr>
          <w:rFonts w:hint="eastAsia" w:ascii="仿宋_GB2312" w:eastAsia="仿宋_GB2312"/>
          <w:sz w:val="32"/>
          <w:szCs w:val="24"/>
        </w:rPr>
        <w:t>年度</w:t>
      </w:r>
      <w:r>
        <w:rPr>
          <w:rFonts w:hint="eastAsia" w:ascii="仿宋_GB2312" w:eastAsia="仿宋_GB2312"/>
          <w:sz w:val="32"/>
          <w:szCs w:val="24"/>
          <w:lang w:eastAsia="zh-CN"/>
        </w:rPr>
        <w:t>预</w:t>
      </w:r>
      <w:r>
        <w:rPr>
          <w:rFonts w:hint="eastAsia" w:ascii="仿宋_GB2312" w:eastAsia="仿宋_GB2312"/>
          <w:sz w:val="32"/>
          <w:szCs w:val="24"/>
        </w:rPr>
        <w:t>算收入总计3151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eastAsia="仿宋_GB2312"/>
          <w:sz w:val="32"/>
          <w:szCs w:val="24"/>
        </w:rPr>
        <w:t>万元，与201</w:t>
      </w:r>
      <w:r>
        <w:rPr>
          <w:rFonts w:hint="eastAsia" w:ascii="仿宋_GB2312" w:eastAsia="仿宋_GB2312"/>
          <w:sz w:val="32"/>
          <w:szCs w:val="24"/>
          <w:lang w:val="en-US" w:eastAsia="zh-CN"/>
        </w:rPr>
        <w:t>9</w:t>
      </w:r>
      <w:r>
        <w:rPr>
          <w:rFonts w:hint="eastAsia" w:ascii="仿宋_GB2312" w:eastAsia="仿宋_GB2312"/>
          <w:sz w:val="32"/>
          <w:szCs w:val="24"/>
        </w:rPr>
        <w:t>年</w:t>
      </w:r>
      <w:r>
        <w:rPr>
          <w:rFonts w:hint="eastAsia" w:ascii="仿宋_GB2312" w:eastAsia="仿宋_GB2312"/>
          <w:sz w:val="32"/>
          <w:szCs w:val="24"/>
          <w:lang w:eastAsia="zh-CN"/>
        </w:rPr>
        <w:t>度预</w:t>
      </w:r>
      <w:r>
        <w:rPr>
          <w:rFonts w:hint="eastAsia" w:ascii="仿宋_GB2312" w:eastAsia="仿宋_GB2312"/>
          <w:sz w:val="32"/>
          <w:szCs w:val="24"/>
        </w:rPr>
        <w:t>算收入相比，</w:t>
      </w:r>
      <w:r>
        <w:rPr>
          <w:rFonts w:hint="eastAsia" w:ascii="仿宋_GB2312" w:eastAsia="仿宋_GB2312"/>
          <w:sz w:val="32"/>
          <w:szCs w:val="24"/>
          <w:lang w:eastAsia="zh-CN"/>
        </w:rPr>
        <w:t>减少</w:t>
      </w:r>
      <w:r>
        <w:rPr>
          <w:rFonts w:hint="eastAsia" w:ascii="仿宋_GB2312" w:eastAsia="仿宋_GB2312"/>
          <w:sz w:val="32"/>
          <w:szCs w:val="24"/>
          <w:lang w:val="en-US" w:eastAsia="zh-CN"/>
        </w:rPr>
        <w:t>719.86万元。</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二、关于20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年度决算情况说明</w:t>
      </w:r>
    </w:p>
    <w:p>
      <w:pPr>
        <w:spacing w:beforeLines="0" w:afterLines="0" w:line="580" w:lineRule="exact"/>
        <w:ind w:firstLine="600"/>
        <w:rPr>
          <w:rFonts w:hint="default" w:eastAsia="Times New Roman"/>
          <w:color w:val="auto"/>
          <w:sz w:val="32"/>
          <w:szCs w:val="24"/>
        </w:rPr>
      </w:pPr>
      <w:r>
        <w:rPr>
          <w:rFonts w:hint="eastAsia" w:ascii="楷体" w:hAnsi="楷体" w:eastAsia="楷体"/>
          <w:color w:val="auto"/>
          <w:sz w:val="32"/>
          <w:szCs w:val="24"/>
        </w:rPr>
        <w:t>（一）关于收支情况总体说明</w:t>
      </w:r>
    </w:p>
    <w:p>
      <w:pPr>
        <w:spacing w:beforeLines="0" w:afterLines="0" w:line="580" w:lineRule="exact"/>
        <w:ind w:firstLine="600"/>
        <w:rPr>
          <w:rFonts w:hint="eastAsia" w:ascii="仿宋_GB2312" w:hAnsi="仿宋_GB2312" w:eastAsia="仿宋_GB2312"/>
          <w:color w:val="auto"/>
          <w:sz w:val="32"/>
          <w:szCs w:val="24"/>
          <w:lang w:eastAsia="zh-CN"/>
        </w:rPr>
      </w:pPr>
      <w:r>
        <w:rPr>
          <w:rFonts w:hint="eastAsia" w:ascii="仿宋_GB2312" w:hAnsi="仿宋_GB2312" w:eastAsia="仿宋_GB2312"/>
          <w:color w:val="auto"/>
          <w:sz w:val="32"/>
          <w:szCs w:val="24"/>
        </w:rPr>
        <w:t>本部门20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年度收入总计</w:t>
      </w:r>
      <w:r>
        <w:rPr>
          <w:rFonts w:hint="eastAsia" w:ascii="仿宋_GB2312" w:eastAsia="仿宋_GB2312"/>
          <w:sz w:val="32"/>
          <w:szCs w:val="24"/>
        </w:rPr>
        <w:t>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hAnsi="仿宋_GB2312" w:eastAsia="仿宋_GB2312"/>
          <w:color w:val="auto"/>
          <w:sz w:val="32"/>
          <w:szCs w:val="24"/>
        </w:rPr>
        <w:t>万元，其中：本年收入合计</w:t>
      </w:r>
      <w:r>
        <w:rPr>
          <w:rFonts w:hint="eastAsia" w:ascii="仿宋_GB2312" w:eastAsia="仿宋_GB2312"/>
          <w:sz w:val="32"/>
          <w:szCs w:val="24"/>
        </w:rPr>
        <w:t>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hAnsi="仿宋_GB2312" w:eastAsia="仿宋_GB2312"/>
          <w:color w:val="auto"/>
          <w:sz w:val="32"/>
          <w:szCs w:val="24"/>
        </w:rPr>
        <w:t>万元，用事业基金弥补收支差额</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万元，年初结转和结余820</w:t>
      </w:r>
      <w:r>
        <w:rPr>
          <w:rFonts w:hint="eastAsia" w:ascii="仿宋_GB2312" w:hAnsi="仿宋_GB2312" w:eastAsia="仿宋_GB2312"/>
          <w:color w:val="auto"/>
          <w:sz w:val="32"/>
          <w:szCs w:val="24"/>
          <w:lang w:val="en-US" w:eastAsia="zh-CN"/>
        </w:rPr>
        <w:t>.</w:t>
      </w:r>
      <w:r>
        <w:rPr>
          <w:rFonts w:hint="eastAsia" w:ascii="仿宋_GB2312" w:hAnsi="仿宋_GB2312" w:eastAsia="仿宋_GB2312"/>
          <w:color w:val="auto"/>
          <w:sz w:val="32"/>
          <w:szCs w:val="24"/>
        </w:rPr>
        <w:t>8</w:t>
      </w:r>
      <w:r>
        <w:rPr>
          <w:rFonts w:hint="eastAsia" w:ascii="仿宋_GB2312" w:hAnsi="仿宋_GB2312" w:eastAsia="仿宋_GB2312"/>
          <w:color w:val="auto"/>
          <w:sz w:val="32"/>
          <w:szCs w:val="24"/>
          <w:lang w:val="en-US" w:eastAsia="zh-CN"/>
        </w:rPr>
        <w:t>1</w:t>
      </w:r>
      <w:r>
        <w:rPr>
          <w:rFonts w:hint="eastAsia" w:ascii="仿宋_GB2312" w:hAnsi="仿宋_GB2312" w:eastAsia="仿宋_GB2312"/>
          <w:color w:val="auto"/>
          <w:sz w:val="32"/>
          <w:szCs w:val="24"/>
        </w:rPr>
        <w:t>万元；支出总计</w:t>
      </w:r>
      <w:r>
        <w:rPr>
          <w:rFonts w:hint="eastAsia" w:ascii="仿宋_GB2312" w:eastAsia="仿宋_GB2312"/>
          <w:sz w:val="32"/>
          <w:szCs w:val="24"/>
        </w:rPr>
        <w:t>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hAnsi="仿宋_GB2312" w:eastAsia="仿宋_GB2312"/>
          <w:color w:val="auto"/>
          <w:sz w:val="32"/>
          <w:szCs w:val="24"/>
        </w:rPr>
        <w:t>万元，其中：结余分配1690</w:t>
      </w:r>
      <w:r>
        <w:rPr>
          <w:rFonts w:hint="eastAsia" w:ascii="仿宋_GB2312" w:hAnsi="仿宋_GB2312" w:eastAsia="仿宋_GB2312"/>
          <w:color w:val="auto"/>
          <w:sz w:val="32"/>
          <w:szCs w:val="24"/>
          <w:lang w:val="en-US" w:eastAsia="zh-CN"/>
        </w:rPr>
        <w:t>.</w:t>
      </w:r>
      <w:r>
        <w:rPr>
          <w:rFonts w:hint="eastAsia" w:ascii="仿宋_GB2312" w:hAnsi="仿宋_GB2312" w:eastAsia="仿宋_GB2312"/>
          <w:color w:val="auto"/>
          <w:sz w:val="32"/>
          <w:szCs w:val="24"/>
        </w:rPr>
        <w:t>58万元，年末结转和结余</w:t>
      </w:r>
      <w:r>
        <w:rPr>
          <w:rFonts w:hint="eastAsia" w:ascii="仿宋_GB2312" w:hAnsi="仿宋_GB2312" w:eastAsia="仿宋_GB2312"/>
          <w:color w:val="auto"/>
          <w:sz w:val="32"/>
          <w:szCs w:val="24"/>
          <w:lang w:val="en-US" w:eastAsia="zh-CN"/>
        </w:rPr>
        <w:t>1461.34</w:t>
      </w:r>
      <w:r>
        <w:rPr>
          <w:rFonts w:hint="eastAsia" w:ascii="仿宋_GB2312" w:hAnsi="仿宋_GB2312" w:eastAsia="仿宋_GB2312"/>
          <w:color w:val="auto"/>
          <w:sz w:val="32"/>
          <w:szCs w:val="24"/>
        </w:rPr>
        <w:t>万元。与20</w:t>
      </w:r>
      <w:r>
        <w:rPr>
          <w:rFonts w:hint="eastAsia" w:ascii="仿宋_GB2312" w:hAnsi="仿宋_GB2312" w:eastAsia="仿宋_GB2312"/>
          <w:color w:val="auto"/>
          <w:sz w:val="32"/>
          <w:szCs w:val="24"/>
          <w:lang w:val="en-US" w:eastAsia="zh-CN"/>
        </w:rPr>
        <w:t>19</w:t>
      </w:r>
      <w:r>
        <w:rPr>
          <w:rFonts w:hint="eastAsia" w:ascii="仿宋_GB2312" w:hAnsi="仿宋_GB2312" w:eastAsia="仿宋_GB2312"/>
          <w:color w:val="auto"/>
          <w:sz w:val="32"/>
          <w:szCs w:val="24"/>
        </w:rPr>
        <w:t>年度相比，收入总计减少</w:t>
      </w:r>
      <w:r>
        <w:rPr>
          <w:rFonts w:hint="eastAsia" w:ascii="仿宋_GB2312" w:eastAsia="仿宋_GB2312"/>
          <w:sz w:val="32"/>
          <w:szCs w:val="24"/>
          <w:lang w:val="en-US" w:eastAsia="zh-CN"/>
        </w:rPr>
        <w:t>719.86</w:t>
      </w:r>
      <w:r>
        <w:rPr>
          <w:rFonts w:hint="eastAsia" w:ascii="仿宋_GB2312" w:hAnsi="仿宋_GB2312" w:eastAsia="仿宋_GB2312"/>
          <w:color w:val="auto"/>
          <w:sz w:val="32"/>
          <w:szCs w:val="24"/>
        </w:rPr>
        <w:t>万元，下降</w:t>
      </w:r>
      <w:r>
        <w:rPr>
          <w:rFonts w:hint="eastAsia" w:ascii="仿宋_GB2312" w:hAnsi="仿宋_GB2312" w:eastAsia="仿宋_GB2312"/>
          <w:color w:val="auto"/>
          <w:sz w:val="32"/>
          <w:szCs w:val="24"/>
          <w:lang w:val="en-US" w:eastAsia="zh-CN"/>
        </w:rPr>
        <w:t>18.59</w:t>
      </w:r>
      <w:r>
        <w:rPr>
          <w:rFonts w:hint="eastAsia" w:ascii="仿宋_GB2312" w:hAnsi="仿宋_GB2312" w:eastAsia="仿宋_GB2312"/>
          <w:color w:val="auto"/>
          <w:sz w:val="32"/>
          <w:szCs w:val="24"/>
        </w:rPr>
        <w:t>%；支出总计减少</w:t>
      </w:r>
      <w:r>
        <w:rPr>
          <w:rFonts w:hint="eastAsia" w:ascii="仿宋_GB2312" w:eastAsia="仿宋_GB2312"/>
          <w:sz w:val="32"/>
          <w:szCs w:val="24"/>
          <w:lang w:val="en-US" w:eastAsia="zh-CN"/>
        </w:rPr>
        <w:t>719.86</w:t>
      </w:r>
      <w:r>
        <w:rPr>
          <w:rFonts w:hint="eastAsia" w:ascii="仿宋_GB2312" w:hAnsi="仿宋_GB2312" w:eastAsia="仿宋_GB2312"/>
          <w:color w:val="auto"/>
          <w:sz w:val="32"/>
          <w:szCs w:val="24"/>
        </w:rPr>
        <w:t>万元，下降</w:t>
      </w:r>
      <w:r>
        <w:rPr>
          <w:rFonts w:hint="eastAsia" w:ascii="仿宋_GB2312" w:hAnsi="仿宋_GB2312" w:eastAsia="仿宋_GB2312"/>
          <w:color w:val="auto"/>
          <w:sz w:val="32"/>
          <w:szCs w:val="24"/>
          <w:lang w:val="en-US" w:eastAsia="zh-CN"/>
        </w:rPr>
        <w:t>18.59</w:t>
      </w:r>
      <w:r>
        <w:rPr>
          <w:rFonts w:hint="eastAsia" w:ascii="仿宋_GB2312" w:hAnsi="仿宋_GB2312" w:eastAsia="仿宋_GB2312"/>
          <w:color w:val="auto"/>
          <w:sz w:val="32"/>
          <w:szCs w:val="24"/>
        </w:rPr>
        <w:t>%。主要原因：一是</w:t>
      </w:r>
      <w:r>
        <w:rPr>
          <w:rFonts w:hint="eastAsia" w:ascii="仿宋_GB2312" w:hAnsi="仿宋_GB2312" w:eastAsia="仿宋_GB2312"/>
          <w:color w:val="auto"/>
          <w:sz w:val="32"/>
          <w:szCs w:val="24"/>
          <w:lang w:eastAsia="zh-CN"/>
        </w:rPr>
        <w:t>退耕还林工作任务相对减少。</w:t>
      </w:r>
    </w:p>
    <w:p>
      <w:pPr>
        <w:spacing w:beforeLines="0" w:afterLines="0" w:line="580" w:lineRule="exact"/>
        <w:ind w:firstLine="640" w:firstLineChars="200"/>
        <w:rPr>
          <w:rFonts w:hint="default" w:eastAsia="Times New Roman"/>
          <w:color w:val="auto"/>
          <w:sz w:val="32"/>
          <w:szCs w:val="24"/>
        </w:rPr>
      </w:pPr>
      <w:r>
        <w:rPr>
          <w:rFonts w:hint="eastAsia" w:ascii="楷体" w:hAnsi="楷体" w:eastAsia="楷体"/>
          <w:color w:val="auto"/>
          <w:sz w:val="32"/>
          <w:szCs w:val="24"/>
        </w:rPr>
        <w:t>（二）关于20</w:t>
      </w:r>
      <w:r>
        <w:rPr>
          <w:rFonts w:hint="eastAsia" w:ascii="楷体" w:hAnsi="楷体" w:eastAsia="楷体"/>
          <w:color w:val="auto"/>
          <w:sz w:val="32"/>
          <w:szCs w:val="24"/>
          <w:lang w:val="en-US" w:eastAsia="zh-CN"/>
        </w:rPr>
        <w:t>20</w:t>
      </w:r>
      <w:r>
        <w:rPr>
          <w:rFonts w:hint="eastAsia" w:ascii="楷体" w:hAnsi="楷体" w:eastAsia="楷体"/>
          <w:color w:val="auto"/>
          <w:sz w:val="32"/>
          <w:szCs w:val="24"/>
        </w:rPr>
        <w:t>年度收入决算情况说明</w:t>
      </w:r>
    </w:p>
    <w:p>
      <w:pPr>
        <w:spacing w:beforeLines="0" w:afterLines="0" w:line="580" w:lineRule="exact"/>
        <w:ind w:firstLine="600"/>
        <w:rPr>
          <w:rFonts w:hint="eastAsia" w:ascii="仿宋_GB2312" w:hAnsi="仿宋_GB2312" w:eastAsia="仿宋_GB2312"/>
          <w:color w:val="auto"/>
          <w:sz w:val="32"/>
          <w:szCs w:val="24"/>
          <w:lang w:val="en-US" w:eastAsia="zh-CN"/>
        </w:rPr>
      </w:pPr>
      <w:r>
        <w:rPr>
          <w:rFonts w:hint="eastAsia" w:ascii="仿宋_GB2312" w:hAnsi="仿宋_GB2312" w:eastAsia="仿宋_GB2312"/>
          <w:color w:val="auto"/>
          <w:sz w:val="32"/>
          <w:szCs w:val="24"/>
        </w:rPr>
        <w:t>本部门20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年度收入合计</w:t>
      </w:r>
      <w:r>
        <w:rPr>
          <w:rFonts w:hint="eastAsia" w:ascii="仿宋_GB2312" w:eastAsia="仿宋_GB2312"/>
          <w:sz w:val="32"/>
          <w:szCs w:val="24"/>
        </w:rPr>
        <w:t>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hAnsi="仿宋_GB2312" w:eastAsia="仿宋_GB2312"/>
          <w:color w:val="auto"/>
          <w:sz w:val="32"/>
          <w:szCs w:val="24"/>
        </w:rPr>
        <w:t>万元，其中：财政拨款收入</w:t>
      </w:r>
      <w:r>
        <w:rPr>
          <w:rFonts w:hint="eastAsia" w:ascii="仿宋_GB2312" w:eastAsia="仿宋_GB2312"/>
          <w:sz w:val="32"/>
          <w:szCs w:val="24"/>
        </w:rPr>
        <w:t>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hAnsi="仿宋_GB2312" w:eastAsia="仿宋_GB2312"/>
          <w:color w:val="auto"/>
          <w:sz w:val="32"/>
          <w:szCs w:val="24"/>
        </w:rPr>
        <w:t>万元，占</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w:t>
      </w:r>
      <w:r>
        <w:rPr>
          <w:rFonts w:hint="eastAsia" w:ascii="仿宋_GB2312" w:hAnsi="仿宋_GB2312" w:eastAsia="仿宋_GB2312"/>
          <w:color w:val="auto"/>
          <w:sz w:val="32"/>
          <w:szCs w:val="24"/>
          <w:lang w:eastAsia="zh-CN"/>
        </w:rPr>
        <w:t>。</w:t>
      </w:r>
    </w:p>
    <w:p>
      <w:pPr>
        <w:spacing w:beforeLines="0" w:afterLines="0" w:line="580" w:lineRule="exact"/>
        <w:ind w:firstLine="640" w:firstLineChars="200"/>
        <w:rPr>
          <w:rFonts w:hint="default" w:eastAsia="Times New Roman"/>
          <w:color w:val="auto"/>
          <w:sz w:val="32"/>
          <w:szCs w:val="24"/>
        </w:rPr>
      </w:pPr>
      <w:r>
        <w:rPr>
          <w:rFonts w:hint="eastAsia" w:ascii="楷体" w:hAnsi="楷体" w:eastAsia="楷体"/>
          <w:color w:val="auto"/>
          <w:sz w:val="32"/>
          <w:szCs w:val="24"/>
        </w:rPr>
        <w:t>（三）关于20</w:t>
      </w:r>
      <w:r>
        <w:rPr>
          <w:rFonts w:hint="eastAsia" w:ascii="楷体" w:hAnsi="楷体" w:eastAsia="楷体"/>
          <w:color w:val="auto"/>
          <w:sz w:val="32"/>
          <w:szCs w:val="24"/>
          <w:lang w:val="en-US" w:eastAsia="zh-CN"/>
        </w:rPr>
        <w:t>20</w:t>
      </w:r>
      <w:r>
        <w:rPr>
          <w:rFonts w:hint="eastAsia" w:ascii="楷体" w:hAnsi="楷体" w:eastAsia="楷体"/>
          <w:color w:val="auto"/>
          <w:sz w:val="32"/>
          <w:szCs w:val="24"/>
        </w:rPr>
        <w:t>年度支出决算情况说明</w:t>
      </w:r>
    </w:p>
    <w:p>
      <w:pPr>
        <w:spacing w:beforeLines="0" w:afterLines="0" w:line="580" w:lineRule="exact"/>
        <w:ind w:firstLine="600"/>
        <w:rPr>
          <w:rFonts w:hint="eastAsia" w:ascii="仿宋_GB2312" w:hAnsi="仿宋_GB2312" w:eastAsia="仿宋_GB2312"/>
          <w:color w:val="auto"/>
          <w:sz w:val="32"/>
          <w:szCs w:val="24"/>
          <w:highlight w:val="yellow"/>
          <w:lang w:val="en-US" w:eastAsia="zh-CN"/>
        </w:rPr>
      </w:pPr>
      <w:r>
        <w:rPr>
          <w:rFonts w:hint="eastAsia" w:ascii="仿宋_GB2312" w:hAnsi="仿宋_GB2312" w:eastAsia="仿宋_GB2312"/>
          <w:color w:val="auto"/>
          <w:sz w:val="32"/>
          <w:szCs w:val="24"/>
        </w:rPr>
        <w:t>本部门2019年度支出合计</w:t>
      </w:r>
      <w:r>
        <w:rPr>
          <w:rFonts w:hint="eastAsia" w:ascii="仿宋_GB2312" w:eastAsia="仿宋_GB2312"/>
          <w:sz w:val="32"/>
          <w:szCs w:val="24"/>
        </w:rPr>
        <w:t>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hAnsi="仿宋_GB2312" w:eastAsia="仿宋_GB2312"/>
          <w:color w:val="auto"/>
          <w:sz w:val="32"/>
          <w:szCs w:val="24"/>
        </w:rPr>
        <w:t>万元，其中：基本支出1496</w:t>
      </w:r>
      <w:r>
        <w:rPr>
          <w:rFonts w:hint="eastAsia" w:ascii="仿宋_GB2312" w:hAnsi="仿宋_GB2312" w:eastAsia="仿宋_GB2312"/>
          <w:color w:val="auto"/>
          <w:sz w:val="32"/>
          <w:szCs w:val="24"/>
          <w:lang w:val="en-US" w:eastAsia="zh-CN"/>
        </w:rPr>
        <w:t>.</w:t>
      </w:r>
      <w:r>
        <w:rPr>
          <w:rFonts w:hint="eastAsia" w:ascii="仿宋_GB2312" w:hAnsi="仿宋_GB2312" w:eastAsia="仿宋_GB2312"/>
          <w:color w:val="auto"/>
          <w:sz w:val="32"/>
          <w:szCs w:val="24"/>
        </w:rPr>
        <w:t>4</w:t>
      </w:r>
      <w:r>
        <w:rPr>
          <w:rFonts w:hint="eastAsia" w:ascii="仿宋_GB2312" w:hAnsi="仿宋_GB2312" w:eastAsia="仿宋_GB2312"/>
          <w:color w:val="auto"/>
          <w:sz w:val="32"/>
          <w:szCs w:val="24"/>
          <w:lang w:val="en-US" w:eastAsia="zh-CN"/>
        </w:rPr>
        <w:t>5</w:t>
      </w:r>
      <w:r>
        <w:rPr>
          <w:rFonts w:hint="eastAsia" w:ascii="仿宋_GB2312" w:hAnsi="仿宋_GB2312" w:eastAsia="仿宋_GB2312"/>
          <w:color w:val="auto"/>
          <w:sz w:val="32"/>
          <w:szCs w:val="24"/>
        </w:rPr>
        <w:t>万元，占</w:t>
      </w:r>
      <w:r>
        <w:rPr>
          <w:rFonts w:hint="eastAsia" w:ascii="仿宋_GB2312" w:hAnsi="仿宋_GB2312" w:eastAsia="仿宋_GB2312"/>
          <w:color w:val="auto"/>
          <w:sz w:val="32"/>
          <w:szCs w:val="24"/>
          <w:lang w:val="en-US" w:eastAsia="zh-CN"/>
        </w:rPr>
        <w:t>47.48</w:t>
      </w:r>
      <w:r>
        <w:rPr>
          <w:rFonts w:hint="eastAsia" w:ascii="仿宋_GB2312" w:hAnsi="仿宋_GB2312" w:eastAsia="仿宋_GB2312"/>
          <w:color w:val="auto"/>
          <w:sz w:val="32"/>
          <w:szCs w:val="24"/>
        </w:rPr>
        <w:t>%；项目支出</w:t>
      </w:r>
      <w:r>
        <w:rPr>
          <w:rFonts w:hint="eastAsia" w:ascii="仿宋_GB2312" w:hAnsi="仿宋_GB2312" w:eastAsia="仿宋_GB2312"/>
          <w:color w:val="auto"/>
          <w:sz w:val="32"/>
          <w:szCs w:val="24"/>
          <w:lang w:val="en-US" w:eastAsia="zh-CN"/>
        </w:rPr>
        <w:t>194.13</w:t>
      </w:r>
      <w:r>
        <w:rPr>
          <w:rFonts w:hint="eastAsia" w:ascii="仿宋_GB2312" w:hAnsi="仿宋_GB2312" w:eastAsia="仿宋_GB2312"/>
          <w:color w:val="auto"/>
          <w:sz w:val="32"/>
          <w:szCs w:val="24"/>
        </w:rPr>
        <w:t>万元，占</w:t>
      </w:r>
      <w:r>
        <w:rPr>
          <w:rFonts w:hint="eastAsia" w:ascii="仿宋_GB2312" w:hAnsi="仿宋_GB2312" w:eastAsia="仿宋_GB2312"/>
          <w:color w:val="auto"/>
          <w:sz w:val="32"/>
          <w:szCs w:val="24"/>
          <w:lang w:val="en-US" w:eastAsia="zh-CN"/>
        </w:rPr>
        <w:t>6.16</w:t>
      </w:r>
      <w:r>
        <w:rPr>
          <w:rFonts w:hint="eastAsia" w:ascii="仿宋_GB2312" w:hAnsi="仿宋_GB2312" w:eastAsia="仿宋_GB2312"/>
          <w:color w:val="auto"/>
          <w:sz w:val="32"/>
          <w:szCs w:val="24"/>
        </w:rPr>
        <w:t>%</w:t>
      </w:r>
      <w:r>
        <w:rPr>
          <w:rFonts w:hint="eastAsia" w:ascii="仿宋_GB2312" w:hAnsi="仿宋_GB2312" w:eastAsia="仿宋_GB2312"/>
          <w:color w:val="auto"/>
          <w:sz w:val="32"/>
          <w:szCs w:val="24"/>
          <w:lang w:eastAsia="zh-CN"/>
        </w:rPr>
        <w:t>；</w:t>
      </w:r>
      <w:r>
        <w:rPr>
          <w:rFonts w:hint="eastAsia" w:ascii="仿宋_GB2312" w:hAnsi="仿宋_GB2312" w:eastAsia="仿宋_GB2312"/>
          <w:color w:val="auto"/>
          <w:sz w:val="32"/>
          <w:szCs w:val="24"/>
        </w:rPr>
        <w:t>年末结转和结余</w:t>
      </w:r>
      <w:r>
        <w:rPr>
          <w:rFonts w:hint="eastAsia" w:ascii="仿宋_GB2312" w:hAnsi="仿宋_GB2312" w:eastAsia="仿宋_GB2312"/>
          <w:color w:val="auto"/>
          <w:sz w:val="32"/>
          <w:szCs w:val="24"/>
          <w:lang w:val="en-US" w:eastAsia="zh-CN"/>
        </w:rPr>
        <w:t>1461.34万元</w:t>
      </w:r>
      <w:r>
        <w:rPr>
          <w:rFonts w:hint="eastAsia" w:ascii="仿宋_GB2312" w:hAnsi="仿宋_GB2312" w:eastAsia="仿宋_GB2312"/>
          <w:color w:val="auto"/>
          <w:sz w:val="32"/>
          <w:szCs w:val="24"/>
        </w:rPr>
        <w:t>，占</w:t>
      </w:r>
      <w:r>
        <w:rPr>
          <w:rFonts w:hint="eastAsia" w:ascii="仿宋_GB2312" w:hAnsi="仿宋_GB2312" w:eastAsia="仿宋_GB2312"/>
          <w:color w:val="auto"/>
          <w:sz w:val="32"/>
          <w:szCs w:val="24"/>
          <w:lang w:val="en-US" w:eastAsia="zh-CN"/>
        </w:rPr>
        <w:t>46.36</w:t>
      </w:r>
      <w:r>
        <w:rPr>
          <w:rFonts w:hint="eastAsia" w:ascii="仿宋_GB2312" w:hAnsi="仿宋_GB2312" w:eastAsia="仿宋_GB2312"/>
          <w:color w:val="auto"/>
          <w:sz w:val="32"/>
          <w:szCs w:val="24"/>
        </w:rPr>
        <w:t>%。</w:t>
      </w:r>
    </w:p>
    <w:p>
      <w:pPr>
        <w:spacing w:beforeLines="0" w:afterLines="0" w:line="580" w:lineRule="exact"/>
        <w:ind w:firstLine="640" w:firstLineChars="200"/>
        <w:rPr>
          <w:rFonts w:hint="default" w:eastAsia="Times New Roman"/>
          <w:color w:val="auto"/>
          <w:sz w:val="32"/>
          <w:szCs w:val="24"/>
        </w:rPr>
      </w:pPr>
      <w:r>
        <w:rPr>
          <w:rFonts w:hint="eastAsia" w:ascii="楷体" w:hAnsi="楷体" w:eastAsia="楷体"/>
          <w:color w:val="auto"/>
          <w:sz w:val="32"/>
          <w:szCs w:val="24"/>
        </w:rPr>
        <w:t>（四）关于20</w:t>
      </w:r>
      <w:r>
        <w:rPr>
          <w:rFonts w:hint="eastAsia" w:ascii="楷体" w:hAnsi="楷体" w:eastAsia="楷体"/>
          <w:color w:val="auto"/>
          <w:sz w:val="32"/>
          <w:szCs w:val="24"/>
          <w:lang w:val="en-US" w:eastAsia="zh-CN"/>
        </w:rPr>
        <w:t>20</w:t>
      </w:r>
      <w:r>
        <w:rPr>
          <w:rFonts w:hint="eastAsia" w:ascii="楷体" w:hAnsi="楷体" w:eastAsia="楷体"/>
          <w:color w:val="auto"/>
          <w:sz w:val="32"/>
          <w:szCs w:val="24"/>
        </w:rPr>
        <w:t>年度财政拨款收入支出决算总体情况说明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本部门20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年度财政拨款收入总计</w:t>
      </w:r>
      <w:r>
        <w:rPr>
          <w:rFonts w:hint="eastAsia" w:ascii="仿宋_GB2312" w:eastAsia="仿宋_GB2312"/>
          <w:sz w:val="32"/>
          <w:szCs w:val="24"/>
        </w:rPr>
        <w:t>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hAnsi="仿宋_GB2312" w:eastAsia="仿宋_GB2312"/>
          <w:color w:val="auto"/>
          <w:sz w:val="32"/>
          <w:szCs w:val="24"/>
        </w:rPr>
        <w:t>万元，其中：年初结转和结余820</w:t>
      </w:r>
      <w:r>
        <w:rPr>
          <w:rFonts w:hint="eastAsia" w:ascii="仿宋_GB2312" w:hAnsi="仿宋_GB2312" w:eastAsia="仿宋_GB2312"/>
          <w:color w:val="auto"/>
          <w:sz w:val="32"/>
          <w:szCs w:val="24"/>
          <w:lang w:val="en-US" w:eastAsia="zh-CN"/>
        </w:rPr>
        <w:t>.</w:t>
      </w:r>
      <w:r>
        <w:rPr>
          <w:rFonts w:hint="eastAsia" w:ascii="仿宋_GB2312" w:hAnsi="仿宋_GB2312" w:eastAsia="仿宋_GB2312"/>
          <w:color w:val="auto"/>
          <w:sz w:val="32"/>
          <w:szCs w:val="24"/>
        </w:rPr>
        <w:t>8</w:t>
      </w:r>
      <w:r>
        <w:rPr>
          <w:rFonts w:hint="eastAsia" w:ascii="仿宋_GB2312" w:hAnsi="仿宋_GB2312" w:eastAsia="仿宋_GB2312"/>
          <w:color w:val="auto"/>
          <w:sz w:val="32"/>
          <w:szCs w:val="24"/>
          <w:lang w:val="en-US" w:eastAsia="zh-CN"/>
        </w:rPr>
        <w:t>1</w:t>
      </w:r>
      <w:r>
        <w:rPr>
          <w:rFonts w:hint="eastAsia" w:ascii="仿宋_GB2312" w:hAnsi="仿宋_GB2312" w:eastAsia="仿宋_GB2312"/>
          <w:color w:val="auto"/>
          <w:sz w:val="32"/>
          <w:szCs w:val="24"/>
        </w:rPr>
        <w:t>万元；支出总计</w:t>
      </w:r>
      <w:r>
        <w:rPr>
          <w:rFonts w:hint="eastAsia" w:ascii="仿宋_GB2312" w:eastAsia="仿宋_GB2312"/>
          <w:sz w:val="32"/>
          <w:szCs w:val="24"/>
        </w:rPr>
        <w:t>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hAnsi="仿宋_GB2312" w:eastAsia="仿宋_GB2312"/>
          <w:color w:val="auto"/>
          <w:sz w:val="32"/>
          <w:szCs w:val="24"/>
        </w:rPr>
        <w:t>万元，其中：年末结转和结余</w:t>
      </w:r>
      <w:r>
        <w:rPr>
          <w:rFonts w:hint="eastAsia" w:ascii="仿宋_GB2312" w:hAnsi="仿宋_GB2312" w:eastAsia="仿宋_GB2312"/>
          <w:color w:val="auto"/>
          <w:sz w:val="32"/>
          <w:szCs w:val="24"/>
          <w:lang w:val="en-US" w:eastAsia="zh-CN"/>
        </w:rPr>
        <w:t>1461.34</w:t>
      </w:r>
      <w:r>
        <w:rPr>
          <w:rFonts w:hint="eastAsia" w:ascii="仿宋_GB2312" w:hAnsi="仿宋_GB2312" w:eastAsia="仿宋_GB2312"/>
          <w:color w:val="auto"/>
          <w:sz w:val="32"/>
          <w:szCs w:val="24"/>
        </w:rPr>
        <w:t>万元。与20</w:t>
      </w:r>
      <w:r>
        <w:rPr>
          <w:rFonts w:hint="eastAsia" w:ascii="仿宋_GB2312" w:hAnsi="仿宋_GB2312" w:eastAsia="仿宋_GB2312"/>
          <w:color w:val="auto"/>
          <w:sz w:val="32"/>
          <w:szCs w:val="24"/>
          <w:lang w:val="en-US" w:eastAsia="zh-CN"/>
        </w:rPr>
        <w:t>19</w:t>
      </w:r>
      <w:r>
        <w:rPr>
          <w:rFonts w:hint="eastAsia" w:ascii="仿宋_GB2312" w:hAnsi="仿宋_GB2312" w:eastAsia="仿宋_GB2312"/>
          <w:color w:val="auto"/>
          <w:sz w:val="32"/>
          <w:szCs w:val="24"/>
        </w:rPr>
        <w:t>年度相比，收入减</w:t>
      </w:r>
      <w:r>
        <w:rPr>
          <w:rFonts w:hint="eastAsia" w:ascii="仿宋_GB2312" w:eastAsia="仿宋_GB2312"/>
          <w:sz w:val="32"/>
          <w:szCs w:val="24"/>
          <w:lang w:val="en-US" w:eastAsia="zh-CN"/>
        </w:rPr>
        <w:t>719.86</w:t>
      </w:r>
      <w:r>
        <w:rPr>
          <w:rFonts w:hint="eastAsia" w:ascii="仿宋_GB2312" w:hAnsi="仿宋_GB2312" w:eastAsia="仿宋_GB2312"/>
          <w:color w:val="auto"/>
          <w:sz w:val="32"/>
          <w:szCs w:val="24"/>
        </w:rPr>
        <w:t>少万元，下降</w:t>
      </w:r>
      <w:r>
        <w:rPr>
          <w:rFonts w:hint="eastAsia" w:ascii="仿宋_GB2312" w:hAnsi="仿宋_GB2312" w:eastAsia="仿宋_GB2312"/>
          <w:color w:val="auto"/>
          <w:sz w:val="32"/>
          <w:szCs w:val="24"/>
          <w:lang w:val="en-US" w:eastAsia="zh-CN"/>
        </w:rPr>
        <w:t>18.59</w:t>
      </w:r>
      <w:r>
        <w:rPr>
          <w:rFonts w:hint="eastAsia" w:ascii="仿宋_GB2312" w:hAnsi="仿宋_GB2312" w:eastAsia="仿宋_GB2312"/>
          <w:color w:val="auto"/>
          <w:sz w:val="32"/>
          <w:szCs w:val="24"/>
        </w:rPr>
        <w:t>%；支出减少</w:t>
      </w:r>
      <w:r>
        <w:rPr>
          <w:rFonts w:hint="eastAsia" w:ascii="仿宋_GB2312" w:eastAsia="仿宋_GB2312"/>
          <w:sz w:val="32"/>
          <w:szCs w:val="24"/>
          <w:lang w:val="en-US" w:eastAsia="zh-CN"/>
        </w:rPr>
        <w:t>719.86</w:t>
      </w:r>
      <w:r>
        <w:rPr>
          <w:rFonts w:hint="eastAsia" w:ascii="仿宋_GB2312" w:hAnsi="仿宋_GB2312" w:eastAsia="仿宋_GB2312"/>
          <w:color w:val="auto"/>
          <w:sz w:val="32"/>
          <w:szCs w:val="24"/>
        </w:rPr>
        <w:t>万元，下降</w:t>
      </w:r>
      <w:r>
        <w:rPr>
          <w:rFonts w:hint="eastAsia" w:ascii="仿宋_GB2312" w:hAnsi="仿宋_GB2312" w:eastAsia="仿宋_GB2312"/>
          <w:color w:val="auto"/>
          <w:sz w:val="32"/>
          <w:szCs w:val="24"/>
          <w:lang w:val="en-US" w:eastAsia="zh-CN"/>
        </w:rPr>
        <w:t>18.59</w:t>
      </w:r>
      <w:r>
        <w:rPr>
          <w:rFonts w:hint="eastAsia" w:ascii="仿宋_GB2312" w:hAnsi="仿宋_GB2312" w:eastAsia="仿宋_GB2312"/>
          <w:color w:val="auto"/>
          <w:sz w:val="32"/>
          <w:szCs w:val="24"/>
        </w:rPr>
        <w:t>%。主要原因：一是</w:t>
      </w:r>
      <w:r>
        <w:rPr>
          <w:rFonts w:hint="eastAsia" w:ascii="仿宋_GB2312" w:hAnsi="仿宋_GB2312" w:eastAsia="仿宋_GB2312"/>
          <w:color w:val="auto"/>
          <w:sz w:val="32"/>
          <w:szCs w:val="24"/>
          <w:lang w:eastAsia="zh-CN"/>
        </w:rPr>
        <w:t>退耕还林工作任务相对减少。</w:t>
      </w:r>
    </w:p>
    <w:p>
      <w:pPr>
        <w:spacing w:beforeLines="0" w:afterLines="0" w:line="580" w:lineRule="exact"/>
        <w:ind w:firstLine="600"/>
        <w:rPr>
          <w:rFonts w:hint="default" w:eastAsia="Times New Roman"/>
          <w:color w:val="auto"/>
          <w:sz w:val="32"/>
          <w:szCs w:val="24"/>
        </w:rPr>
      </w:pPr>
      <w:r>
        <w:rPr>
          <w:rFonts w:hint="eastAsia" w:ascii="楷体" w:hAnsi="楷体" w:eastAsia="楷体"/>
          <w:color w:val="auto"/>
          <w:sz w:val="32"/>
          <w:szCs w:val="24"/>
        </w:rPr>
        <w:t>（五）关于20</w:t>
      </w:r>
      <w:r>
        <w:rPr>
          <w:rFonts w:hint="eastAsia" w:ascii="楷体" w:hAnsi="楷体" w:eastAsia="楷体"/>
          <w:color w:val="auto"/>
          <w:sz w:val="32"/>
          <w:szCs w:val="24"/>
          <w:lang w:val="en-US" w:eastAsia="zh-CN"/>
        </w:rPr>
        <w:t>20</w:t>
      </w:r>
      <w:r>
        <w:rPr>
          <w:rFonts w:hint="eastAsia" w:ascii="楷体" w:hAnsi="楷体" w:eastAsia="楷体"/>
          <w:color w:val="auto"/>
          <w:sz w:val="32"/>
          <w:szCs w:val="24"/>
        </w:rPr>
        <w:t>年度一般公共预算财政拨款支出决算情况说明</w:t>
      </w:r>
    </w:p>
    <w:p>
      <w:pPr>
        <w:spacing w:beforeLines="0" w:afterLines="0" w:line="580" w:lineRule="exact"/>
        <w:ind w:firstLine="600"/>
        <w:rPr>
          <w:rFonts w:hint="eastAsia" w:eastAsia="仿宋_GB2312"/>
          <w:color w:val="auto"/>
          <w:sz w:val="32"/>
          <w:szCs w:val="24"/>
          <w:lang w:eastAsia="zh-CN"/>
        </w:rPr>
      </w:pPr>
      <w:r>
        <w:rPr>
          <w:rFonts w:hint="eastAsia" w:ascii="仿宋_GB2312" w:hAnsi="仿宋_GB2312" w:eastAsia="仿宋_GB2312"/>
          <w:color w:val="auto"/>
          <w:sz w:val="32"/>
          <w:szCs w:val="24"/>
        </w:rPr>
        <w:t>本部门20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年度一般公共预算财政拨款支出合计</w:t>
      </w:r>
      <w:r>
        <w:rPr>
          <w:rFonts w:hint="eastAsia" w:ascii="仿宋_GB2312" w:eastAsia="仿宋_GB2312"/>
          <w:sz w:val="32"/>
          <w:szCs w:val="24"/>
        </w:rPr>
        <w:t>3151</w:t>
      </w:r>
      <w:r>
        <w:rPr>
          <w:rFonts w:hint="eastAsia" w:ascii="仿宋_GB2312" w:eastAsia="仿宋_GB2312"/>
          <w:sz w:val="32"/>
          <w:szCs w:val="24"/>
          <w:lang w:val="en-US" w:eastAsia="zh-CN"/>
        </w:rPr>
        <w:t>.</w:t>
      </w:r>
      <w:r>
        <w:rPr>
          <w:rFonts w:hint="eastAsia" w:ascii="仿宋_GB2312" w:eastAsia="仿宋_GB2312"/>
          <w:sz w:val="32"/>
          <w:szCs w:val="24"/>
        </w:rPr>
        <w:t>9</w:t>
      </w:r>
      <w:r>
        <w:rPr>
          <w:rFonts w:hint="eastAsia" w:ascii="仿宋_GB2312" w:eastAsia="仿宋_GB2312"/>
          <w:sz w:val="32"/>
          <w:szCs w:val="24"/>
          <w:lang w:val="en-US" w:eastAsia="zh-CN"/>
        </w:rPr>
        <w:t>3</w:t>
      </w:r>
      <w:r>
        <w:rPr>
          <w:rFonts w:hint="eastAsia" w:ascii="仿宋_GB2312" w:hAnsi="仿宋_GB2312" w:eastAsia="仿宋_GB2312"/>
          <w:color w:val="auto"/>
          <w:sz w:val="32"/>
          <w:szCs w:val="24"/>
        </w:rPr>
        <w:t>元，其中：其中：基本支出1496</w:t>
      </w:r>
      <w:r>
        <w:rPr>
          <w:rFonts w:hint="eastAsia" w:ascii="仿宋_GB2312" w:hAnsi="仿宋_GB2312" w:eastAsia="仿宋_GB2312"/>
          <w:color w:val="auto"/>
          <w:sz w:val="32"/>
          <w:szCs w:val="24"/>
          <w:lang w:val="en-US" w:eastAsia="zh-CN"/>
        </w:rPr>
        <w:t>.</w:t>
      </w:r>
      <w:r>
        <w:rPr>
          <w:rFonts w:hint="eastAsia" w:ascii="仿宋_GB2312" w:hAnsi="仿宋_GB2312" w:eastAsia="仿宋_GB2312"/>
          <w:color w:val="auto"/>
          <w:sz w:val="32"/>
          <w:szCs w:val="24"/>
        </w:rPr>
        <w:t>4</w:t>
      </w:r>
      <w:r>
        <w:rPr>
          <w:rFonts w:hint="eastAsia" w:ascii="仿宋_GB2312" w:hAnsi="仿宋_GB2312" w:eastAsia="仿宋_GB2312"/>
          <w:color w:val="auto"/>
          <w:sz w:val="32"/>
          <w:szCs w:val="24"/>
          <w:lang w:val="en-US" w:eastAsia="zh-CN"/>
        </w:rPr>
        <w:t>5</w:t>
      </w:r>
      <w:r>
        <w:rPr>
          <w:rFonts w:hint="eastAsia" w:ascii="仿宋_GB2312" w:hAnsi="仿宋_GB2312" w:eastAsia="仿宋_GB2312"/>
          <w:color w:val="auto"/>
          <w:sz w:val="32"/>
          <w:szCs w:val="24"/>
        </w:rPr>
        <w:t>万元，占</w:t>
      </w:r>
      <w:r>
        <w:rPr>
          <w:rFonts w:hint="eastAsia" w:ascii="仿宋_GB2312" w:hAnsi="仿宋_GB2312" w:eastAsia="仿宋_GB2312"/>
          <w:color w:val="auto"/>
          <w:sz w:val="32"/>
          <w:szCs w:val="24"/>
          <w:lang w:val="en-US" w:eastAsia="zh-CN"/>
        </w:rPr>
        <w:t>47.48</w:t>
      </w:r>
      <w:r>
        <w:rPr>
          <w:rFonts w:hint="eastAsia" w:ascii="仿宋_GB2312" w:hAnsi="仿宋_GB2312" w:eastAsia="仿宋_GB2312"/>
          <w:color w:val="auto"/>
          <w:sz w:val="32"/>
          <w:szCs w:val="24"/>
        </w:rPr>
        <w:t>%；项目支出</w:t>
      </w:r>
      <w:r>
        <w:rPr>
          <w:rFonts w:hint="eastAsia" w:ascii="仿宋_GB2312" w:hAnsi="仿宋_GB2312" w:eastAsia="仿宋_GB2312"/>
          <w:color w:val="auto"/>
          <w:sz w:val="32"/>
          <w:szCs w:val="24"/>
          <w:lang w:val="en-US" w:eastAsia="zh-CN"/>
        </w:rPr>
        <w:t>194.13</w:t>
      </w:r>
      <w:r>
        <w:rPr>
          <w:rFonts w:hint="eastAsia" w:ascii="仿宋_GB2312" w:hAnsi="仿宋_GB2312" w:eastAsia="仿宋_GB2312"/>
          <w:color w:val="auto"/>
          <w:sz w:val="32"/>
          <w:szCs w:val="24"/>
        </w:rPr>
        <w:t>万元，占</w:t>
      </w:r>
      <w:r>
        <w:rPr>
          <w:rFonts w:hint="eastAsia" w:ascii="仿宋_GB2312" w:hAnsi="仿宋_GB2312" w:eastAsia="仿宋_GB2312"/>
          <w:color w:val="auto"/>
          <w:sz w:val="32"/>
          <w:szCs w:val="24"/>
          <w:lang w:val="en-US" w:eastAsia="zh-CN"/>
        </w:rPr>
        <w:t>6.16</w:t>
      </w:r>
      <w:r>
        <w:rPr>
          <w:rFonts w:hint="eastAsia" w:ascii="仿宋_GB2312" w:hAnsi="仿宋_GB2312" w:eastAsia="仿宋_GB2312"/>
          <w:color w:val="auto"/>
          <w:sz w:val="32"/>
          <w:szCs w:val="24"/>
        </w:rPr>
        <w:t>%</w:t>
      </w:r>
      <w:r>
        <w:rPr>
          <w:rFonts w:hint="eastAsia" w:ascii="仿宋_GB2312" w:hAnsi="仿宋_GB2312" w:eastAsia="仿宋_GB2312"/>
          <w:color w:val="auto"/>
          <w:sz w:val="32"/>
          <w:szCs w:val="24"/>
          <w:lang w:eastAsia="zh-CN"/>
        </w:rPr>
        <w:t>；</w:t>
      </w:r>
      <w:r>
        <w:rPr>
          <w:rFonts w:hint="eastAsia" w:ascii="仿宋_GB2312" w:hAnsi="仿宋_GB2312" w:eastAsia="仿宋_GB2312"/>
          <w:color w:val="auto"/>
          <w:sz w:val="32"/>
          <w:szCs w:val="24"/>
        </w:rPr>
        <w:t>年末结转和结余</w:t>
      </w:r>
      <w:r>
        <w:rPr>
          <w:rFonts w:hint="eastAsia" w:ascii="仿宋_GB2312" w:hAnsi="仿宋_GB2312" w:eastAsia="仿宋_GB2312"/>
          <w:color w:val="auto"/>
          <w:sz w:val="32"/>
          <w:szCs w:val="24"/>
          <w:lang w:val="en-US" w:eastAsia="zh-CN"/>
        </w:rPr>
        <w:t>1461.34万元</w:t>
      </w:r>
      <w:r>
        <w:rPr>
          <w:rFonts w:hint="eastAsia" w:ascii="仿宋_GB2312" w:hAnsi="仿宋_GB2312" w:eastAsia="仿宋_GB2312"/>
          <w:color w:val="auto"/>
          <w:sz w:val="32"/>
          <w:szCs w:val="24"/>
        </w:rPr>
        <w:t>，占</w:t>
      </w:r>
      <w:r>
        <w:rPr>
          <w:rFonts w:hint="eastAsia" w:ascii="仿宋_GB2312" w:hAnsi="仿宋_GB2312" w:eastAsia="仿宋_GB2312"/>
          <w:color w:val="auto"/>
          <w:sz w:val="32"/>
          <w:szCs w:val="24"/>
          <w:lang w:val="en-US" w:eastAsia="zh-CN"/>
        </w:rPr>
        <w:t>46.36</w:t>
      </w:r>
      <w:r>
        <w:rPr>
          <w:rFonts w:hint="eastAsia" w:ascii="仿宋_GB2312" w:hAnsi="仿宋_GB2312" w:eastAsia="仿宋_GB2312"/>
          <w:color w:val="auto"/>
          <w:sz w:val="32"/>
          <w:szCs w:val="24"/>
        </w:rPr>
        <w:t>%。</w:t>
      </w:r>
    </w:p>
    <w:p>
      <w:pPr>
        <w:spacing w:beforeLines="0" w:afterLines="0" w:line="580" w:lineRule="exact"/>
        <w:ind w:firstLine="600"/>
        <w:rPr>
          <w:rFonts w:hint="default" w:eastAsia="Times New Roman"/>
          <w:color w:val="auto"/>
          <w:sz w:val="32"/>
          <w:szCs w:val="24"/>
        </w:rPr>
      </w:pPr>
      <w:r>
        <w:rPr>
          <w:rFonts w:hint="eastAsia" w:ascii="楷体" w:hAnsi="楷体" w:eastAsia="楷体"/>
          <w:color w:val="auto"/>
          <w:sz w:val="32"/>
          <w:szCs w:val="24"/>
        </w:rPr>
        <w:t>（六）关于20</w:t>
      </w:r>
      <w:r>
        <w:rPr>
          <w:rFonts w:hint="eastAsia" w:ascii="楷体" w:hAnsi="楷体" w:eastAsia="楷体"/>
          <w:color w:val="auto"/>
          <w:sz w:val="32"/>
          <w:szCs w:val="24"/>
          <w:lang w:val="en-US" w:eastAsia="zh-CN"/>
        </w:rPr>
        <w:t>20</w:t>
      </w:r>
      <w:r>
        <w:rPr>
          <w:rFonts w:hint="eastAsia" w:ascii="楷体" w:hAnsi="楷体" w:eastAsia="楷体"/>
          <w:color w:val="auto"/>
          <w:sz w:val="32"/>
          <w:szCs w:val="24"/>
        </w:rPr>
        <w:t>年度一般公共预算财政拨款基本支出决算情况说明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本部门20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年度一般公共预算财政拨款基本支出</w:t>
      </w:r>
      <w:r>
        <w:rPr>
          <w:rFonts w:hint="eastAsia" w:ascii="仿宋_GB2312" w:hAnsi="仿宋_GB2312" w:eastAsia="仿宋_GB2312"/>
          <w:color w:val="auto"/>
          <w:sz w:val="32"/>
          <w:szCs w:val="24"/>
          <w:lang w:val="en-US" w:eastAsia="zh-CN"/>
        </w:rPr>
        <w:t>1113.69</w:t>
      </w:r>
      <w:r>
        <w:rPr>
          <w:rFonts w:hint="eastAsia" w:ascii="仿宋_GB2312" w:hAnsi="仿宋_GB2312" w:eastAsia="仿宋_GB2312"/>
          <w:color w:val="auto"/>
          <w:sz w:val="32"/>
          <w:szCs w:val="24"/>
        </w:rPr>
        <w:t>万元，其中：人员经费</w:t>
      </w:r>
      <w:r>
        <w:rPr>
          <w:rFonts w:hint="eastAsia" w:ascii="仿宋_GB2312" w:hAnsi="仿宋_GB2312" w:eastAsia="仿宋_GB2312"/>
          <w:color w:val="auto"/>
          <w:sz w:val="32"/>
          <w:szCs w:val="24"/>
          <w:lang w:val="en-US" w:eastAsia="zh-CN"/>
        </w:rPr>
        <w:t>693.38</w:t>
      </w:r>
      <w:r>
        <w:rPr>
          <w:rFonts w:hint="eastAsia" w:ascii="仿宋_GB2312" w:hAnsi="仿宋_GB2312" w:eastAsia="仿宋_GB2312"/>
          <w:color w:val="auto"/>
          <w:sz w:val="32"/>
          <w:szCs w:val="24"/>
        </w:rPr>
        <w:t>万元，主要包括：</w:t>
      </w:r>
      <w:r>
        <w:rPr>
          <w:rFonts w:hint="eastAsia" w:ascii="仿宋_GB2312" w:eastAsia="仿宋_GB2312"/>
          <w:color w:val="auto"/>
          <w:sz w:val="32"/>
          <w:szCs w:val="24"/>
        </w:rPr>
        <w:t>基本工资、津</w:t>
      </w:r>
      <w:r>
        <w:rPr>
          <w:rFonts w:hint="eastAsia" w:ascii="仿宋_GB2312" w:eastAsia="仿宋_GB2312"/>
          <w:sz w:val="32"/>
          <w:szCs w:val="24"/>
        </w:rPr>
        <w:t>贴补贴、奖金、其他社会保障缴费、退休费、生活补助、住房公积金</w:t>
      </w:r>
      <w:r>
        <w:rPr>
          <w:rFonts w:hint="eastAsia" w:ascii="仿宋_GB2312" w:hAnsi="仿宋_GB2312" w:eastAsia="仿宋_GB2312"/>
          <w:color w:val="auto"/>
          <w:sz w:val="32"/>
          <w:szCs w:val="24"/>
        </w:rPr>
        <w:t>，较上年</w:t>
      </w:r>
      <w:r>
        <w:rPr>
          <w:rFonts w:hint="eastAsia" w:ascii="仿宋_GB2312" w:hAnsi="仿宋_GB2312" w:eastAsia="仿宋_GB2312"/>
          <w:color w:val="auto"/>
          <w:sz w:val="32"/>
          <w:szCs w:val="24"/>
          <w:lang w:eastAsia="zh-CN"/>
        </w:rPr>
        <w:t>增加</w:t>
      </w:r>
      <w:r>
        <w:rPr>
          <w:rFonts w:hint="eastAsia" w:ascii="仿宋_GB2312" w:hAnsi="仿宋_GB2312" w:eastAsia="仿宋_GB2312"/>
          <w:color w:val="auto"/>
          <w:sz w:val="32"/>
          <w:szCs w:val="24"/>
          <w:lang w:val="en-US" w:eastAsia="zh-CN"/>
        </w:rPr>
        <w:t>115.77</w:t>
      </w:r>
      <w:r>
        <w:rPr>
          <w:rFonts w:hint="eastAsia" w:ascii="仿宋_GB2312" w:hAnsi="仿宋_GB2312" w:eastAsia="仿宋_GB2312"/>
          <w:color w:val="auto"/>
          <w:sz w:val="32"/>
          <w:szCs w:val="24"/>
        </w:rPr>
        <w:t>万元，主要原因是：</w:t>
      </w:r>
      <w:r>
        <w:rPr>
          <w:rFonts w:hint="eastAsia" w:ascii="仿宋_GB2312" w:eastAsia="仿宋_GB2312"/>
          <w:sz w:val="32"/>
          <w:szCs w:val="24"/>
        </w:rPr>
        <w:t>人员</w:t>
      </w:r>
      <w:r>
        <w:rPr>
          <w:rFonts w:hint="eastAsia" w:ascii="仿宋_GB2312" w:eastAsia="仿宋_GB2312"/>
          <w:sz w:val="32"/>
          <w:szCs w:val="24"/>
          <w:lang w:eastAsia="zh-CN"/>
        </w:rPr>
        <w:t>增加</w:t>
      </w:r>
      <w:r>
        <w:rPr>
          <w:rFonts w:hint="eastAsia" w:ascii="仿宋_GB2312" w:hAnsi="仿宋_GB2312" w:eastAsia="仿宋_GB2312"/>
          <w:color w:val="auto"/>
          <w:sz w:val="32"/>
          <w:szCs w:val="24"/>
        </w:rPr>
        <w:t>；公用经费</w:t>
      </w:r>
      <w:r>
        <w:rPr>
          <w:rFonts w:hint="eastAsia" w:ascii="仿宋_GB2312" w:hAnsi="仿宋_GB2312" w:eastAsia="仿宋_GB2312"/>
          <w:color w:val="auto"/>
          <w:sz w:val="32"/>
          <w:szCs w:val="24"/>
          <w:lang w:val="en-US" w:eastAsia="zh-CN"/>
        </w:rPr>
        <w:t>420.31</w:t>
      </w:r>
      <w:r>
        <w:rPr>
          <w:rFonts w:hint="eastAsia" w:ascii="仿宋_GB2312" w:hAnsi="仿宋_GB2312" w:eastAsia="仿宋_GB2312"/>
          <w:color w:val="auto"/>
          <w:sz w:val="32"/>
          <w:szCs w:val="24"/>
        </w:rPr>
        <w:t>万元，主要包括：</w:t>
      </w:r>
      <w:r>
        <w:rPr>
          <w:rFonts w:hint="eastAsia" w:ascii="仿宋_GB2312" w:eastAsia="仿宋_GB2312"/>
          <w:sz w:val="32"/>
          <w:szCs w:val="24"/>
        </w:rPr>
        <w:t>办公费、印刷费、电费、取暖费、差旅费、维修费、专用燃料费、公务用车运行维护费</w:t>
      </w:r>
      <w:r>
        <w:rPr>
          <w:rFonts w:hint="eastAsia" w:ascii="仿宋_GB2312" w:hAnsi="仿宋_GB2312" w:eastAsia="仿宋_GB2312"/>
          <w:color w:val="auto"/>
          <w:sz w:val="32"/>
          <w:szCs w:val="24"/>
        </w:rPr>
        <w:t>，较上年</w:t>
      </w:r>
      <w:r>
        <w:rPr>
          <w:rFonts w:hint="eastAsia" w:ascii="仿宋_GB2312" w:hAnsi="仿宋_GB2312" w:eastAsia="仿宋_GB2312"/>
          <w:color w:val="auto"/>
          <w:sz w:val="32"/>
          <w:szCs w:val="24"/>
          <w:lang w:eastAsia="zh-CN"/>
        </w:rPr>
        <w:t>增加</w:t>
      </w:r>
      <w:r>
        <w:rPr>
          <w:rFonts w:hint="eastAsia" w:ascii="仿宋_GB2312" w:hAnsi="仿宋_GB2312" w:eastAsia="仿宋_GB2312"/>
          <w:color w:val="auto"/>
          <w:sz w:val="32"/>
          <w:szCs w:val="24"/>
          <w:lang w:val="en-US" w:eastAsia="zh-CN"/>
        </w:rPr>
        <w:t>308.73</w:t>
      </w:r>
      <w:r>
        <w:rPr>
          <w:rFonts w:hint="eastAsia" w:ascii="仿宋_GB2312" w:hAnsi="仿宋_GB2312" w:eastAsia="仿宋_GB2312"/>
          <w:color w:val="auto"/>
          <w:sz w:val="32"/>
          <w:szCs w:val="24"/>
        </w:rPr>
        <w:t>万元，主要原因是：</w:t>
      </w:r>
      <w:r>
        <w:rPr>
          <w:rFonts w:hint="eastAsia" w:ascii="仿宋_GB2312" w:hAnsi="仿宋_GB2312" w:eastAsia="仿宋_GB2312"/>
          <w:color w:val="auto"/>
          <w:sz w:val="32"/>
          <w:szCs w:val="24"/>
          <w:lang w:eastAsia="zh-CN"/>
        </w:rPr>
        <w:t>扶贫、退耕等工作任务相对增加，下乡支出增加</w:t>
      </w:r>
      <w:r>
        <w:rPr>
          <w:rFonts w:hint="eastAsia" w:ascii="仿宋_GB2312" w:hAnsi="仿宋_GB2312" w:eastAsia="仿宋_GB2312"/>
          <w:color w:val="auto"/>
          <w:sz w:val="32"/>
          <w:szCs w:val="24"/>
        </w:rPr>
        <w:t>。</w:t>
      </w:r>
    </w:p>
    <w:p>
      <w:pPr>
        <w:spacing w:beforeLines="0" w:afterLines="0" w:line="580" w:lineRule="exact"/>
        <w:ind w:firstLine="600"/>
        <w:rPr>
          <w:rFonts w:hint="default" w:eastAsia="Times New Roman"/>
          <w:color w:val="auto"/>
          <w:sz w:val="32"/>
          <w:szCs w:val="24"/>
        </w:rPr>
      </w:pPr>
      <w:r>
        <w:rPr>
          <w:rFonts w:hint="eastAsia" w:ascii="楷体" w:hAnsi="楷体" w:eastAsia="楷体"/>
          <w:color w:val="auto"/>
          <w:sz w:val="32"/>
          <w:szCs w:val="24"/>
        </w:rPr>
        <w:t>（七）关于20</w:t>
      </w:r>
      <w:r>
        <w:rPr>
          <w:rFonts w:hint="eastAsia" w:ascii="楷体" w:hAnsi="楷体" w:eastAsia="楷体"/>
          <w:color w:val="auto"/>
          <w:sz w:val="32"/>
          <w:szCs w:val="24"/>
          <w:lang w:val="en-US" w:eastAsia="zh-CN"/>
        </w:rPr>
        <w:t>20</w:t>
      </w:r>
      <w:r>
        <w:rPr>
          <w:rFonts w:hint="eastAsia" w:ascii="楷体" w:hAnsi="楷体" w:eastAsia="楷体"/>
          <w:color w:val="auto"/>
          <w:sz w:val="32"/>
          <w:szCs w:val="24"/>
        </w:rPr>
        <w:t>年度财政拨款</w:t>
      </w:r>
      <w:r>
        <w:rPr>
          <w:rFonts w:hint="default" w:eastAsia="Times New Roman"/>
          <w:color w:val="auto"/>
          <w:sz w:val="32"/>
          <w:szCs w:val="24"/>
        </w:rPr>
        <w:t>“</w:t>
      </w:r>
      <w:r>
        <w:rPr>
          <w:rFonts w:hint="eastAsia" w:ascii="楷体" w:hAnsi="楷体" w:eastAsia="楷体"/>
          <w:color w:val="auto"/>
          <w:sz w:val="32"/>
          <w:szCs w:val="24"/>
        </w:rPr>
        <w:t>三公</w:t>
      </w:r>
      <w:r>
        <w:rPr>
          <w:rFonts w:hint="default" w:eastAsia="Times New Roman"/>
          <w:color w:val="auto"/>
          <w:sz w:val="32"/>
          <w:szCs w:val="24"/>
        </w:rPr>
        <w:t>”</w:t>
      </w:r>
      <w:r>
        <w:rPr>
          <w:rFonts w:hint="eastAsia" w:ascii="楷体" w:hAnsi="楷体" w:eastAsia="楷体"/>
          <w:color w:val="auto"/>
          <w:sz w:val="32"/>
          <w:szCs w:val="24"/>
        </w:rPr>
        <w:t>经费支出决算情况说明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1、财政拨款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经费支出决算总体情况说明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本部门20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经费预算为</w:t>
      </w:r>
      <w:r>
        <w:rPr>
          <w:rFonts w:hint="eastAsia" w:ascii="仿宋_GB2312" w:hAnsi="仿宋_GB2312" w:eastAsia="仿宋_GB2312"/>
          <w:color w:val="auto"/>
          <w:sz w:val="32"/>
          <w:szCs w:val="24"/>
          <w:lang w:val="en-US" w:eastAsia="zh-CN"/>
        </w:rPr>
        <w:t>28.34</w:t>
      </w:r>
      <w:r>
        <w:rPr>
          <w:rFonts w:hint="eastAsia" w:ascii="仿宋_GB2312" w:hAnsi="仿宋_GB2312" w:eastAsia="仿宋_GB2312"/>
          <w:color w:val="auto"/>
          <w:sz w:val="32"/>
          <w:szCs w:val="24"/>
        </w:rPr>
        <w:t>万元，支出决算为</w:t>
      </w:r>
      <w:r>
        <w:rPr>
          <w:rFonts w:hint="eastAsia" w:ascii="仿宋_GB2312" w:hAnsi="仿宋_GB2312" w:eastAsia="仿宋_GB2312"/>
          <w:color w:val="auto"/>
          <w:sz w:val="32"/>
          <w:szCs w:val="24"/>
          <w:lang w:val="en-US" w:eastAsia="zh-CN"/>
        </w:rPr>
        <w:t>28.34</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%，其中：因公出国（境）费预算为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万元，支出决算为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%；公务用车购置及运行维护费预算为</w:t>
      </w:r>
      <w:r>
        <w:rPr>
          <w:rFonts w:hint="eastAsia" w:ascii="仿宋_GB2312" w:hAnsi="仿宋_GB2312" w:eastAsia="仿宋_GB2312"/>
          <w:color w:val="auto"/>
          <w:sz w:val="32"/>
          <w:szCs w:val="24"/>
          <w:lang w:val="en-US" w:eastAsia="zh-CN"/>
        </w:rPr>
        <w:t>28.34</w:t>
      </w:r>
      <w:r>
        <w:rPr>
          <w:rFonts w:hint="eastAsia" w:ascii="仿宋_GB2312" w:hAnsi="仿宋_GB2312" w:eastAsia="仿宋_GB2312"/>
          <w:color w:val="auto"/>
          <w:sz w:val="32"/>
          <w:szCs w:val="24"/>
        </w:rPr>
        <w:t>万元，支出决算为</w:t>
      </w:r>
      <w:r>
        <w:rPr>
          <w:rFonts w:hint="eastAsia" w:ascii="仿宋_GB2312" w:hAnsi="仿宋_GB2312" w:eastAsia="仿宋_GB2312"/>
          <w:color w:val="auto"/>
          <w:sz w:val="32"/>
          <w:szCs w:val="24"/>
          <w:lang w:val="en-US" w:eastAsia="zh-CN"/>
        </w:rPr>
        <w:t>28.34</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%；公务接待费预算为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万元，支出决算为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经费支出决算与预算差异情况的原因：一是</w:t>
      </w:r>
      <w:r>
        <w:rPr>
          <w:rFonts w:hint="eastAsia" w:ascii="仿宋_GB2312" w:hAnsi="仿宋_GB2312" w:eastAsia="仿宋_GB2312"/>
          <w:color w:val="auto"/>
          <w:sz w:val="32"/>
          <w:szCs w:val="24"/>
          <w:lang w:eastAsia="zh-CN"/>
        </w:rPr>
        <w:t>扶贫、退耕等工作任务相对减少，下乡支出减少</w:t>
      </w:r>
      <w:r>
        <w:rPr>
          <w:rFonts w:hint="eastAsia" w:ascii="仿宋_GB2312" w:hAnsi="仿宋_GB2312" w:eastAsia="仿宋_GB2312"/>
          <w:color w:val="auto"/>
          <w:sz w:val="32"/>
          <w:szCs w:val="24"/>
        </w:rPr>
        <w:t>。</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2、财政拨款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经费支出决算具体情况说明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本部门20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w:t>
      </w:r>
      <w:r>
        <w:rPr>
          <w:rFonts w:hint="eastAsia" w:ascii="仿宋_GB2312" w:hAnsi="仿宋_GB2312" w:eastAsia="仿宋_GB2312"/>
          <w:color w:val="auto"/>
          <w:sz w:val="32"/>
          <w:szCs w:val="24"/>
          <w:lang w:val="en-US" w:eastAsia="zh-CN"/>
        </w:rPr>
        <w:t>28.34</w:t>
      </w:r>
      <w:r>
        <w:rPr>
          <w:rFonts w:hint="eastAsia" w:ascii="仿宋_GB2312" w:hAnsi="仿宋_GB2312" w:eastAsia="仿宋_GB2312"/>
          <w:color w:val="auto"/>
          <w:sz w:val="32"/>
          <w:szCs w:val="24"/>
        </w:rPr>
        <w:t>万元，因公出国（境）费支出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万元，占</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%；公务用车购置及运行维护费支出</w:t>
      </w:r>
      <w:r>
        <w:rPr>
          <w:rFonts w:hint="eastAsia" w:ascii="仿宋_GB2312" w:hAnsi="仿宋_GB2312" w:eastAsia="仿宋_GB2312"/>
          <w:color w:val="auto"/>
          <w:sz w:val="32"/>
          <w:szCs w:val="24"/>
          <w:lang w:val="en-US" w:eastAsia="zh-CN"/>
        </w:rPr>
        <w:t>28.34</w:t>
      </w:r>
      <w:r>
        <w:rPr>
          <w:rFonts w:hint="eastAsia" w:ascii="仿宋_GB2312" w:hAnsi="仿宋_GB2312" w:eastAsia="仿宋_GB2312"/>
          <w:color w:val="auto"/>
          <w:sz w:val="32"/>
          <w:szCs w:val="24"/>
        </w:rPr>
        <w:t>万元，占</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%；公务接待费支出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万元，占</w:t>
      </w:r>
      <w:r>
        <w:rPr>
          <w:rFonts w:hint="eastAsia" w:ascii="仿宋_GB2312" w:hAnsi="仿宋_GB2312" w:eastAsia="仿宋_GB2312"/>
          <w:color w:val="auto"/>
          <w:sz w:val="32"/>
          <w:szCs w:val="24"/>
          <w:lang w:val="en-US" w:eastAsia="zh-CN"/>
        </w:rPr>
        <w:t>00</w:t>
      </w:r>
      <w:r>
        <w:rPr>
          <w:rFonts w:hint="eastAsia" w:ascii="仿宋_GB2312" w:hAnsi="仿宋_GB2312" w:eastAsia="仿宋_GB2312"/>
          <w:color w:val="auto"/>
          <w:sz w:val="32"/>
          <w:szCs w:val="24"/>
        </w:rPr>
        <w:t>%。具体情况如下：</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b/>
          <w:color w:val="auto"/>
          <w:sz w:val="32"/>
          <w:szCs w:val="24"/>
        </w:rPr>
        <w:t>公务用车购置及运行维护费支出</w:t>
      </w:r>
      <w:r>
        <w:rPr>
          <w:rFonts w:hint="eastAsia" w:ascii="仿宋_GB2312" w:hAnsi="仿宋_GB2312" w:eastAsia="仿宋_GB2312"/>
          <w:color w:val="auto"/>
          <w:sz w:val="32"/>
          <w:szCs w:val="24"/>
          <w:lang w:val="en-US" w:eastAsia="zh-CN"/>
        </w:rPr>
        <w:t>28.34</w:t>
      </w:r>
      <w:r>
        <w:rPr>
          <w:rFonts w:hint="eastAsia" w:ascii="仿宋_GB2312" w:hAnsi="仿宋_GB2312" w:eastAsia="仿宋_GB2312"/>
          <w:color w:val="auto"/>
          <w:sz w:val="32"/>
          <w:szCs w:val="24"/>
        </w:rPr>
        <w:t>万元。其中：其中：公务用车运行维护费支出28.</w:t>
      </w:r>
      <w:r>
        <w:rPr>
          <w:rFonts w:hint="eastAsia" w:ascii="仿宋_GB2312" w:hAnsi="仿宋_GB2312" w:eastAsia="仿宋_GB2312"/>
          <w:color w:val="auto"/>
          <w:sz w:val="32"/>
          <w:szCs w:val="24"/>
          <w:lang w:val="en-US" w:eastAsia="zh-CN"/>
        </w:rPr>
        <w:t>34</w:t>
      </w:r>
      <w:r>
        <w:rPr>
          <w:rFonts w:hint="eastAsia" w:ascii="仿宋_GB2312" w:hAnsi="仿宋_GB2312" w:eastAsia="仿宋_GB2312"/>
          <w:color w:val="auto"/>
          <w:sz w:val="32"/>
          <w:szCs w:val="24"/>
        </w:rPr>
        <w:t>万元，用于</w:t>
      </w:r>
      <w:r>
        <w:rPr>
          <w:rFonts w:hint="eastAsia" w:ascii="仿宋_GB2312" w:hAnsi="仿宋_GB2312" w:eastAsia="仿宋_GB2312"/>
          <w:color w:val="auto"/>
          <w:sz w:val="32"/>
          <w:szCs w:val="24"/>
          <w:lang w:eastAsia="zh-CN"/>
        </w:rPr>
        <w:t>退耕还林、扶贫下乡入户</w:t>
      </w:r>
      <w:r>
        <w:rPr>
          <w:rFonts w:hint="eastAsia" w:ascii="仿宋_GB2312" w:hAnsi="仿宋_GB2312" w:eastAsia="仿宋_GB2312"/>
          <w:color w:val="auto"/>
          <w:sz w:val="32"/>
          <w:szCs w:val="24"/>
        </w:rPr>
        <w:t>，车均运维费7.</w:t>
      </w:r>
      <w:r>
        <w:rPr>
          <w:rFonts w:hint="eastAsia" w:ascii="仿宋_GB2312" w:hAnsi="仿宋_GB2312" w:eastAsia="仿宋_GB2312"/>
          <w:color w:val="auto"/>
          <w:sz w:val="32"/>
          <w:szCs w:val="24"/>
          <w:lang w:val="en-US" w:eastAsia="zh-CN"/>
        </w:rPr>
        <w:t>09</w:t>
      </w:r>
      <w:r>
        <w:rPr>
          <w:rFonts w:hint="eastAsia" w:ascii="仿宋_GB2312" w:hAnsi="仿宋_GB2312" w:eastAsia="仿宋_GB2312"/>
          <w:color w:val="auto"/>
          <w:sz w:val="32"/>
          <w:szCs w:val="24"/>
        </w:rPr>
        <w:t>万元，较上年增加0万元，财政拨款开支的公务用车保有量为4辆。</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三、预算绩效情况说明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（一）预算绩效管理工作开展情况</w:t>
      </w:r>
    </w:p>
    <w:p>
      <w:pPr>
        <w:autoSpaceDE w:val="0"/>
        <w:autoSpaceDN w:val="0"/>
        <w:adjustRightInd w:val="0"/>
        <w:spacing w:beforeLines="0" w:afterLines="0" w:line="580" w:lineRule="exact"/>
        <w:ind w:firstLine="600"/>
        <w:rPr>
          <w:rFonts w:hint="eastAsia" w:ascii="仿宋_GB2312" w:eastAsia="仿宋_GB2312"/>
          <w:sz w:val="32"/>
          <w:szCs w:val="24"/>
        </w:rPr>
      </w:pPr>
      <w:r>
        <w:rPr>
          <w:rFonts w:hint="eastAsia" w:ascii="仿宋_GB2312" w:eastAsia="仿宋_GB2312"/>
          <w:sz w:val="32"/>
          <w:szCs w:val="24"/>
        </w:rPr>
        <w:t>为进一步强化政府预算为民服务的理念，强化预算责任和效率话尽可能少的资金班尽可能多的实事，红彦镇预算绩效目标如下：强化预算支出责任和效率，因地制宜，改进预算管理，控制节约成本，提高公共产品质量和公共服务水平。</w:t>
      </w:r>
    </w:p>
    <w:p>
      <w:pPr>
        <w:autoSpaceDE w:val="0"/>
        <w:autoSpaceDN w:val="0"/>
        <w:adjustRightInd w:val="0"/>
        <w:spacing w:beforeLines="0" w:afterLines="0" w:line="580" w:lineRule="exact"/>
        <w:ind w:firstLine="600"/>
        <w:rPr>
          <w:rFonts w:hint="default" w:eastAsia="Times New Roman"/>
          <w:color w:val="FF0000"/>
          <w:sz w:val="32"/>
          <w:szCs w:val="24"/>
        </w:rPr>
      </w:pPr>
      <w:r>
        <w:rPr>
          <w:rFonts w:hint="eastAsia" w:ascii="仿宋_GB2312" w:eastAsia="仿宋_GB2312"/>
          <w:sz w:val="32"/>
          <w:szCs w:val="24"/>
        </w:rPr>
        <w:t>根据红彦镇预决算对比情况来看，红彦镇预算执行情况良好，各款项收支管理清晰，为民服务成果显著。</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（二）部门决算中项目绩效自评结果</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……。（根据项目开展情况，分项目进行项目的绩效评价结果情况综述，并将项目支出绩效自评表附后。）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四、其他重要事项的情况说明</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（一）机关运行经费支出情况</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本部门20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年度机关运行经费支出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万元，比20</w:t>
      </w:r>
      <w:r>
        <w:rPr>
          <w:rFonts w:hint="eastAsia" w:ascii="仿宋_GB2312" w:hAnsi="仿宋_GB2312" w:eastAsia="仿宋_GB2312"/>
          <w:color w:val="auto"/>
          <w:sz w:val="32"/>
          <w:szCs w:val="24"/>
          <w:lang w:val="en-US" w:eastAsia="zh-CN"/>
        </w:rPr>
        <w:t>19</w:t>
      </w:r>
      <w:r>
        <w:rPr>
          <w:rFonts w:hint="eastAsia" w:ascii="仿宋_GB2312" w:hAnsi="仿宋_GB2312" w:eastAsia="仿宋_GB2312"/>
          <w:color w:val="auto"/>
          <w:sz w:val="32"/>
          <w:szCs w:val="24"/>
        </w:rPr>
        <w:t>年增加</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万元，增长</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（二）政府采购支出情况</w:t>
      </w:r>
    </w:p>
    <w:p>
      <w:pPr>
        <w:spacing w:beforeLines="0" w:afterLines="0"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本部门20</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年度政府采购支出合计</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万元，其中：政府采购货物支出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w:t>
      </w:r>
      <w:r>
        <w:rPr>
          <w:rFonts w:hint="default" w:eastAsia="Times New Roman"/>
          <w:color w:val="auto"/>
          <w:sz w:val="32"/>
          <w:szCs w:val="24"/>
        </w:rPr>
        <w:t>,</w:t>
      </w:r>
      <w:r>
        <w:rPr>
          <w:rFonts w:hint="eastAsia" w:ascii="仿宋_GB2312" w:hAnsi="仿宋_GB2312" w:eastAsia="仿宋_GB2312"/>
          <w:color w:val="auto"/>
          <w:sz w:val="32"/>
          <w:szCs w:val="24"/>
        </w:rPr>
        <w:t>比201</w:t>
      </w:r>
      <w:r>
        <w:rPr>
          <w:rFonts w:hint="eastAsia" w:ascii="仿宋_GB2312" w:hAnsi="仿宋_GB2312" w:eastAsia="仿宋_GB2312"/>
          <w:color w:val="auto"/>
          <w:sz w:val="32"/>
          <w:szCs w:val="24"/>
          <w:lang w:val="en-US" w:eastAsia="zh-CN"/>
        </w:rPr>
        <w:t>9</w:t>
      </w:r>
      <w:r>
        <w:rPr>
          <w:rFonts w:hint="eastAsia" w:ascii="仿宋_GB2312" w:hAnsi="仿宋_GB2312" w:eastAsia="仿宋_GB2312"/>
          <w:color w:val="auto"/>
          <w:sz w:val="32"/>
          <w:szCs w:val="24"/>
        </w:rPr>
        <w:t>年增加</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万元，增长</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%；政府采购工程支出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万元，比201</w:t>
      </w:r>
      <w:r>
        <w:rPr>
          <w:rFonts w:hint="eastAsia" w:ascii="仿宋_GB2312" w:hAnsi="仿宋_GB2312" w:eastAsia="仿宋_GB2312"/>
          <w:color w:val="auto"/>
          <w:sz w:val="32"/>
          <w:szCs w:val="24"/>
          <w:lang w:val="en-US" w:eastAsia="zh-CN"/>
        </w:rPr>
        <w:t>9</w:t>
      </w:r>
      <w:r>
        <w:rPr>
          <w:rFonts w:hint="eastAsia" w:ascii="仿宋_GB2312" w:hAnsi="仿宋_GB2312" w:eastAsia="仿宋_GB2312"/>
          <w:color w:val="auto"/>
          <w:sz w:val="32"/>
          <w:szCs w:val="24"/>
        </w:rPr>
        <w:t>年增加</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万元，增长</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%；政府采购服务支出</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万元，比201</w:t>
      </w:r>
      <w:r>
        <w:rPr>
          <w:rFonts w:hint="eastAsia" w:ascii="仿宋_GB2312" w:hAnsi="仿宋_GB2312" w:eastAsia="仿宋_GB2312"/>
          <w:color w:val="auto"/>
          <w:sz w:val="32"/>
          <w:szCs w:val="24"/>
          <w:lang w:val="en-US" w:eastAsia="zh-CN"/>
        </w:rPr>
        <w:t>9</w:t>
      </w:r>
      <w:r>
        <w:rPr>
          <w:rFonts w:hint="eastAsia" w:ascii="仿宋_GB2312" w:hAnsi="仿宋_GB2312" w:eastAsia="仿宋_GB2312"/>
          <w:color w:val="auto"/>
          <w:sz w:val="32"/>
          <w:szCs w:val="24"/>
        </w:rPr>
        <w:t>年增加</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万元，增长</w:t>
      </w:r>
      <w:r>
        <w:rPr>
          <w:rFonts w:hint="eastAsia" w:ascii="仿宋_GB2312" w:hAnsi="仿宋_GB2312" w:eastAsia="仿宋_GB2312"/>
          <w:color w:val="auto"/>
          <w:sz w:val="32"/>
          <w:szCs w:val="24"/>
          <w:lang w:val="en-US" w:eastAsia="zh-CN"/>
        </w:rPr>
        <w:t>0</w:t>
      </w:r>
      <w:r>
        <w:rPr>
          <w:rFonts w:hint="eastAsia" w:ascii="仿宋_GB2312" w:hAnsi="仿宋_GB2312" w:eastAsia="仿宋_GB2312"/>
          <w:color w:val="auto"/>
          <w:sz w:val="32"/>
          <w:szCs w:val="24"/>
        </w:rPr>
        <w:t>%。</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（三）国有资产占用情况</w:t>
      </w:r>
    </w:p>
    <w:p>
      <w:pPr>
        <w:spacing w:beforeLines="0" w:afterLines="0"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截至201</w:t>
      </w:r>
      <w:r>
        <w:rPr>
          <w:rFonts w:hint="eastAsia" w:ascii="仿宋_GB2312" w:hAnsi="仿宋_GB2312" w:eastAsia="仿宋_GB2312"/>
          <w:color w:val="auto"/>
          <w:sz w:val="32"/>
          <w:szCs w:val="24"/>
          <w:lang w:val="en-US" w:eastAsia="zh-CN"/>
        </w:rPr>
        <w:t>9</w:t>
      </w:r>
      <w:r>
        <w:rPr>
          <w:rFonts w:hint="eastAsia" w:ascii="仿宋_GB2312" w:hAnsi="仿宋_GB2312" w:eastAsia="仿宋_GB2312"/>
          <w:color w:val="auto"/>
          <w:sz w:val="32"/>
          <w:szCs w:val="24"/>
        </w:rPr>
        <w:t>年12月31日，本部门共有车辆4辆，其中，其他用车4辆，主要是用于</w:t>
      </w:r>
      <w:r>
        <w:rPr>
          <w:rFonts w:hint="eastAsia" w:ascii="仿宋_GB2312" w:hAnsi="仿宋_GB2312" w:eastAsia="仿宋_GB2312"/>
          <w:color w:val="auto"/>
          <w:sz w:val="32"/>
          <w:szCs w:val="24"/>
          <w:lang w:eastAsia="zh-CN"/>
        </w:rPr>
        <w:t>日常工作下乡使用</w:t>
      </w:r>
      <w:r>
        <w:rPr>
          <w:rFonts w:hint="eastAsia" w:ascii="仿宋_GB2312" w:hAnsi="仿宋_GB2312" w:eastAsia="仿宋_GB2312"/>
          <w:color w:val="auto"/>
          <w:sz w:val="32"/>
          <w:szCs w:val="24"/>
        </w:rPr>
        <w:t>。</w:t>
      </w:r>
    </w:p>
    <w:p>
      <w:pPr>
        <w:spacing w:beforeLines="0" w:afterLines="0" w:line="580" w:lineRule="exact"/>
        <w:ind w:firstLine="600"/>
        <w:rPr>
          <w:rFonts w:hint="default" w:eastAsia="Times New Roman"/>
          <w:b/>
          <w:color w:val="auto"/>
          <w:sz w:val="32"/>
          <w:szCs w:val="24"/>
        </w:rPr>
      </w:pPr>
      <w:r>
        <w:rPr>
          <w:rFonts w:hint="eastAsia" w:ascii="仿宋_GB2312" w:hAnsi="仿宋_GB2312" w:eastAsia="仿宋_GB2312"/>
          <w:b/>
          <w:color w:val="auto"/>
          <w:sz w:val="32"/>
          <w:szCs w:val="24"/>
        </w:rPr>
        <w:t>第三部分 名词解释</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（一）财政拨款收入：指本年度从本级财政部门取得的财政拨款，包括一般公共预算财政拨款和政府性基金预算财政拨款。</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（二）事业收入：指事业单位开展专业业务活动及其辅助活动取得的收入；事业单位收到的财政专户实际核拨的教育收费等资金。</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（三）经营收入：指事业单位在专业业务活动及其辅助活动之外开展非独立核算经营活动取得的收入。</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五）用事业基金弥补收支差额：指事业单位在当年的“财政拨款收入”、“财政拨款结转和结余资金”、“事业收入”、“事业单位经营收入”、“其他收入”不足以安排当年支出的情况下，使用以前年度累积的事业基金（当年收支相抵后按国家规定提取、用于弥补以后年度收支差额的基金）弥补本年收支缺口的资金。</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（六）年初结转和结余：</w:t>
      </w:r>
      <w:r>
        <w:rPr>
          <w:rFonts w:hint="eastAsia" w:ascii="仿宋_GB2312" w:hAnsi="仿宋_GB2312" w:eastAsia="仿宋_GB2312"/>
          <w:color w:val="auto"/>
          <w:sz w:val="32"/>
          <w:szCs w:val="24"/>
          <w:highlight w:val="white"/>
        </w:rPr>
        <w:t>指以前年度支出预算因客观条件变化未执行完毕、结转到本年度按有关规定继续使用的资金。</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（七）结余分配</w:t>
      </w:r>
      <w:r>
        <w:rPr>
          <w:rFonts w:hint="eastAsia" w:ascii="仿宋_GB2312" w:hAnsi="仿宋_GB2312" w:eastAsia="仿宋_GB2312"/>
          <w:color w:val="auto"/>
          <w:sz w:val="32"/>
          <w:szCs w:val="24"/>
          <w:highlight w:val="white"/>
        </w:rPr>
        <w:t>：指事业单位按照会计制度规定缴纳的所得税以及从非财政拨款结余中提取的职工福利基金、事业基金等。</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（八）年末结转和结余</w:t>
      </w:r>
      <w:r>
        <w:rPr>
          <w:rFonts w:hint="eastAsia" w:ascii="仿宋_GB2312" w:hAnsi="仿宋_GB2312" w:eastAsia="仿宋_GB2312"/>
          <w:color w:val="auto"/>
          <w:sz w:val="32"/>
          <w:szCs w:val="24"/>
          <w:highlight w:val="white"/>
        </w:rPr>
        <w:t>：指单位本年度或以前年度预算安排、因客观条件发生变化未全部执行或未执行，结转到以后年度继续使用的资金，或项目已完成等产生的结余资金。</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（九）基本支出：指为保障机构正常运转、完成日常工作任务而发生的人员经费和公用经费。其中：人员经费指政府收支分类经济科目中的</w:t>
      </w:r>
      <w:r>
        <w:rPr>
          <w:rFonts w:hint="default" w:eastAsia="Times New Roman"/>
          <w:color w:val="auto"/>
          <w:sz w:val="32"/>
          <w:szCs w:val="24"/>
        </w:rPr>
        <w:t>“</w:t>
      </w:r>
      <w:r>
        <w:rPr>
          <w:rFonts w:hint="eastAsia" w:ascii="仿宋_GB2312" w:hAnsi="仿宋_GB2312" w:eastAsia="仿宋_GB2312"/>
          <w:color w:val="auto"/>
          <w:sz w:val="32"/>
          <w:szCs w:val="24"/>
        </w:rPr>
        <w:t>工资福利支出</w:t>
      </w:r>
      <w:r>
        <w:rPr>
          <w:rFonts w:hint="default" w:eastAsia="Times New Roman"/>
          <w:color w:val="auto"/>
          <w:sz w:val="32"/>
          <w:szCs w:val="24"/>
        </w:rPr>
        <w:t>”</w:t>
      </w:r>
      <w:r>
        <w:rPr>
          <w:rFonts w:hint="eastAsia" w:ascii="仿宋_GB2312" w:hAnsi="仿宋_GB2312" w:eastAsia="仿宋_GB2312"/>
          <w:color w:val="auto"/>
          <w:sz w:val="32"/>
          <w:szCs w:val="24"/>
        </w:rPr>
        <w:t>和</w:t>
      </w:r>
      <w:r>
        <w:rPr>
          <w:rFonts w:hint="default" w:eastAsia="Times New Roman"/>
          <w:color w:val="auto"/>
          <w:sz w:val="32"/>
          <w:szCs w:val="24"/>
        </w:rPr>
        <w:t>“</w:t>
      </w:r>
      <w:r>
        <w:rPr>
          <w:rFonts w:hint="eastAsia" w:ascii="仿宋_GB2312" w:hAnsi="仿宋_GB2312" w:eastAsia="仿宋_GB2312"/>
          <w:color w:val="auto"/>
          <w:sz w:val="32"/>
          <w:szCs w:val="24"/>
        </w:rPr>
        <w:t>对个人和家庭的补助</w:t>
      </w:r>
      <w:r>
        <w:rPr>
          <w:rFonts w:hint="default" w:eastAsia="Times New Roman"/>
          <w:color w:val="auto"/>
          <w:sz w:val="32"/>
          <w:szCs w:val="24"/>
        </w:rPr>
        <w:t>”</w:t>
      </w:r>
      <w:r>
        <w:rPr>
          <w:rFonts w:hint="eastAsia" w:ascii="仿宋_GB2312" w:hAnsi="仿宋_GB2312" w:eastAsia="仿宋_GB2312"/>
          <w:color w:val="auto"/>
          <w:sz w:val="32"/>
          <w:szCs w:val="24"/>
        </w:rPr>
        <w:t>；公用经费指政府收支分类经济科目中除</w:t>
      </w:r>
      <w:r>
        <w:rPr>
          <w:rFonts w:hint="default" w:eastAsia="Times New Roman"/>
          <w:color w:val="auto"/>
          <w:sz w:val="32"/>
          <w:szCs w:val="24"/>
        </w:rPr>
        <w:t>“</w:t>
      </w:r>
      <w:r>
        <w:rPr>
          <w:rFonts w:hint="eastAsia" w:ascii="仿宋_GB2312" w:hAnsi="仿宋_GB2312" w:eastAsia="仿宋_GB2312"/>
          <w:color w:val="auto"/>
          <w:sz w:val="32"/>
          <w:szCs w:val="24"/>
        </w:rPr>
        <w:t>工资福利支出</w:t>
      </w:r>
      <w:r>
        <w:rPr>
          <w:rFonts w:hint="default" w:eastAsia="Times New Roman"/>
          <w:color w:val="auto"/>
          <w:sz w:val="32"/>
          <w:szCs w:val="24"/>
        </w:rPr>
        <w:t>”</w:t>
      </w:r>
      <w:r>
        <w:rPr>
          <w:rFonts w:hint="eastAsia" w:ascii="仿宋_GB2312" w:hAnsi="仿宋_GB2312" w:eastAsia="仿宋_GB2312"/>
          <w:color w:val="auto"/>
          <w:sz w:val="32"/>
          <w:szCs w:val="24"/>
        </w:rPr>
        <w:t>和</w:t>
      </w:r>
      <w:r>
        <w:rPr>
          <w:rFonts w:hint="default" w:eastAsia="Times New Roman"/>
          <w:color w:val="auto"/>
          <w:sz w:val="32"/>
          <w:szCs w:val="24"/>
        </w:rPr>
        <w:t>“</w:t>
      </w:r>
      <w:r>
        <w:rPr>
          <w:rFonts w:hint="eastAsia" w:ascii="仿宋_GB2312" w:hAnsi="仿宋_GB2312" w:eastAsia="仿宋_GB2312"/>
          <w:color w:val="auto"/>
          <w:sz w:val="32"/>
          <w:szCs w:val="24"/>
        </w:rPr>
        <w:t>对个人和家庭的补助</w:t>
      </w:r>
      <w:r>
        <w:rPr>
          <w:rFonts w:hint="default" w:eastAsia="Times New Roman"/>
          <w:color w:val="auto"/>
          <w:sz w:val="32"/>
          <w:szCs w:val="24"/>
        </w:rPr>
        <w:t>”</w:t>
      </w:r>
      <w:r>
        <w:rPr>
          <w:rFonts w:hint="eastAsia" w:ascii="仿宋_GB2312" w:hAnsi="仿宋_GB2312" w:eastAsia="仿宋_GB2312"/>
          <w:color w:val="auto"/>
          <w:sz w:val="32"/>
          <w:szCs w:val="24"/>
        </w:rPr>
        <w:t>外的其他支出。</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（十）项目支出：指在基本支出之外为完成特定任务和事业发展目标所发生的支出。</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（十一）经营支出：指事业单位在专业业务活动及其辅助活动之外开展非独立核算经营活动发生的支出。</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（十二）</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十三）机关运行经费：指行政单位和参照公务员法管理的事业单位使用一般公共预算财政拨款安排的基本支出中的日常公用经费支出。未包含行政单位或参照公务员法管理事业单位的部门，参照此口径公开本部门的日常公用经费，并与预算公开保持一致。</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（十四）工资福利支出（支出经济分类科目类级）：反映单位开支的在职职工和编制外长期聘用人员的各类劳动报酬，以及为上述人员缴纳的各项社会保险费等。</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（十五）商品和服务支出（支出经济分类科目类级）：反映单位购买商品和服务的支出（不包括用于购置固定资产的支出、战略性和应急储备支出）。</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（十六）对个人和家庭的补助（支出经济分类科目类级）：反映用于对个人和家庭的补助支出。</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spacing w:beforeLines="0" w:afterLines="0" w:line="580" w:lineRule="exact"/>
        <w:ind w:firstLine="600"/>
        <w:rPr>
          <w:rFonts w:hint="default" w:eastAsia="Times New Roman"/>
          <w:color w:val="auto"/>
          <w:sz w:val="32"/>
          <w:szCs w:val="24"/>
        </w:rPr>
      </w:pPr>
    </w:p>
    <w:p>
      <w:pPr>
        <w:spacing w:beforeLines="0" w:afterLines="0" w:line="580" w:lineRule="exact"/>
        <w:ind w:firstLine="600"/>
        <w:rPr>
          <w:rFonts w:hint="default" w:eastAsia="Times New Roman"/>
          <w:b/>
          <w:color w:val="auto"/>
          <w:sz w:val="32"/>
          <w:szCs w:val="24"/>
        </w:rPr>
      </w:pPr>
      <w:r>
        <w:rPr>
          <w:rFonts w:hint="eastAsia" w:ascii="仿宋_GB2312" w:hAnsi="仿宋_GB2312" w:eastAsia="仿宋_GB2312"/>
          <w:b/>
          <w:color w:val="auto"/>
          <w:sz w:val="32"/>
          <w:szCs w:val="24"/>
        </w:rPr>
        <w:t>第四部分 决算公开联系方式及信息反馈渠道</w:t>
      </w:r>
    </w:p>
    <w:p>
      <w:pPr>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本单位决算公开信息反馈和联系方式：</w:t>
      </w:r>
    </w:p>
    <w:p>
      <w:pPr>
        <w:spacing w:beforeLines="0" w:afterLines="0" w:line="580" w:lineRule="exact"/>
        <w:ind w:firstLine="600"/>
        <w:rPr>
          <w:rFonts w:hint="default" w:eastAsia="仿宋_GB2312"/>
          <w:color w:val="auto"/>
          <w:kern w:val="0"/>
          <w:sz w:val="18"/>
          <w:szCs w:val="24"/>
          <w:lang w:val="en-US" w:eastAsia="zh-CN"/>
        </w:rPr>
      </w:pPr>
      <w:r>
        <w:rPr>
          <w:rFonts w:hint="eastAsia" w:ascii="仿宋_GB2312" w:hAnsi="仿宋_GB2312" w:eastAsia="仿宋_GB2312"/>
          <w:color w:val="auto"/>
          <w:sz w:val="32"/>
          <w:szCs w:val="24"/>
        </w:rPr>
        <w:t>联系人：</w:t>
      </w:r>
      <w:r>
        <w:rPr>
          <w:rFonts w:hint="eastAsia" w:ascii="仿宋_GB2312" w:hAnsi="仿宋_GB2312" w:eastAsia="仿宋_GB2312"/>
          <w:color w:val="auto"/>
          <w:sz w:val="32"/>
          <w:szCs w:val="24"/>
          <w:lang w:eastAsia="zh-CN"/>
        </w:rPr>
        <w:t>任爽娜</w:t>
      </w:r>
      <w:r>
        <w:rPr>
          <w:rFonts w:hint="eastAsia" w:ascii="仿宋_GB2312" w:hAnsi="仿宋_GB2312" w:eastAsia="仿宋_GB2312"/>
          <w:color w:val="auto"/>
          <w:sz w:val="32"/>
          <w:szCs w:val="24"/>
        </w:rPr>
        <w:t xml:space="preserve">    联系电话：</w:t>
      </w:r>
      <w:r>
        <w:rPr>
          <w:rFonts w:hint="eastAsia" w:ascii="仿宋_GB2312" w:hAnsi="仿宋_GB2312" w:eastAsia="仿宋_GB2312"/>
          <w:color w:val="auto"/>
          <w:sz w:val="32"/>
          <w:szCs w:val="24"/>
          <w:lang w:val="en-US" w:eastAsia="zh-CN"/>
        </w:rPr>
        <w:t>0470-3976711</w:t>
      </w:r>
    </w:p>
    <w:p>
      <w:pPr>
        <w:spacing w:beforeLines="0" w:afterLines="0"/>
        <w:jc w:val="left"/>
        <w:rPr>
          <w:rFonts w:hint="default" w:eastAsia="Times New Roman"/>
          <w:b/>
          <w:color w:val="auto"/>
          <w:sz w:val="36"/>
          <w:szCs w:val="24"/>
          <w:lang w:val="en-US"/>
        </w:rPr>
      </w:pPr>
    </w:p>
    <w:sectPr>
      <w:pgSz w:w="12240" w:h="15840"/>
      <w:pgMar w:top="1440" w:right="1800" w:bottom="1440" w:left="180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120"/>
  <w:drawingGridVerticalSpacing w:val="120"/>
  <w:displayHorizontalDrawingGridEvery w:val="1"/>
  <w:displayVerticalDrawingGridEvery w:val="1"/>
  <w:doNotUseMarginsForDrawingGridOrigin w:val="1"/>
  <w:drawingGridHorizontalOrigin w:val="1701"/>
  <w:drawingGridVerticalOrigin w:val="1984"/>
  <w:doNotShadeFormData w:val="1"/>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2F2B6921"/>
    <w:rsid w:val="4DC407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qFormat="1" w:unhideWhenUsed="0" w:uiPriority="99" w:semiHidden="0" w:name="Closing"/>
    <w:lsdException w:qFormat="1" w:unhideWhenUsed="0" w:uiPriority="99" w:semiHidden="0" w:name="Signature"/>
    <w:lsdException w:uiPriority="99" w:semiHidden="0"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nhideWhenUsed="0" w:uiPriority="99" w:semiHidden="0"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nhideWhenUsed="0" w:uiPriority="99" w:semiHidden="0" w:name="Balloon Text"/>
    <w:lsdException w:qFormat="1" w:unhideWhenUsed="0" w:uiPriority="99" w:semiHidden="0" w:name="Table Grid"/>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uiPriority w:val="0"/>
    <w:pPr>
      <w:spacing w:beforeLines="0" w:afterLines="0"/>
      <w:jc w:val="both"/>
    </w:pPr>
    <w:rPr>
      <w:rFonts w:hint="default" w:ascii="Times New Roman" w:hAnsi="Times New Roman" w:eastAsia="宋体" w:cs="Times New Roman"/>
      <w:kern w:val="2"/>
      <w:sz w:val="21"/>
      <w:szCs w:val="24"/>
    </w:rPr>
  </w:style>
  <w:style w:type="character" w:default="1" w:styleId="3">
    <w:name w:val="Default Paragraph Font"/>
    <w:unhideWhenUsed/>
    <w:uiPriority w:val="99"/>
    <w:rPr>
      <w:rFonts w:hint="default"/>
      <w:sz w:val="24"/>
      <w:szCs w:val="24"/>
    </w:rPr>
  </w:style>
  <w:style w:type="table" w:default="1" w:styleId="2">
    <w:name w:val="Normal Table"/>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4</TotalTime>
  <ScaleCrop>false</ScaleCrop>
  <LinksUpToDate>false</LinksUpToDate>
  <Application>WPS Office_11.1.0.10938_F1E327BC-269C-435d-A152-05C5408002CA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2021-10-26T07:19:00Z</dcterms:created>
  <dc:creator>Administrator</dc:creator>
  <cp:lastModifiedBy>Administrator</cp:lastModifiedBy>
  <dcterms:modified xsi:type="dcterms:W3CDTF">2021-10-26T07:56:13Z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262F2B1FF4CB4127AF07E08B0D3A6152</vt:lpwstr>
  </property>
</Properties>
</file>