
<file path=[Content_Types].xml><?xml version="1.0" encoding="utf-8"?>
<Types xmlns="http://schemas.openxmlformats.org/package/2006/content-types">
  <Default Extension="xml" ContentType="application/xml"/>
  <Default Extension="xlsx" ContentType="application/vnd.openxmlformats-officedocument.spreadsheetml.sheet"/>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theme/themeOverride1.xml" ContentType="application/vnd.openxmlformats-officedocument.themeOverrid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autoSpaceDN/>
        <w:snapToGrid w:val="0"/>
        <w:spacing w:before="0" w:after="0" w:line="240" w:lineRule="auto"/>
        <w:ind w:left="0" w:firstLine="0"/>
        <w:jc w:val="center"/>
        <w:rPr>
          <w:rFonts w:hint="eastAsia" w:ascii="华文中宋" w:hAnsi="华文中宋" w:eastAsia="华文中宋"/>
          <w:w w:val="100"/>
          <w:sz w:val="36"/>
          <w:lang w:eastAsia="zh-CN"/>
        </w:rPr>
      </w:pPr>
      <w:bookmarkStart w:id="0" w:name="YS060100"/>
      <w:r>
        <w:rPr>
          <w:rFonts w:ascii="华文中宋" w:hAnsi="华文中宋" w:eastAsia="华文中宋"/>
          <w:w w:val="100"/>
          <w:sz w:val="36"/>
        </w:rPr>
        <w:t>内蒙古自治区呼伦贝尔市莫力达瓦达斡尔族自治旗</w:t>
      </w:r>
      <w:r>
        <w:rPr>
          <w:rFonts w:hint="eastAsia" w:ascii="华文中宋" w:hAnsi="华文中宋" w:eastAsia="华文中宋"/>
          <w:w w:val="100"/>
          <w:sz w:val="36"/>
          <w:lang w:eastAsia="zh-CN"/>
        </w:rPr>
        <w:t>汉古尔河</w:t>
      </w:r>
      <w:r>
        <w:rPr>
          <w:rFonts w:ascii="华文中宋" w:hAnsi="华文中宋" w:eastAsia="华文中宋"/>
          <w:w w:val="100"/>
          <w:sz w:val="36"/>
        </w:rPr>
        <w:t>镇人民政府</w:t>
      </w:r>
    </w:p>
    <w:p>
      <w:pPr>
        <w:autoSpaceDE/>
        <w:autoSpaceDN/>
        <w:snapToGrid w:val="0"/>
        <w:spacing w:before="0" w:after="0" w:line="240" w:lineRule="auto"/>
        <w:ind w:left="720" w:firstLine="720"/>
        <w:jc w:val="center"/>
        <w:rPr>
          <w:rFonts w:hint="eastAsia" w:ascii="华文中宋" w:hAnsi="华文中宋" w:eastAsia="华文中宋"/>
          <w:w w:val="100"/>
          <w:sz w:val="36"/>
          <w:lang w:eastAsia="zh-CN"/>
        </w:rPr>
      </w:pPr>
    </w:p>
    <w:p>
      <w:pPr>
        <w:autoSpaceDE/>
        <w:autoSpaceDN/>
        <w:snapToGrid w:val="0"/>
        <w:spacing w:before="0" w:after="0" w:line="240" w:lineRule="auto"/>
        <w:ind w:left="0" w:firstLine="0"/>
        <w:jc w:val="center"/>
        <w:rPr>
          <w:rFonts w:hint="eastAsia" w:ascii="华文中宋" w:hAnsi="华文中宋" w:eastAsia="华文中宋"/>
          <w:w w:val="100"/>
          <w:sz w:val="36"/>
          <w:lang w:eastAsia="zh-CN"/>
        </w:rPr>
      </w:pPr>
      <w:r>
        <w:rPr>
          <w:rFonts w:hint="eastAsia" w:ascii="华文中宋" w:hAnsi="华文中宋" w:eastAsia="华文中宋"/>
          <w:w w:val="100"/>
          <w:sz w:val="36"/>
          <w:lang w:eastAsia="zh-CN"/>
        </w:rPr>
        <w:t>20</w:t>
      </w:r>
      <w:r>
        <w:rPr>
          <w:rFonts w:hint="eastAsia" w:ascii="华文中宋" w:hAnsi="华文中宋" w:eastAsia="华文中宋"/>
          <w:w w:val="100"/>
          <w:sz w:val="36"/>
          <w:lang w:val="en-US" w:eastAsia="zh-CN"/>
        </w:rPr>
        <w:t>20</w:t>
      </w:r>
      <w:r>
        <w:rPr>
          <w:rFonts w:hint="eastAsia" w:ascii="华文中宋" w:hAnsi="华文中宋" w:eastAsia="华文中宋"/>
          <w:w w:val="100"/>
          <w:sz w:val="36"/>
          <w:lang w:eastAsia="zh-CN"/>
        </w:rPr>
        <w:t>年度部门决算分析报告撰写提纲</w:t>
      </w:r>
    </w:p>
    <w:p>
      <w:pPr>
        <w:autoSpaceDE/>
        <w:autoSpaceDN/>
        <w:snapToGrid w:val="0"/>
        <w:spacing w:before="0" w:after="0" w:line="240" w:lineRule="auto"/>
        <w:ind w:left="0" w:firstLine="0"/>
        <w:jc w:val="center"/>
        <w:rPr>
          <w:rFonts w:hint="eastAsia" w:ascii="华文中宋" w:hAnsi="华文中宋" w:eastAsia="华文中宋"/>
          <w:w w:val="100"/>
          <w:sz w:val="36"/>
          <w:lang w:eastAsia="zh-CN"/>
        </w:rPr>
      </w:pPr>
      <w:r>
        <w:rPr>
          <w:rFonts w:hint="eastAsia" w:ascii="华文中宋" w:hAnsi="华文中宋" w:eastAsia="华文中宋"/>
          <w:w w:val="100"/>
          <w:sz w:val="36"/>
          <w:lang w:eastAsia="zh-CN"/>
        </w:rPr>
        <w:t>（基层单位版）</w:t>
      </w:r>
      <w:bookmarkEnd w:id="0"/>
    </w:p>
    <w:p>
      <w:pPr>
        <w:autoSpaceDE/>
        <w:autoSpaceDN/>
        <w:snapToGrid w:val="0"/>
        <w:spacing w:before="0" w:after="0" w:line="240" w:lineRule="auto"/>
        <w:ind w:left="640" w:firstLine="640"/>
        <w:jc w:val="both"/>
        <w:rPr>
          <w:rFonts w:hint="eastAsia" w:ascii="仿宋_GB2312" w:hAnsi="仿宋" w:eastAsia="仿宋_GB2312"/>
          <w:w w:val="100"/>
          <w:sz w:val="32"/>
          <w:lang w:eastAsia="zh-CN"/>
        </w:rPr>
      </w:pPr>
    </w:p>
    <w:p>
      <w:pPr>
        <w:autoSpaceDE/>
        <w:autoSpaceDN/>
        <w:snapToGrid w:val="0"/>
        <w:spacing w:before="0" w:after="0" w:line="520" w:lineRule="exact"/>
        <w:ind w:left="640" w:firstLine="640"/>
        <w:jc w:val="both"/>
        <w:rPr>
          <w:rFonts w:hint="eastAsia" w:ascii="黑体" w:hAnsi="黑体" w:eastAsia="黑体"/>
          <w:w w:val="100"/>
          <w:sz w:val="32"/>
          <w:lang w:eastAsia="zh-CN"/>
        </w:rPr>
      </w:pPr>
      <w:r>
        <w:rPr>
          <w:rFonts w:hint="eastAsia" w:ascii="黑体" w:hAnsi="黑体" w:eastAsia="黑体"/>
          <w:w w:val="100"/>
          <w:sz w:val="32"/>
          <w:lang w:eastAsia="zh-CN"/>
        </w:rPr>
        <w:t>一、单位情况</w:t>
      </w:r>
    </w:p>
    <w:p>
      <w:pPr>
        <w:autoSpaceDE/>
        <w:autoSpaceDN/>
        <w:snapToGrid w:val="0"/>
        <w:spacing w:before="0" w:after="0" w:line="520" w:lineRule="exact"/>
        <w:ind w:left="643" w:firstLine="643"/>
        <w:jc w:val="both"/>
        <w:rPr>
          <w:rFonts w:hint="eastAsia" w:ascii="楷体_GB2312" w:hAnsi="仿宋" w:eastAsia="楷体_GB2312"/>
          <w:b/>
          <w:w w:val="100"/>
          <w:sz w:val="32"/>
          <w:lang w:eastAsia="zh-CN"/>
        </w:rPr>
      </w:pPr>
      <w:r>
        <w:rPr>
          <w:rFonts w:hint="eastAsia" w:ascii="楷体_GB2312" w:hAnsi="仿宋" w:eastAsia="楷体_GB2312"/>
          <w:b/>
          <w:w w:val="100"/>
          <w:sz w:val="32"/>
          <w:lang w:eastAsia="zh-CN"/>
        </w:rPr>
        <w:t>（一）基本情况。</w:t>
      </w:r>
    </w:p>
    <w:p>
      <w:pPr>
        <w:autoSpaceDE/>
        <w:autoSpaceDN/>
        <w:snapToGrid w:val="0"/>
        <w:spacing w:before="0" w:after="0" w:line="520" w:lineRule="exact"/>
        <w:ind w:left="640" w:firstLine="640"/>
        <w:jc w:val="both"/>
        <w:rPr>
          <w:rFonts w:hint="eastAsia" w:ascii="仿宋_GB2312" w:hAnsi="仿宋" w:eastAsia="仿宋_GB2312"/>
          <w:w w:val="100"/>
          <w:sz w:val="32"/>
          <w:lang w:eastAsia="zh-CN"/>
        </w:rPr>
      </w:pPr>
      <w:r>
        <w:rPr>
          <w:rFonts w:hint="eastAsia" w:ascii="仿宋_GB2312" w:hAnsi="仿宋" w:eastAsia="仿宋_GB2312"/>
          <w:w w:val="100"/>
          <w:sz w:val="32"/>
          <w:lang w:eastAsia="zh-CN"/>
        </w:rPr>
        <w:t>1．主要职能。</w:t>
      </w:r>
    </w:p>
    <w:p>
      <w:pPr>
        <w:autoSpaceDE/>
        <w:autoSpaceDN/>
        <w:snapToGrid w:val="0"/>
        <w:spacing w:before="0" w:after="0" w:line="240" w:lineRule="auto"/>
        <w:ind w:left="480" w:firstLine="480"/>
        <w:jc w:val="both"/>
        <w:rPr>
          <w:rFonts w:ascii="仿宋" w:hAnsi="仿宋" w:eastAsia="仿宋"/>
          <w:w w:val="100"/>
          <w:sz w:val="24"/>
        </w:rPr>
      </w:pPr>
      <w:r>
        <w:rPr>
          <w:rFonts w:ascii="仿宋" w:hAnsi="仿宋" w:eastAsia="仿宋"/>
          <w:w w:val="100"/>
          <w:sz w:val="24"/>
        </w:rPr>
        <w:t>落实国家政策，严格依法行政，发挥经济管理职能，加强政策引导，制定发展规划，服务市场主体和营造发展环境，搞好市场监管，大力促进社会事业发展，发展镇村经济、文化和社会事业，提供公共服务，维护社会稳定，构建社会主义和谐社会。</w:t>
      </w:r>
    </w:p>
    <w:p>
      <w:pPr>
        <w:autoSpaceDE/>
        <w:autoSpaceDN/>
        <w:snapToGrid w:val="0"/>
        <w:spacing w:before="0" w:after="0" w:line="240" w:lineRule="auto"/>
        <w:ind w:left="480" w:firstLine="480"/>
        <w:jc w:val="both"/>
        <w:rPr>
          <w:rFonts w:ascii="仿宋" w:hAnsi="仿宋" w:eastAsia="仿宋"/>
          <w:w w:val="100"/>
          <w:sz w:val="24"/>
        </w:rPr>
      </w:pPr>
      <w:r>
        <w:rPr>
          <w:rFonts w:ascii="仿宋" w:hAnsi="仿宋" w:eastAsia="仿宋"/>
          <w:w w:val="100"/>
          <w:sz w:val="24"/>
        </w:rPr>
        <w:t>(1)、执行本级人民代表大会的决议和上级国家行政机关的决定和命令，发布决定和命令；</w:t>
      </w:r>
    </w:p>
    <w:p>
      <w:pPr>
        <w:autoSpaceDE/>
        <w:autoSpaceDN/>
        <w:snapToGrid w:val="0"/>
        <w:spacing w:before="0" w:after="0" w:line="240" w:lineRule="auto"/>
        <w:ind w:left="480" w:firstLine="480"/>
        <w:jc w:val="both"/>
        <w:rPr>
          <w:rFonts w:ascii="仿宋" w:hAnsi="仿宋" w:eastAsia="仿宋"/>
          <w:w w:val="100"/>
          <w:sz w:val="24"/>
        </w:rPr>
      </w:pPr>
      <w:r>
        <w:rPr>
          <w:rFonts w:ascii="仿宋" w:hAnsi="仿宋" w:eastAsia="仿宋"/>
          <w:w w:val="100"/>
          <w:sz w:val="24"/>
        </w:rPr>
        <w:t xml:space="preserve">(2)、执行本行政区域内的经济和社会发展计划、预算，管理本行政区域内的经济、教育、科学、文化、卫生、体育事业和财政、民政、公安、司法行政、计划生育等行政工作； </w:t>
      </w:r>
    </w:p>
    <w:p>
      <w:pPr>
        <w:autoSpaceDE/>
        <w:autoSpaceDN/>
        <w:snapToGrid w:val="0"/>
        <w:spacing w:before="0" w:after="0" w:line="240" w:lineRule="auto"/>
        <w:ind w:left="480" w:firstLine="480"/>
        <w:jc w:val="both"/>
        <w:rPr>
          <w:rFonts w:ascii="仿宋" w:hAnsi="仿宋" w:eastAsia="仿宋"/>
          <w:w w:val="100"/>
          <w:sz w:val="24"/>
        </w:rPr>
      </w:pPr>
      <w:r>
        <w:rPr>
          <w:rFonts w:ascii="仿宋" w:hAnsi="仿宋" w:eastAsia="仿宋"/>
          <w:w w:val="100"/>
          <w:sz w:val="24"/>
        </w:rPr>
        <w:t>(3)、保护社会主义的全民所有的财产和劳动群众集体所有的财产，保护公民私人所有的合法财产，维护社会秩序，保障公民的人身权利、民主权利和其他权利；</w:t>
      </w:r>
    </w:p>
    <w:p>
      <w:pPr>
        <w:autoSpaceDE/>
        <w:autoSpaceDN/>
        <w:snapToGrid w:val="0"/>
        <w:spacing w:before="0" w:after="0" w:line="240" w:lineRule="auto"/>
        <w:ind w:left="480" w:firstLine="480"/>
        <w:jc w:val="both"/>
        <w:rPr>
          <w:rFonts w:ascii="仿宋" w:hAnsi="仿宋" w:eastAsia="仿宋"/>
          <w:w w:val="100"/>
          <w:sz w:val="24"/>
        </w:rPr>
      </w:pPr>
      <w:r>
        <w:rPr>
          <w:rFonts w:ascii="仿宋" w:hAnsi="仿宋" w:eastAsia="仿宋"/>
          <w:w w:val="100"/>
          <w:sz w:val="24"/>
        </w:rPr>
        <w:t xml:space="preserve">(4)、保护各种经济组织的合法权益； </w:t>
      </w:r>
    </w:p>
    <w:p>
      <w:pPr>
        <w:autoSpaceDE/>
        <w:autoSpaceDN/>
        <w:snapToGrid w:val="0"/>
        <w:spacing w:before="0" w:after="0" w:line="240" w:lineRule="auto"/>
        <w:ind w:left="480" w:firstLine="480"/>
        <w:jc w:val="both"/>
        <w:rPr>
          <w:rFonts w:ascii="仿宋" w:hAnsi="仿宋" w:eastAsia="仿宋"/>
          <w:w w:val="100"/>
          <w:sz w:val="24"/>
        </w:rPr>
      </w:pPr>
      <w:r>
        <w:rPr>
          <w:rFonts w:ascii="仿宋" w:hAnsi="仿宋" w:eastAsia="仿宋"/>
          <w:w w:val="100"/>
          <w:sz w:val="24"/>
        </w:rPr>
        <w:t>(5)、保障少数民族的权利和尊重少数民族的风俗习惯；</w:t>
      </w:r>
    </w:p>
    <w:p>
      <w:pPr>
        <w:autoSpaceDE/>
        <w:autoSpaceDN/>
        <w:snapToGrid w:val="0"/>
        <w:spacing w:before="0" w:after="0" w:line="240" w:lineRule="auto"/>
        <w:ind w:left="480" w:firstLine="480"/>
        <w:jc w:val="both"/>
        <w:rPr>
          <w:rFonts w:ascii="仿宋" w:hAnsi="仿宋" w:eastAsia="仿宋"/>
          <w:w w:val="100"/>
          <w:sz w:val="24"/>
        </w:rPr>
      </w:pPr>
      <w:r>
        <w:rPr>
          <w:rFonts w:ascii="仿宋" w:hAnsi="仿宋" w:eastAsia="仿宋"/>
          <w:w w:val="100"/>
          <w:sz w:val="24"/>
        </w:rPr>
        <w:t>(6)、办理上级人民政府交办的其他事项。</w:t>
      </w:r>
    </w:p>
    <w:p>
      <w:pPr>
        <w:autoSpaceDE/>
        <w:autoSpaceDN/>
        <w:snapToGrid w:val="0"/>
        <w:spacing w:before="0" w:after="0" w:line="520" w:lineRule="exact"/>
        <w:ind w:left="640" w:firstLine="640"/>
        <w:jc w:val="both"/>
        <w:rPr>
          <w:rFonts w:hint="eastAsia" w:ascii="仿宋_GB2312" w:hAnsi="仿宋" w:eastAsia="仿宋_GB2312"/>
          <w:w w:val="100"/>
          <w:sz w:val="32"/>
          <w:lang w:eastAsia="zh-CN"/>
        </w:rPr>
      </w:pPr>
      <w:r>
        <w:rPr>
          <w:rFonts w:hint="eastAsia" w:ascii="仿宋_GB2312" w:hAnsi="仿宋" w:eastAsia="仿宋_GB2312"/>
          <w:w w:val="100"/>
          <w:sz w:val="32"/>
          <w:lang w:eastAsia="zh-CN"/>
        </w:rPr>
        <w:t>2．机构情况，包括当年变动情况及原因。</w:t>
      </w:r>
    </w:p>
    <w:p>
      <w:pPr>
        <w:autoSpaceDE/>
        <w:autoSpaceDN/>
        <w:snapToGrid w:val="0"/>
        <w:spacing w:before="0" w:after="0" w:line="240" w:lineRule="auto"/>
        <w:ind w:left="480" w:firstLine="480"/>
        <w:jc w:val="both"/>
        <w:rPr>
          <w:rFonts w:ascii="仿宋" w:hAnsi="仿宋" w:eastAsia="仿宋"/>
          <w:w w:val="100"/>
          <w:sz w:val="24"/>
        </w:rPr>
      </w:pPr>
      <w:r>
        <w:rPr>
          <w:rFonts w:ascii="仿宋" w:hAnsi="仿宋" w:eastAsia="仿宋"/>
          <w:w w:val="100"/>
          <w:sz w:val="24"/>
        </w:rPr>
        <w:t>内设机构如下：</w:t>
      </w:r>
    </w:p>
    <w:p>
      <w:pPr>
        <w:autoSpaceDE/>
        <w:autoSpaceDN/>
        <w:snapToGrid w:val="0"/>
        <w:spacing w:before="0" w:after="0" w:line="240" w:lineRule="auto"/>
        <w:ind w:left="480" w:firstLine="480"/>
        <w:jc w:val="both"/>
        <w:rPr>
          <w:rFonts w:ascii="仿宋" w:hAnsi="仿宋" w:eastAsia="仿宋"/>
          <w:w w:val="100"/>
          <w:sz w:val="24"/>
        </w:rPr>
      </w:pPr>
      <w:r>
        <w:rPr>
          <w:rFonts w:ascii="仿宋" w:hAnsi="仿宋" w:eastAsia="仿宋"/>
          <w:w w:val="100"/>
          <w:sz w:val="24"/>
        </w:rPr>
        <w:t>1、党政</w:t>
      </w:r>
      <w:r>
        <w:rPr>
          <w:rFonts w:hint="eastAsia" w:ascii="仿宋" w:hAnsi="仿宋" w:eastAsia="仿宋"/>
          <w:w w:val="100"/>
          <w:sz w:val="24"/>
          <w:lang w:val="en-US" w:eastAsia="zh-CN"/>
        </w:rPr>
        <w:t>综合</w:t>
      </w:r>
      <w:r>
        <w:rPr>
          <w:rFonts w:ascii="仿宋" w:hAnsi="仿宋" w:eastAsia="仿宋"/>
          <w:w w:val="100"/>
          <w:sz w:val="24"/>
        </w:rPr>
        <w:t>办公室：</w:t>
      </w:r>
      <w:r>
        <w:rPr>
          <w:rFonts w:hint="eastAsia" w:ascii="仿宋" w:hAnsi="仿宋" w:eastAsia="仿宋"/>
          <w:w w:val="100"/>
          <w:sz w:val="24"/>
        </w:rPr>
        <w:t>负责党委、政府的日常运转和综合协调工作；承担人大办公室工作；负责党委、政府决策的督促检查工作负责保密、机构编制、人事和财务等工作。</w:t>
      </w:r>
    </w:p>
    <w:p>
      <w:pPr>
        <w:autoSpaceDE/>
        <w:autoSpaceDN/>
        <w:snapToGrid w:val="0"/>
        <w:spacing w:before="0" w:after="0" w:line="240" w:lineRule="auto"/>
        <w:ind w:left="480" w:firstLine="480"/>
        <w:jc w:val="both"/>
        <w:rPr>
          <w:rFonts w:hint="eastAsia" w:ascii="仿宋" w:hAnsi="仿宋" w:eastAsia="仿宋"/>
          <w:w w:val="100"/>
          <w:sz w:val="24"/>
        </w:rPr>
      </w:pPr>
      <w:r>
        <w:rPr>
          <w:rFonts w:ascii="仿宋" w:hAnsi="仿宋" w:eastAsia="仿宋"/>
          <w:w w:val="100"/>
          <w:sz w:val="24"/>
        </w:rPr>
        <w:t>2、</w:t>
      </w:r>
      <w:r>
        <w:rPr>
          <w:rFonts w:hint="eastAsia" w:ascii="仿宋" w:hAnsi="仿宋" w:eastAsia="仿宋"/>
          <w:w w:val="100"/>
          <w:sz w:val="24"/>
          <w:lang w:val="en-US" w:eastAsia="zh-CN"/>
        </w:rPr>
        <w:t>基层党的建设</w:t>
      </w:r>
      <w:r>
        <w:rPr>
          <w:rFonts w:ascii="仿宋" w:hAnsi="仿宋" w:eastAsia="仿宋"/>
          <w:w w:val="100"/>
          <w:sz w:val="24"/>
        </w:rPr>
        <w:t>办公室：</w:t>
      </w:r>
      <w:r>
        <w:rPr>
          <w:rFonts w:hint="eastAsia" w:ascii="仿宋" w:hAnsi="仿宋" w:eastAsia="仿宋"/>
          <w:w w:val="100"/>
          <w:sz w:val="24"/>
        </w:rPr>
        <w:t>承担基层党的政治建设、组织工作、宣传工作、统战工作、党风廉政建设和反腐败工作、党建带群团建设等职责；武装、民宗、群团和精神文明建设等工作。</w:t>
      </w:r>
    </w:p>
    <w:p>
      <w:pPr>
        <w:autoSpaceDE/>
        <w:autoSpaceDN/>
        <w:snapToGrid w:val="0"/>
        <w:spacing w:before="0" w:after="0" w:line="240" w:lineRule="auto"/>
        <w:ind w:left="480" w:firstLine="480"/>
        <w:jc w:val="both"/>
        <w:rPr>
          <w:rFonts w:ascii="仿宋" w:hAnsi="仿宋" w:eastAsia="仿宋"/>
          <w:w w:val="100"/>
          <w:sz w:val="24"/>
        </w:rPr>
      </w:pPr>
      <w:r>
        <w:rPr>
          <w:rFonts w:ascii="仿宋" w:hAnsi="仿宋" w:eastAsia="仿宋"/>
          <w:w w:val="100"/>
          <w:sz w:val="24"/>
        </w:rPr>
        <w:t>3、</w:t>
      </w:r>
      <w:r>
        <w:rPr>
          <w:rFonts w:hint="eastAsia" w:ascii="仿宋" w:hAnsi="仿宋" w:eastAsia="仿宋"/>
          <w:w w:val="100"/>
          <w:sz w:val="24"/>
          <w:lang w:val="en-US" w:eastAsia="zh-CN"/>
        </w:rPr>
        <w:t>平安建设</w:t>
      </w:r>
      <w:r>
        <w:rPr>
          <w:rFonts w:ascii="仿宋" w:hAnsi="仿宋" w:eastAsia="仿宋"/>
          <w:w w:val="100"/>
          <w:sz w:val="24"/>
        </w:rPr>
        <w:t>办公室：</w:t>
      </w:r>
      <w:r>
        <w:rPr>
          <w:rFonts w:hint="eastAsia" w:ascii="仿宋" w:hAnsi="仿宋" w:eastAsia="仿宋"/>
          <w:w w:val="100"/>
          <w:sz w:val="24"/>
        </w:rPr>
        <w:t>负责应急管理、信访维稳和社会治安综合治理工作；负责推进法治政府建设工作；负责网格化工作。</w:t>
      </w:r>
    </w:p>
    <w:p>
      <w:pPr>
        <w:autoSpaceDE/>
        <w:autoSpaceDN/>
        <w:snapToGrid w:val="0"/>
        <w:spacing w:before="0" w:after="0" w:line="240" w:lineRule="auto"/>
        <w:ind w:left="480" w:firstLine="480"/>
        <w:jc w:val="both"/>
        <w:rPr>
          <w:rFonts w:hint="eastAsia" w:ascii="仿宋" w:hAnsi="仿宋" w:eastAsia="仿宋"/>
          <w:w w:val="100"/>
          <w:sz w:val="24"/>
        </w:rPr>
      </w:pPr>
      <w:r>
        <w:rPr>
          <w:rFonts w:ascii="仿宋" w:hAnsi="仿宋" w:eastAsia="仿宋"/>
          <w:w w:val="100"/>
          <w:sz w:val="24"/>
        </w:rPr>
        <w:t>4、社会</w:t>
      </w:r>
      <w:r>
        <w:rPr>
          <w:rFonts w:hint="eastAsia" w:ascii="仿宋" w:hAnsi="仿宋" w:eastAsia="仿宋"/>
          <w:w w:val="100"/>
          <w:sz w:val="24"/>
          <w:lang w:val="en-US" w:eastAsia="zh-CN"/>
        </w:rPr>
        <w:t>事务</w:t>
      </w:r>
      <w:r>
        <w:rPr>
          <w:rFonts w:ascii="仿宋" w:hAnsi="仿宋" w:eastAsia="仿宋"/>
          <w:w w:val="100"/>
          <w:sz w:val="24"/>
        </w:rPr>
        <w:t>办公室：</w:t>
      </w:r>
      <w:r>
        <w:rPr>
          <w:rFonts w:hint="eastAsia" w:ascii="仿宋" w:hAnsi="仿宋" w:eastAsia="仿宋"/>
          <w:w w:val="100"/>
          <w:sz w:val="24"/>
        </w:rPr>
        <w:t>负责民政、卫生、教育、科技、残联、统计、劳动就业、社会保障、计划生育、社会团体等社会事务性工作。</w:t>
      </w:r>
    </w:p>
    <w:p>
      <w:pPr>
        <w:autoSpaceDE/>
        <w:autoSpaceDN/>
        <w:snapToGrid w:val="0"/>
        <w:spacing w:before="0" w:after="0" w:line="240" w:lineRule="auto"/>
        <w:ind w:left="480" w:firstLine="480"/>
        <w:jc w:val="both"/>
        <w:rPr>
          <w:rFonts w:hint="eastAsia" w:ascii="仿宋" w:hAnsi="仿宋" w:eastAsia="仿宋"/>
          <w:w w:val="100"/>
          <w:sz w:val="24"/>
        </w:rPr>
      </w:pPr>
      <w:r>
        <w:rPr>
          <w:rFonts w:hint="eastAsia" w:ascii="仿宋" w:hAnsi="仿宋" w:eastAsia="仿宋"/>
          <w:w w:val="100"/>
          <w:sz w:val="24"/>
          <w:lang w:val="en-US" w:eastAsia="zh-CN"/>
        </w:rPr>
        <w:t>5</w:t>
      </w:r>
      <w:r>
        <w:rPr>
          <w:rFonts w:ascii="仿宋" w:hAnsi="仿宋" w:eastAsia="仿宋"/>
          <w:w w:val="100"/>
          <w:sz w:val="24"/>
        </w:rPr>
        <w:t>、</w:t>
      </w:r>
      <w:r>
        <w:rPr>
          <w:rFonts w:hint="eastAsia" w:ascii="仿宋" w:hAnsi="仿宋" w:eastAsia="仿宋"/>
          <w:w w:val="100"/>
          <w:sz w:val="24"/>
          <w:lang w:val="en-US" w:eastAsia="zh-CN"/>
        </w:rPr>
        <w:t>乡村振兴</w:t>
      </w:r>
      <w:r>
        <w:rPr>
          <w:rFonts w:ascii="仿宋" w:hAnsi="仿宋" w:eastAsia="仿宋"/>
          <w:w w:val="100"/>
          <w:sz w:val="24"/>
        </w:rPr>
        <w:t>办公室：</w:t>
      </w:r>
      <w:r>
        <w:rPr>
          <w:rFonts w:hint="eastAsia" w:ascii="仿宋" w:hAnsi="仿宋" w:eastAsia="仿宋"/>
          <w:w w:val="100"/>
          <w:sz w:val="24"/>
        </w:rPr>
        <w:t>负责乡村振兴战略有关政策措施的贯彻落实；负责扶贫开发工作；负责产业规划发展工作；负责美丽乡村建设工作；负责生态环境等工作。</w:t>
      </w:r>
    </w:p>
    <w:p>
      <w:pPr>
        <w:autoSpaceDE/>
        <w:autoSpaceDN/>
        <w:snapToGrid w:val="0"/>
        <w:spacing w:before="0" w:after="0" w:line="240" w:lineRule="auto"/>
        <w:ind w:left="480" w:firstLine="480"/>
        <w:jc w:val="both"/>
        <w:rPr>
          <w:rFonts w:ascii="仿宋" w:hAnsi="仿宋" w:eastAsia="仿宋"/>
          <w:w w:val="100"/>
          <w:sz w:val="24"/>
        </w:rPr>
      </w:pPr>
      <w:r>
        <w:rPr>
          <w:rFonts w:ascii="仿宋" w:hAnsi="仿宋" w:eastAsia="仿宋"/>
          <w:w w:val="100"/>
          <w:sz w:val="24"/>
        </w:rPr>
        <w:t>下属机构及工作职责：</w:t>
      </w:r>
    </w:p>
    <w:p>
      <w:pPr>
        <w:autoSpaceDE/>
        <w:autoSpaceDN/>
        <w:snapToGrid w:val="0"/>
        <w:spacing w:before="0" w:after="0" w:line="240" w:lineRule="auto"/>
        <w:ind w:left="480" w:firstLine="480"/>
        <w:jc w:val="both"/>
        <w:rPr>
          <w:rFonts w:ascii="仿宋" w:hAnsi="仿宋" w:eastAsia="仿宋"/>
          <w:w w:val="100"/>
          <w:sz w:val="24"/>
        </w:rPr>
      </w:pPr>
      <w:r>
        <w:rPr>
          <w:rFonts w:ascii="仿宋" w:hAnsi="仿宋" w:eastAsia="仿宋"/>
          <w:w w:val="100"/>
          <w:sz w:val="24"/>
        </w:rPr>
        <w:t>1、财政所：</w:t>
      </w:r>
    </w:p>
    <w:p>
      <w:pPr>
        <w:autoSpaceDE/>
        <w:autoSpaceDN/>
        <w:snapToGrid w:val="0"/>
        <w:spacing w:before="0" w:after="0" w:line="240" w:lineRule="auto"/>
        <w:ind w:left="480" w:firstLine="480"/>
        <w:jc w:val="both"/>
        <w:rPr>
          <w:rFonts w:ascii="仿宋" w:hAnsi="仿宋" w:eastAsia="仿宋"/>
          <w:w w:val="100"/>
          <w:sz w:val="24"/>
        </w:rPr>
      </w:pPr>
      <w:r>
        <w:rPr>
          <w:rFonts w:ascii="仿宋" w:hAnsi="仿宋" w:eastAsia="仿宋"/>
          <w:w w:val="100"/>
          <w:sz w:val="24"/>
        </w:rPr>
        <w:t>（1）认真宣传贯彻党的财政法规，遵纪守法、廉洁奉公，钻研业务，热心做好本职工作；</w:t>
      </w:r>
    </w:p>
    <w:p>
      <w:pPr>
        <w:autoSpaceDE/>
        <w:autoSpaceDN/>
        <w:snapToGrid w:val="0"/>
        <w:spacing w:before="0" w:after="0" w:line="240" w:lineRule="auto"/>
        <w:ind w:left="480" w:firstLine="480"/>
        <w:jc w:val="both"/>
        <w:rPr>
          <w:rFonts w:ascii="仿宋" w:hAnsi="仿宋" w:eastAsia="仿宋"/>
          <w:w w:val="100"/>
          <w:sz w:val="24"/>
        </w:rPr>
      </w:pPr>
      <w:r>
        <w:rPr>
          <w:rFonts w:ascii="仿宋" w:hAnsi="仿宋" w:eastAsia="仿宋"/>
          <w:w w:val="100"/>
          <w:sz w:val="24"/>
        </w:rPr>
        <w:t>（2）严格按照会计制度规定，做好乡镇财政的预算内资金、预算外资金和自筹资金的收支核算工作，做到账目清楚，数字准确，保管好会计档案；</w:t>
      </w:r>
    </w:p>
    <w:p>
      <w:pPr>
        <w:autoSpaceDE/>
        <w:autoSpaceDN/>
        <w:snapToGrid w:val="0"/>
        <w:spacing w:before="0" w:after="0" w:line="240" w:lineRule="auto"/>
        <w:ind w:left="480" w:firstLine="480"/>
        <w:jc w:val="both"/>
        <w:rPr>
          <w:rFonts w:ascii="仿宋" w:hAnsi="仿宋" w:eastAsia="仿宋"/>
          <w:w w:val="100"/>
          <w:sz w:val="24"/>
        </w:rPr>
      </w:pPr>
      <w:r>
        <w:rPr>
          <w:rFonts w:ascii="仿宋" w:hAnsi="仿宋" w:eastAsia="仿宋"/>
          <w:w w:val="100"/>
          <w:sz w:val="24"/>
        </w:rPr>
        <w:t>3）认真编审乡级财政预算和决算，如实反映预算执行情况，坚持每月向镇政府和区局报送预算分析，供领导决策参考；</w:t>
      </w:r>
    </w:p>
    <w:p>
      <w:pPr>
        <w:autoSpaceDE/>
        <w:autoSpaceDN/>
        <w:snapToGrid w:val="0"/>
        <w:spacing w:before="0" w:after="0" w:line="240" w:lineRule="auto"/>
        <w:ind w:left="480" w:firstLine="480"/>
        <w:jc w:val="both"/>
        <w:rPr>
          <w:rFonts w:ascii="仿宋" w:hAnsi="仿宋" w:eastAsia="仿宋"/>
          <w:w w:val="100"/>
          <w:sz w:val="24"/>
        </w:rPr>
      </w:pPr>
      <w:r>
        <w:rPr>
          <w:rFonts w:ascii="仿宋" w:hAnsi="仿宋" w:eastAsia="仿宋"/>
          <w:w w:val="100"/>
          <w:sz w:val="24"/>
        </w:rPr>
        <w:t>（4）积极组织预算收支，督促交款单位及时足额上缴预算收入，监督用款单位严格按预算使用各种资金，搞好资金调度，保证各项资金的正常需要，严格审查行政、事业单位年度决算。</w:t>
      </w:r>
    </w:p>
    <w:p>
      <w:pPr>
        <w:autoSpaceDE/>
        <w:autoSpaceDN/>
        <w:snapToGrid w:val="0"/>
        <w:spacing w:before="0" w:after="0" w:line="240" w:lineRule="auto"/>
        <w:ind w:left="480" w:firstLine="480"/>
        <w:jc w:val="both"/>
        <w:rPr>
          <w:rFonts w:ascii="仿宋" w:hAnsi="仿宋" w:eastAsia="仿宋"/>
          <w:w w:val="100"/>
          <w:sz w:val="24"/>
        </w:rPr>
      </w:pPr>
      <w:r>
        <w:rPr>
          <w:rFonts w:ascii="仿宋" w:hAnsi="仿宋" w:eastAsia="仿宋"/>
          <w:w w:val="100"/>
          <w:sz w:val="24"/>
        </w:rPr>
        <w:t>（5）加强财政监督，整顿财政秩序，严肃财经纪律，加强财务报销、审批制度，坚决杜绝不合理开支。</w:t>
      </w:r>
    </w:p>
    <w:p>
      <w:pPr>
        <w:autoSpaceDE/>
        <w:autoSpaceDN/>
        <w:snapToGrid w:val="0"/>
        <w:spacing w:before="0" w:after="0" w:line="240" w:lineRule="auto"/>
        <w:ind w:left="480" w:firstLine="480"/>
        <w:jc w:val="both"/>
        <w:rPr>
          <w:rFonts w:ascii="仿宋" w:hAnsi="仿宋" w:eastAsia="仿宋"/>
          <w:w w:val="100"/>
          <w:sz w:val="24"/>
        </w:rPr>
      </w:pPr>
      <w:r>
        <w:rPr>
          <w:rFonts w:ascii="仿宋" w:hAnsi="仿宋" w:eastAsia="仿宋"/>
          <w:w w:val="100"/>
          <w:sz w:val="24"/>
        </w:rPr>
        <w:t>2、民政所：</w:t>
      </w:r>
      <w:bookmarkStart w:id="5" w:name="_GoBack"/>
      <w:bookmarkEnd w:id="5"/>
    </w:p>
    <w:p>
      <w:pPr>
        <w:autoSpaceDE/>
        <w:autoSpaceDN/>
        <w:snapToGrid w:val="0"/>
        <w:spacing w:before="0" w:after="0" w:line="240" w:lineRule="auto"/>
        <w:ind w:left="480" w:firstLine="480"/>
        <w:jc w:val="both"/>
        <w:rPr>
          <w:rFonts w:ascii="仿宋" w:hAnsi="仿宋" w:eastAsia="仿宋"/>
          <w:w w:val="100"/>
          <w:sz w:val="24"/>
        </w:rPr>
      </w:pPr>
      <w:r>
        <w:rPr>
          <w:rFonts w:ascii="仿宋" w:hAnsi="仿宋" w:eastAsia="仿宋"/>
          <w:w w:val="100"/>
          <w:sz w:val="24"/>
        </w:rPr>
        <w:t>管理发放民政专项经费，开展救灾、救济、五保供养、农村特困户救助、城市居民最低生活保障、优待抚恤、社会福利、农村社会养老保险、村民自治、社区建设、殡葬改革、民间组织管理、民政财务和统计、民政信访等。</w:t>
      </w:r>
    </w:p>
    <w:p>
      <w:pPr>
        <w:autoSpaceDE/>
        <w:autoSpaceDN/>
        <w:snapToGrid w:val="0"/>
        <w:spacing w:before="0" w:after="0" w:line="240" w:lineRule="auto"/>
        <w:ind w:left="480" w:firstLine="480"/>
        <w:jc w:val="both"/>
        <w:rPr>
          <w:rFonts w:ascii="仿宋" w:hAnsi="仿宋" w:eastAsia="仿宋"/>
          <w:w w:val="100"/>
          <w:sz w:val="24"/>
        </w:rPr>
      </w:pPr>
      <w:r>
        <w:rPr>
          <w:rFonts w:ascii="仿宋" w:hAnsi="仿宋" w:eastAsia="仿宋"/>
          <w:w w:val="100"/>
          <w:sz w:val="24"/>
        </w:rPr>
        <w:t>3、计划生育管理站：</w:t>
      </w:r>
    </w:p>
    <w:p>
      <w:pPr>
        <w:autoSpaceDE/>
        <w:autoSpaceDN/>
        <w:snapToGrid w:val="0"/>
        <w:spacing w:before="0" w:after="0" w:line="240" w:lineRule="auto"/>
        <w:ind w:left="480" w:firstLine="480"/>
        <w:jc w:val="both"/>
        <w:rPr>
          <w:rFonts w:ascii="仿宋" w:hAnsi="仿宋" w:eastAsia="仿宋"/>
          <w:w w:val="100"/>
          <w:sz w:val="24"/>
        </w:rPr>
      </w:pPr>
      <w:r>
        <w:rPr>
          <w:rFonts w:ascii="仿宋" w:hAnsi="仿宋" w:eastAsia="仿宋"/>
          <w:w w:val="100"/>
          <w:sz w:val="24"/>
        </w:rPr>
        <w:t>贯彻落实国家有关计划生育政策法规等有关规定，负责全镇的计划生育管理，办理有关计划生育证件，提供计划生育技术服务和生殖保健服务，对流动人口进行计划生育管理，协助征收计划生育社会抚养费，监控出生婴儿性别比。</w:t>
      </w:r>
    </w:p>
    <w:p>
      <w:pPr>
        <w:autoSpaceDE/>
        <w:autoSpaceDN/>
        <w:snapToGrid w:val="0"/>
        <w:spacing w:before="0" w:after="0" w:line="240" w:lineRule="auto"/>
        <w:ind w:left="480" w:firstLine="480"/>
        <w:jc w:val="both"/>
        <w:rPr>
          <w:rFonts w:ascii="仿宋" w:hAnsi="仿宋" w:eastAsia="仿宋"/>
          <w:w w:val="100"/>
          <w:sz w:val="24"/>
        </w:rPr>
      </w:pPr>
      <w:r>
        <w:rPr>
          <w:rFonts w:ascii="仿宋" w:hAnsi="仿宋" w:eastAsia="仿宋"/>
          <w:w w:val="100"/>
          <w:sz w:val="24"/>
        </w:rPr>
        <w:t>4、农业综合服务中心：</w:t>
      </w:r>
    </w:p>
    <w:p>
      <w:pPr>
        <w:autoSpaceDE/>
        <w:autoSpaceDN/>
        <w:snapToGrid w:val="0"/>
        <w:spacing w:before="0" w:after="0" w:line="240" w:lineRule="auto"/>
        <w:ind w:left="480" w:firstLine="480"/>
        <w:jc w:val="both"/>
        <w:rPr>
          <w:rFonts w:ascii="仿宋" w:hAnsi="仿宋" w:eastAsia="仿宋"/>
          <w:w w:val="100"/>
          <w:sz w:val="24"/>
        </w:rPr>
      </w:pPr>
      <w:r>
        <w:rPr>
          <w:rFonts w:ascii="仿宋" w:hAnsi="仿宋" w:eastAsia="仿宋"/>
          <w:w w:val="100"/>
          <w:sz w:val="24"/>
        </w:rPr>
        <w:t>负责全镇水利设施的管理，宣传贯彻《水法》、《水土保持法》、《防洪法》及其它水法规，推广节水先进经济和其他水利水土科学成果，协助上级搞好水利水土区划、规划和各项小型水利水土工程的计划安排及水利水土年度统计工作，管理好本镇小（二）型以上水库和水土、小资源等；开展农业培训，宣传科技知识，传播农业生产技术，提供农作物病虫害测报服务，进行田间试验示范，新农药、种籽的引进试验示范，种子的销售、质检，测土配方施肥抽样调查和技术配套等农技活动。</w:t>
      </w:r>
    </w:p>
    <w:p>
      <w:pPr>
        <w:autoSpaceDE/>
        <w:autoSpaceDN/>
        <w:snapToGrid w:val="0"/>
        <w:spacing w:before="0" w:after="0" w:line="240" w:lineRule="auto"/>
        <w:ind w:left="480" w:firstLine="480"/>
        <w:jc w:val="both"/>
        <w:rPr>
          <w:rFonts w:ascii="仿宋" w:hAnsi="仿宋" w:eastAsia="仿宋"/>
          <w:w w:val="100"/>
          <w:sz w:val="24"/>
        </w:rPr>
      </w:pPr>
      <w:r>
        <w:rPr>
          <w:rFonts w:ascii="仿宋" w:hAnsi="仿宋" w:eastAsia="仿宋"/>
          <w:w w:val="100"/>
          <w:sz w:val="24"/>
        </w:rPr>
        <w:t>5、社会事务综合管理站：</w:t>
      </w:r>
    </w:p>
    <w:p>
      <w:pPr>
        <w:autoSpaceDE/>
        <w:autoSpaceDN/>
        <w:snapToGrid w:val="0"/>
        <w:spacing w:before="0" w:after="0" w:line="240" w:lineRule="auto"/>
        <w:ind w:left="480" w:firstLine="480"/>
        <w:jc w:val="both"/>
        <w:rPr>
          <w:rFonts w:ascii="仿宋" w:hAnsi="仿宋" w:eastAsia="仿宋"/>
          <w:w w:val="100"/>
          <w:sz w:val="24"/>
        </w:rPr>
      </w:pPr>
      <w:r>
        <w:rPr>
          <w:rFonts w:ascii="仿宋" w:hAnsi="仿宋" w:eastAsia="仿宋"/>
          <w:w w:val="100"/>
          <w:sz w:val="24"/>
        </w:rPr>
        <w:t>为农村合作经济健康发展提供管理保障，包括农村土地承包管理、农村集体资产管理、农业产业化经营管理、农村合作经济组织管理、农村负担、农村财务管理、农村经济统计管理、农村经济体系管理、农经政策宣传；负责镇域社会经济情况及镇村两级农村基本情况的统计，并对各项统计数据进行合理整理、统计、上报等。</w:t>
      </w:r>
    </w:p>
    <w:p>
      <w:pPr>
        <w:autoSpaceDE/>
        <w:autoSpaceDN/>
        <w:snapToGrid w:val="0"/>
        <w:spacing w:before="0" w:after="0" w:line="240" w:lineRule="auto"/>
        <w:ind w:left="480" w:firstLine="480"/>
        <w:jc w:val="both"/>
        <w:rPr>
          <w:rFonts w:ascii="仿宋" w:hAnsi="仿宋" w:eastAsia="仿宋"/>
          <w:w w:val="100"/>
          <w:sz w:val="24"/>
        </w:rPr>
      </w:pPr>
      <w:r>
        <w:rPr>
          <w:rFonts w:ascii="仿宋" w:hAnsi="仿宋" w:eastAsia="仿宋"/>
          <w:w w:val="100"/>
          <w:sz w:val="24"/>
        </w:rPr>
        <w:t>6、乡村建设管理站：</w:t>
      </w:r>
    </w:p>
    <w:p>
      <w:pPr>
        <w:autoSpaceDE/>
        <w:autoSpaceDN/>
        <w:snapToGrid w:val="0"/>
        <w:spacing w:before="0" w:after="0" w:line="240" w:lineRule="auto"/>
        <w:ind w:left="480" w:firstLine="480"/>
        <w:jc w:val="both"/>
        <w:rPr>
          <w:rFonts w:ascii="仿宋" w:hAnsi="仿宋" w:eastAsia="仿宋"/>
          <w:w w:val="100"/>
          <w:sz w:val="24"/>
        </w:rPr>
      </w:pPr>
      <w:r>
        <w:rPr>
          <w:rFonts w:ascii="仿宋" w:hAnsi="仿宋" w:eastAsia="仿宋"/>
          <w:w w:val="100"/>
          <w:sz w:val="24"/>
        </w:rPr>
        <w:t>负责全镇集体、私营企业的管理工作，统计全镇的企业总产值、税收情况；负责村镇建设项目规划建设的审核、审批，及村镇规划区内公共设施和村容镇貌的管理，编制集镇总体规划和建设规划、村庄建设规划。</w:t>
      </w:r>
    </w:p>
    <w:p>
      <w:pPr>
        <w:autoSpaceDE/>
        <w:autoSpaceDN/>
        <w:snapToGrid w:val="0"/>
        <w:spacing w:before="0" w:after="0" w:line="240" w:lineRule="auto"/>
        <w:ind w:left="480" w:firstLine="480"/>
        <w:jc w:val="both"/>
        <w:rPr>
          <w:rFonts w:ascii="仿宋" w:hAnsi="仿宋" w:eastAsia="仿宋"/>
          <w:w w:val="100"/>
          <w:sz w:val="24"/>
        </w:rPr>
      </w:pPr>
      <w:r>
        <w:rPr>
          <w:rFonts w:ascii="仿宋" w:hAnsi="仿宋" w:eastAsia="仿宋"/>
          <w:w w:val="100"/>
          <w:sz w:val="24"/>
        </w:rPr>
        <w:t>7、劳动保障事务所：</w:t>
      </w:r>
    </w:p>
    <w:p>
      <w:pPr>
        <w:autoSpaceDE/>
        <w:autoSpaceDN/>
        <w:snapToGrid w:val="0"/>
        <w:spacing w:before="0" w:after="0" w:line="240" w:lineRule="auto"/>
        <w:ind w:left="480" w:firstLine="480"/>
        <w:jc w:val="both"/>
        <w:rPr>
          <w:rFonts w:ascii="仿宋" w:hAnsi="仿宋" w:eastAsia="仿宋"/>
          <w:w w:val="100"/>
          <w:sz w:val="24"/>
        </w:rPr>
      </w:pPr>
      <w:r>
        <w:rPr>
          <w:rFonts w:ascii="仿宋" w:hAnsi="仿宋" w:eastAsia="仿宋"/>
          <w:w w:val="100"/>
          <w:sz w:val="24"/>
        </w:rPr>
        <w:t>开展辖区内下岗失业人员、城镇登记失业人员的登记管理和服务，对辖区内求职人员提供职业介绍服务，开发社区就业岗位，发展非正规就业，开展辖区内退休人员社会化管理服务和劳动保障政策咨询和其他工作。</w:t>
      </w:r>
    </w:p>
    <w:p>
      <w:pPr>
        <w:autoSpaceDE/>
        <w:autoSpaceDN/>
        <w:snapToGrid w:val="0"/>
        <w:spacing w:before="0" w:after="0" w:line="240" w:lineRule="auto"/>
        <w:ind w:left="480" w:firstLine="480"/>
        <w:jc w:val="both"/>
        <w:rPr>
          <w:rFonts w:ascii="仿宋" w:hAnsi="仿宋" w:eastAsia="仿宋"/>
          <w:w w:val="100"/>
          <w:sz w:val="24"/>
        </w:rPr>
      </w:pPr>
      <w:r>
        <w:rPr>
          <w:rFonts w:ascii="仿宋" w:hAnsi="仿宋" w:eastAsia="仿宋"/>
          <w:w w:val="100"/>
          <w:sz w:val="24"/>
        </w:rPr>
        <w:t>8、文化广播站：</w:t>
      </w:r>
    </w:p>
    <w:p>
      <w:pPr>
        <w:autoSpaceDE/>
        <w:autoSpaceDN/>
        <w:snapToGrid w:val="0"/>
        <w:spacing w:before="0" w:after="0" w:line="240" w:lineRule="auto"/>
        <w:ind w:left="480" w:firstLine="480"/>
        <w:jc w:val="both"/>
        <w:rPr>
          <w:rFonts w:ascii="仿宋" w:hAnsi="仿宋" w:eastAsia="仿宋"/>
          <w:w w:val="100"/>
          <w:sz w:val="24"/>
        </w:rPr>
      </w:pPr>
      <w:r>
        <w:rPr>
          <w:rFonts w:ascii="仿宋" w:hAnsi="仿宋" w:eastAsia="仿宋"/>
          <w:w w:val="100"/>
          <w:sz w:val="24"/>
        </w:rPr>
        <w:t>负责全镇的文物管理，宣传本地的文化、风土人情及全镇的有线电用户管理。</w:t>
      </w:r>
    </w:p>
    <w:p>
      <w:pPr>
        <w:autoSpaceDE/>
        <w:autoSpaceDN/>
        <w:snapToGrid w:val="0"/>
        <w:spacing w:before="0" w:after="0" w:line="240" w:lineRule="auto"/>
        <w:ind w:left="480" w:firstLine="480"/>
        <w:jc w:val="both"/>
        <w:rPr>
          <w:rFonts w:ascii="仿宋" w:hAnsi="仿宋" w:eastAsia="仿宋"/>
          <w:w w:val="100"/>
          <w:sz w:val="24"/>
        </w:rPr>
      </w:pPr>
      <w:r>
        <w:rPr>
          <w:rFonts w:ascii="仿宋" w:hAnsi="仿宋" w:eastAsia="仿宋"/>
          <w:w w:val="100"/>
          <w:sz w:val="24"/>
        </w:rPr>
        <w:t>9、农机站：</w:t>
      </w:r>
    </w:p>
    <w:p>
      <w:pPr>
        <w:autoSpaceDE/>
        <w:autoSpaceDN/>
        <w:snapToGrid w:val="0"/>
        <w:spacing w:before="0" w:after="0" w:line="240" w:lineRule="auto"/>
        <w:ind w:left="480" w:firstLine="480"/>
        <w:jc w:val="both"/>
        <w:rPr>
          <w:rFonts w:hint="eastAsia" w:ascii="仿宋_GB2312" w:hAnsi="仿宋" w:eastAsia="仿宋_GB2312"/>
          <w:w w:val="100"/>
          <w:sz w:val="32"/>
          <w:lang w:eastAsia="zh-CN"/>
        </w:rPr>
      </w:pPr>
      <w:r>
        <w:rPr>
          <w:rFonts w:ascii="仿宋" w:hAnsi="仿宋" w:eastAsia="仿宋"/>
          <w:w w:val="100"/>
          <w:sz w:val="24"/>
        </w:rPr>
        <w:t>负责全镇的农机清、统计工作，受上级委托，办理各种理农业机械证件。</w:t>
      </w:r>
    </w:p>
    <w:p>
      <w:pPr>
        <w:autoSpaceDE/>
        <w:autoSpaceDN/>
        <w:snapToGrid w:val="0"/>
        <w:spacing w:before="0" w:after="0" w:line="240" w:lineRule="auto"/>
        <w:ind w:left="480" w:firstLine="480"/>
        <w:jc w:val="both"/>
        <w:rPr>
          <w:rFonts w:hint="eastAsia" w:ascii="仿宋" w:hAnsi="仿宋" w:eastAsia="仿宋"/>
          <w:w w:val="100"/>
          <w:sz w:val="24"/>
          <w:lang w:eastAsia="zh-CN"/>
        </w:rPr>
      </w:pPr>
    </w:p>
    <w:p>
      <w:pPr>
        <w:autoSpaceDE/>
        <w:autoSpaceDN/>
        <w:snapToGrid w:val="0"/>
        <w:spacing w:before="0" w:after="0" w:line="520" w:lineRule="exact"/>
        <w:ind w:left="640" w:firstLine="640"/>
        <w:jc w:val="both"/>
        <w:rPr>
          <w:rFonts w:hint="eastAsia" w:ascii="仿宋_GB2312" w:hAnsi="仿宋" w:eastAsia="仿宋_GB2312"/>
          <w:w w:val="100"/>
          <w:sz w:val="32"/>
          <w:lang w:eastAsia="zh-CN"/>
        </w:rPr>
      </w:pPr>
      <w:r>
        <w:rPr>
          <w:rFonts w:hint="eastAsia" w:ascii="仿宋_GB2312" w:hAnsi="仿宋" w:eastAsia="仿宋_GB2312"/>
          <w:w w:val="100"/>
          <w:sz w:val="32"/>
          <w:lang w:eastAsia="zh-CN"/>
        </w:rPr>
        <w:t>3．人员情况，包括当年变动情况及原因。</w:t>
      </w:r>
    </w:p>
    <w:p>
      <w:pPr>
        <w:autoSpaceDE/>
        <w:autoSpaceDN/>
        <w:snapToGrid w:val="0"/>
        <w:spacing w:before="0" w:after="0" w:line="240" w:lineRule="auto"/>
        <w:ind w:left="480" w:firstLine="480"/>
        <w:jc w:val="both"/>
        <w:rPr>
          <w:rFonts w:hint="eastAsia" w:ascii="仿宋_GB2312" w:hAnsi="仿宋" w:eastAsia="仿宋_GB2312"/>
          <w:w w:val="100"/>
          <w:sz w:val="32"/>
          <w:lang w:eastAsia="zh-CN"/>
        </w:rPr>
      </w:pPr>
      <w:r>
        <w:rPr>
          <w:rFonts w:ascii="仿宋" w:hAnsi="仿宋" w:eastAsia="仿宋"/>
          <w:w w:val="100"/>
          <w:sz w:val="24"/>
        </w:rPr>
        <w:t>年末实有人数为</w:t>
      </w:r>
      <w:r>
        <w:rPr>
          <w:rFonts w:hint="eastAsia" w:ascii="仿宋" w:hAnsi="仿宋" w:eastAsia="仿宋"/>
          <w:w w:val="100"/>
          <w:sz w:val="24"/>
          <w:lang w:val="en-US" w:eastAsia="zh-CN"/>
        </w:rPr>
        <w:t>46人</w:t>
      </w:r>
      <w:r>
        <w:rPr>
          <w:rFonts w:ascii="仿宋" w:hAnsi="仿宋" w:eastAsia="仿宋"/>
          <w:w w:val="100"/>
          <w:sz w:val="24"/>
        </w:rPr>
        <w:t>，其中公务员</w:t>
      </w:r>
      <w:r>
        <w:rPr>
          <w:rFonts w:hint="eastAsia" w:ascii="仿宋" w:hAnsi="仿宋" w:eastAsia="仿宋"/>
          <w:w w:val="100"/>
          <w:sz w:val="24"/>
          <w:lang w:val="en-US" w:eastAsia="zh-CN"/>
        </w:rPr>
        <w:t>24</w:t>
      </w:r>
      <w:r>
        <w:rPr>
          <w:rFonts w:ascii="仿宋" w:hAnsi="仿宋" w:eastAsia="仿宋"/>
          <w:w w:val="100"/>
          <w:sz w:val="24"/>
        </w:rPr>
        <w:t>人，非参公事业人员</w:t>
      </w:r>
      <w:r>
        <w:rPr>
          <w:rFonts w:hint="eastAsia" w:ascii="仿宋" w:hAnsi="仿宋" w:eastAsia="仿宋"/>
          <w:w w:val="100"/>
          <w:sz w:val="24"/>
          <w:lang w:val="en-US" w:eastAsia="zh-CN"/>
        </w:rPr>
        <w:t>22</w:t>
      </w:r>
      <w:r>
        <w:rPr>
          <w:rFonts w:ascii="仿宋" w:hAnsi="仿宋" w:eastAsia="仿宋"/>
          <w:w w:val="100"/>
          <w:sz w:val="24"/>
        </w:rPr>
        <w:t>;其他人员</w:t>
      </w:r>
      <w:r>
        <w:rPr>
          <w:rFonts w:hint="eastAsia" w:ascii="仿宋" w:hAnsi="仿宋" w:eastAsia="仿宋"/>
          <w:w w:val="100"/>
          <w:sz w:val="24"/>
          <w:lang w:val="en-US" w:eastAsia="zh-CN"/>
        </w:rPr>
        <w:t>10</w:t>
      </w:r>
      <w:r>
        <w:rPr>
          <w:rFonts w:ascii="仿宋" w:hAnsi="仿宋" w:eastAsia="仿宋"/>
          <w:w w:val="100"/>
          <w:sz w:val="24"/>
        </w:rPr>
        <w:t>人，遗属</w:t>
      </w:r>
      <w:r>
        <w:rPr>
          <w:rFonts w:hint="eastAsia" w:ascii="仿宋" w:hAnsi="仿宋" w:eastAsia="仿宋"/>
          <w:w w:val="100"/>
          <w:sz w:val="24"/>
          <w:lang w:val="en-US" w:eastAsia="zh-CN"/>
        </w:rPr>
        <w:t>4人</w:t>
      </w:r>
      <w:r>
        <w:rPr>
          <w:rFonts w:ascii="仿宋" w:hAnsi="仿宋" w:eastAsia="仿宋"/>
          <w:w w:val="100"/>
          <w:sz w:val="24"/>
        </w:rPr>
        <w:t>。</w:t>
      </w:r>
    </w:p>
    <w:p>
      <w:pPr>
        <w:autoSpaceDE/>
        <w:autoSpaceDN/>
        <w:snapToGrid w:val="0"/>
        <w:spacing w:before="0" w:after="0" w:line="520" w:lineRule="exact"/>
        <w:ind w:left="643" w:firstLine="643"/>
        <w:jc w:val="both"/>
        <w:rPr>
          <w:rFonts w:hint="eastAsia" w:ascii="楷体_GB2312" w:hAnsi="仿宋" w:eastAsia="楷体_GB2312"/>
          <w:b/>
          <w:w w:val="100"/>
          <w:sz w:val="32"/>
          <w:lang w:eastAsia="zh-CN"/>
        </w:rPr>
      </w:pPr>
      <w:r>
        <w:rPr>
          <w:rFonts w:hint="eastAsia" w:ascii="楷体_GB2312" w:hAnsi="仿宋" w:eastAsia="楷体_GB2312"/>
          <w:b/>
          <w:w w:val="100"/>
          <w:sz w:val="32"/>
          <w:lang w:eastAsia="zh-CN"/>
        </w:rPr>
        <w:t>（二）当年取得的主要事业成效。</w:t>
      </w:r>
    </w:p>
    <w:p>
      <w:pPr>
        <w:autoSpaceDE/>
        <w:autoSpaceDN/>
        <w:snapToGrid w:val="0"/>
        <w:spacing w:before="0" w:after="0" w:line="240" w:lineRule="auto"/>
        <w:ind w:left="480" w:firstLine="480"/>
        <w:jc w:val="both"/>
        <w:rPr>
          <w:rFonts w:hint="eastAsia" w:ascii="仿宋_GB2312" w:hAnsi="仿宋" w:eastAsia="仿宋_GB2312"/>
          <w:w w:val="100"/>
          <w:sz w:val="32"/>
          <w:lang w:eastAsia="zh-CN"/>
        </w:rPr>
      </w:pPr>
      <w:r>
        <w:rPr>
          <w:rFonts w:ascii="仿宋" w:hAnsi="仿宋" w:eastAsia="仿宋"/>
          <w:w w:val="100"/>
          <w:sz w:val="24"/>
        </w:rPr>
        <w:t>本单位在旗委、旗政府的正确领导下，在20</w:t>
      </w:r>
      <w:r>
        <w:rPr>
          <w:rFonts w:hint="eastAsia" w:ascii="仿宋" w:hAnsi="仿宋" w:eastAsia="仿宋"/>
          <w:w w:val="100"/>
          <w:sz w:val="24"/>
          <w:lang w:val="en-US" w:eastAsia="zh-CN"/>
        </w:rPr>
        <w:t>20</w:t>
      </w:r>
      <w:r>
        <w:rPr>
          <w:rFonts w:ascii="仿宋" w:hAnsi="仿宋" w:eastAsia="仿宋"/>
          <w:w w:val="100"/>
          <w:sz w:val="24"/>
        </w:rPr>
        <w:t>年度全面完成了年初计划。</w:t>
      </w:r>
    </w:p>
    <w:p>
      <w:pPr>
        <w:autoSpaceDE/>
        <w:autoSpaceDN/>
        <w:snapToGrid w:val="0"/>
        <w:spacing w:before="0" w:after="0" w:line="520" w:lineRule="exact"/>
        <w:ind w:left="0" w:firstLine="0"/>
        <w:jc w:val="both"/>
        <w:rPr>
          <w:rFonts w:hint="eastAsia" w:ascii="黑体" w:hAnsi="黑体" w:eastAsia="黑体"/>
          <w:w w:val="100"/>
          <w:sz w:val="32"/>
          <w:lang w:eastAsia="zh-CN"/>
        </w:rPr>
      </w:pPr>
      <w:r>
        <w:rPr>
          <w:rFonts w:hint="eastAsia" w:ascii="黑体" w:hAnsi="黑体" w:eastAsia="黑体"/>
          <w:w w:val="100"/>
          <w:sz w:val="32"/>
          <w:lang w:eastAsia="zh-CN"/>
        </w:rPr>
        <w:t>二、收入支出预算执行情况分析</w:t>
      </w:r>
    </w:p>
    <w:p>
      <w:pPr>
        <w:autoSpaceDE/>
        <w:autoSpaceDN/>
        <w:snapToGrid w:val="0"/>
        <w:spacing w:before="0" w:after="0" w:line="520" w:lineRule="exact"/>
        <w:ind w:left="0" w:firstLine="0"/>
        <w:jc w:val="both"/>
        <w:rPr>
          <w:rFonts w:hint="eastAsia" w:ascii="楷体_GB2312" w:hAnsi="仿宋" w:eastAsia="楷体_GB2312"/>
          <w:b/>
          <w:w w:val="100"/>
          <w:sz w:val="32"/>
          <w:lang w:eastAsia="zh-CN"/>
        </w:rPr>
      </w:pPr>
      <w:r>
        <w:rPr>
          <w:rFonts w:hint="eastAsia" w:ascii="楷体_GB2312" w:hAnsi="仿宋" w:eastAsia="楷体_GB2312"/>
          <w:b/>
          <w:w w:val="100"/>
          <w:sz w:val="32"/>
          <w:lang w:eastAsia="zh-CN"/>
        </w:rPr>
        <w:t>（一）收入支出预算安排情况。</w:t>
      </w:r>
    </w:p>
    <w:p>
      <w:pPr>
        <w:autoSpaceDE/>
        <w:autoSpaceDN/>
        <w:snapToGrid w:val="0"/>
        <w:spacing w:before="0" w:after="0" w:line="520" w:lineRule="exact"/>
        <w:ind w:left="480" w:firstLine="480"/>
        <w:jc w:val="both"/>
        <w:rPr>
          <w:rFonts w:hint="eastAsia" w:ascii="仿宋" w:hAnsi="仿宋" w:eastAsia="仿宋"/>
          <w:w w:val="100"/>
          <w:sz w:val="24"/>
          <w:lang w:val="en-US" w:eastAsia="zh-CN"/>
        </w:rPr>
      </w:pPr>
      <w:r>
        <w:rPr>
          <w:rFonts w:ascii="仿宋" w:hAnsi="仿宋" w:eastAsia="仿宋"/>
          <w:w w:val="100"/>
          <w:sz w:val="24"/>
        </w:rPr>
        <w:t>本年度年初预算为</w:t>
      </w:r>
      <w:r>
        <w:rPr>
          <w:rFonts w:hint="eastAsia" w:ascii="仿宋" w:hAnsi="仿宋" w:eastAsia="仿宋"/>
          <w:w w:val="100"/>
          <w:sz w:val="24"/>
          <w:lang w:val="en-US" w:eastAsia="zh-CN"/>
        </w:rPr>
        <w:t>707.5</w:t>
      </w:r>
      <w:r>
        <w:rPr>
          <w:rFonts w:ascii="仿宋" w:hAnsi="仿宋" w:eastAsia="仿宋"/>
          <w:w w:val="100"/>
          <w:sz w:val="24"/>
        </w:rPr>
        <w:t>万元，实际收入为</w:t>
      </w:r>
      <w:r>
        <w:rPr>
          <w:rFonts w:hint="eastAsia" w:ascii="仿宋" w:hAnsi="仿宋" w:eastAsia="仿宋"/>
          <w:w w:val="100"/>
          <w:sz w:val="24"/>
          <w:lang w:val="en-US" w:eastAsia="zh-CN"/>
        </w:rPr>
        <w:t>1661.93</w:t>
      </w:r>
      <w:r>
        <w:rPr>
          <w:rFonts w:ascii="仿宋" w:hAnsi="仿宋" w:eastAsia="仿宋"/>
          <w:w w:val="100"/>
          <w:sz w:val="24"/>
        </w:rPr>
        <w:t>万元，上年度收入为</w:t>
      </w:r>
      <w:r>
        <w:rPr>
          <w:rFonts w:hint="eastAsia" w:ascii="仿宋" w:hAnsi="仿宋" w:eastAsia="仿宋"/>
          <w:w w:val="100"/>
          <w:sz w:val="24"/>
          <w:lang w:val="en-US" w:eastAsia="zh-CN"/>
        </w:rPr>
        <w:t>2471.08</w:t>
      </w:r>
      <w:r>
        <w:rPr>
          <w:rFonts w:ascii="仿宋" w:hAnsi="仿宋" w:eastAsia="仿宋"/>
          <w:w w:val="100"/>
          <w:sz w:val="24"/>
        </w:rPr>
        <w:t>万元。本年度财政拨款收入</w:t>
      </w:r>
      <w:r>
        <w:rPr>
          <w:rFonts w:hint="eastAsia" w:ascii="仿宋" w:hAnsi="仿宋" w:eastAsia="仿宋"/>
          <w:w w:val="100"/>
          <w:sz w:val="24"/>
          <w:lang w:val="en-US" w:eastAsia="zh-CN"/>
        </w:rPr>
        <w:t>减少，原因：本年工程类项目支出减少。</w:t>
      </w:r>
    </w:p>
    <w:p>
      <w:pPr>
        <w:tabs>
          <w:tab w:val="left" w:pos="3049"/>
        </w:tabs>
        <w:ind w:left="0" w:leftChars="0" w:firstLine="0" w:firstLineChars="0"/>
        <w:rPr>
          <w:rFonts w:hint="eastAsia" w:ascii="仿宋" w:hAnsi="仿宋" w:eastAsia="仿宋"/>
          <w:w w:val="100"/>
          <w:sz w:val="24"/>
          <w:lang w:val="en-US" w:eastAsia="zh-CN"/>
        </w:rPr>
      </w:pPr>
      <w:r>
        <w:rPr>
          <w:rFonts w:hint="eastAsia" w:ascii="仿宋" w:hAnsi="仿宋" w:eastAsia="仿宋"/>
          <w:w w:val="100"/>
          <w:sz w:val="24"/>
          <w:lang w:val="en-US" w:eastAsia="zh-CN"/>
        </w:rPr>
        <w:t xml:space="preserve">           </w:t>
      </w:r>
      <w:r>
        <w:rPr>
          <w:rFonts w:hint="eastAsia" w:ascii="仿宋" w:hAnsi="仿宋" w:eastAsia="仿宋"/>
          <w:w w:val="100"/>
          <w:sz w:val="24"/>
          <w:lang w:val="en-US" w:eastAsia="zh-CN"/>
        </w:rPr>
        <w:drawing>
          <wp:inline distT="0" distB="0" distL="114300" distR="114300">
            <wp:extent cx="3739515" cy="1774825"/>
            <wp:effectExtent l="4445" t="4445" r="5080" b="19050"/>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inline>
        </w:drawing>
      </w:r>
    </w:p>
    <w:p>
      <w:pPr>
        <w:autoSpaceDE/>
        <w:autoSpaceDN/>
        <w:snapToGrid w:val="0"/>
        <w:spacing w:before="0" w:after="0" w:line="520" w:lineRule="exact"/>
        <w:ind w:left="643" w:firstLine="643"/>
        <w:jc w:val="both"/>
        <w:rPr>
          <w:rFonts w:hint="eastAsia" w:ascii="楷体_GB2312" w:hAnsi="仿宋" w:eastAsia="楷体_GB2312"/>
          <w:b/>
          <w:w w:val="100"/>
          <w:sz w:val="32"/>
          <w:lang w:eastAsia="zh-CN"/>
        </w:rPr>
      </w:pPr>
      <w:r>
        <w:rPr>
          <w:rFonts w:hint="eastAsia" w:ascii="楷体_GB2312" w:hAnsi="仿宋" w:eastAsia="楷体_GB2312"/>
          <w:b/>
          <w:w w:val="100"/>
          <w:sz w:val="32"/>
          <w:lang w:eastAsia="zh-CN"/>
        </w:rPr>
        <w:t>（二）收入支出预算执行情况。</w:t>
      </w:r>
    </w:p>
    <w:p>
      <w:pPr>
        <w:autoSpaceDE/>
        <w:autoSpaceDN/>
        <w:snapToGrid w:val="0"/>
        <w:spacing w:before="0" w:after="0" w:line="520" w:lineRule="exact"/>
        <w:ind w:left="640" w:firstLine="640"/>
        <w:jc w:val="both"/>
        <w:rPr>
          <w:rFonts w:hint="eastAsia" w:ascii="仿宋_GB2312" w:hAnsi="仿宋" w:eastAsia="仿宋_GB2312"/>
          <w:w w:val="100"/>
          <w:sz w:val="32"/>
          <w:lang w:eastAsia="zh-CN"/>
        </w:rPr>
      </w:pPr>
      <w:r>
        <w:rPr>
          <w:rFonts w:hint="eastAsia" w:ascii="仿宋_GB2312" w:hAnsi="仿宋" w:eastAsia="仿宋_GB2312"/>
          <w:w w:val="100"/>
          <w:sz w:val="32"/>
          <w:lang w:eastAsia="zh-CN"/>
        </w:rPr>
        <w:t>当年收入支出预算执行基本情况，与上年度对比情况，包括增减绝对值与幅度，增减变动主要原因(可用柱形图或折线图)。</w:t>
      </w:r>
    </w:p>
    <w:p>
      <w:pPr>
        <w:autoSpaceDE/>
        <w:autoSpaceDN/>
        <w:snapToGrid w:val="0"/>
        <w:spacing w:before="0" w:after="0" w:line="240" w:lineRule="auto"/>
        <w:ind w:left="720" w:firstLine="720"/>
        <w:jc w:val="both"/>
        <w:rPr>
          <w:rFonts w:hint="eastAsia" w:ascii="仿宋" w:hAnsi="仿宋" w:eastAsia="仿宋"/>
          <w:w w:val="100"/>
          <w:sz w:val="24"/>
          <w:lang w:eastAsia="zh-CN"/>
        </w:rPr>
      </w:pPr>
      <w:r>
        <w:rPr>
          <w:rFonts w:ascii="仿宋" w:hAnsi="仿宋" w:eastAsia="仿宋"/>
          <w:w w:val="100"/>
          <w:sz w:val="24"/>
        </w:rPr>
        <w:t>当年收入</w:t>
      </w:r>
      <w:r>
        <w:rPr>
          <w:rFonts w:hint="eastAsia" w:ascii="仿宋" w:hAnsi="仿宋" w:eastAsia="仿宋"/>
          <w:w w:val="100"/>
          <w:sz w:val="24"/>
          <w:lang w:val="en-US" w:eastAsia="zh-CN"/>
        </w:rPr>
        <w:t>1661.93</w:t>
      </w:r>
      <w:r>
        <w:rPr>
          <w:rFonts w:ascii="仿宋" w:hAnsi="仿宋" w:eastAsia="仿宋"/>
          <w:w w:val="100"/>
          <w:sz w:val="24"/>
        </w:rPr>
        <w:t>万元，上年支出</w:t>
      </w:r>
      <w:r>
        <w:rPr>
          <w:rFonts w:hint="eastAsia" w:ascii="仿宋" w:hAnsi="仿宋" w:eastAsia="仿宋"/>
          <w:w w:val="100"/>
          <w:sz w:val="24"/>
          <w:lang w:val="en-US" w:eastAsia="zh-CN"/>
        </w:rPr>
        <w:t>2094.08</w:t>
      </w:r>
      <w:r>
        <w:rPr>
          <w:rFonts w:ascii="仿宋" w:hAnsi="仿宋" w:eastAsia="仿宋"/>
          <w:w w:val="100"/>
          <w:sz w:val="24"/>
        </w:rPr>
        <w:t>万元，本年实际支出为</w:t>
      </w:r>
      <w:r>
        <w:rPr>
          <w:rFonts w:hint="eastAsia" w:ascii="仿宋" w:hAnsi="仿宋" w:eastAsia="仿宋"/>
          <w:w w:val="100"/>
          <w:sz w:val="24"/>
          <w:lang w:val="en-US" w:eastAsia="zh-CN"/>
        </w:rPr>
        <w:t>1047.63</w:t>
      </w:r>
      <w:r>
        <w:rPr>
          <w:rFonts w:ascii="仿宋" w:hAnsi="仿宋" w:eastAsia="仿宋"/>
          <w:w w:val="100"/>
          <w:sz w:val="24"/>
        </w:rPr>
        <w:t>万元，其中：人员经费</w:t>
      </w:r>
      <w:r>
        <w:rPr>
          <w:rFonts w:hint="eastAsia" w:ascii="仿宋" w:hAnsi="仿宋" w:eastAsia="仿宋"/>
          <w:w w:val="100"/>
          <w:sz w:val="24"/>
          <w:lang w:val="en-US" w:eastAsia="zh-CN"/>
        </w:rPr>
        <w:t>879.77</w:t>
      </w:r>
      <w:r>
        <w:rPr>
          <w:rFonts w:ascii="仿宋" w:hAnsi="仿宋" w:eastAsia="仿宋"/>
          <w:w w:val="100"/>
          <w:sz w:val="24"/>
        </w:rPr>
        <w:t>万元，日常公用经费</w:t>
      </w:r>
      <w:r>
        <w:rPr>
          <w:rFonts w:hint="eastAsia" w:ascii="仿宋" w:hAnsi="仿宋" w:eastAsia="仿宋"/>
          <w:w w:val="100"/>
          <w:sz w:val="24"/>
          <w:lang w:val="en-US" w:eastAsia="zh-CN"/>
        </w:rPr>
        <w:t>167.86</w:t>
      </w:r>
      <w:r>
        <w:rPr>
          <w:rFonts w:ascii="仿宋" w:hAnsi="仿宋" w:eastAsia="仿宋"/>
          <w:w w:val="100"/>
          <w:sz w:val="24"/>
        </w:rPr>
        <w:t>万元，二、项目支出</w:t>
      </w:r>
      <w:r>
        <w:rPr>
          <w:rFonts w:hint="eastAsia" w:ascii="仿宋" w:hAnsi="仿宋" w:eastAsia="仿宋"/>
          <w:w w:val="100"/>
          <w:sz w:val="24"/>
          <w:lang w:val="en-US" w:eastAsia="zh-CN"/>
        </w:rPr>
        <w:t>141.02</w:t>
      </w:r>
      <w:r>
        <w:rPr>
          <w:rFonts w:ascii="仿宋" w:hAnsi="仿宋" w:eastAsia="仿宋"/>
          <w:w w:val="100"/>
          <w:sz w:val="24"/>
        </w:rPr>
        <w:t>万元</w:t>
      </w:r>
      <w:r>
        <w:rPr>
          <w:rFonts w:hint="eastAsia" w:ascii="仿宋" w:hAnsi="仿宋" w:eastAsia="仿宋"/>
          <w:w w:val="100"/>
          <w:sz w:val="24"/>
          <w:lang w:eastAsia="zh-CN"/>
        </w:rPr>
        <w:t>，</w:t>
      </w:r>
      <w:r>
        <w:rPr>
          <w:rFonts w:ascii="仿宋" w:hAnsi="仿宋" w:eastAsia="仿宋"/>
          <w:w w:val="100"/>
          <w:sz w:val="24"/>
        </w:rPr>
        <w:t>其中基本建设类项目支出</w:t>
      </w:r>
      <w:r>
        <w:rPr>
          <w:rFonts w:hint="eastAsia" w:ascii="仿宋" w:hAnsi="仿宋" w:eastAsia="仿宋"/>
          <w:w w:val="100"/>
          <w:sz w:val="24"/>
          <w:lang w:val="en-US" w:eastAsia="zh-CN"/>
        </w:rPr>
        <w:t>0</w:t>
      </w:r>
      <w:r>
        <w:rPr>
          <w:rFonts w:ascii="仿宋" w:hAnsi="仿宋" w:eastAsia="仿宋"/>
          <w:w w:val="100"/>
          <w:sz w:val="24"/>
        </w:rPr>
        <w:t>.00万元</w:t>
      </w:r>
      <w:r>
        <w:rPr>
          <w:rFonts w:hint="eastAsia" w:ascii="仿宋" w:hAnsi="仿宋" w:eastAsia="仿宋"/>
          <w:w w:val="100"/>
          <w:sz w:val="24"/>
          <w:lang w:eastAsia="zh-CN"/>
        </w:rPr>
        <w:t>。支出减少原因：</w:t>
      </w:r>
      <w:r>
        <w:rPr>
          <w:rFonts w:hint="eastAsia" w:ascii="仿宋" w:hAnsi="仿宋" w:eastAsia="仿宋"/>
          <w:w w:val="100"/>
          <w:sz w:val="24"/>
        </w:rPr>
        <w:t>本年工程类项目支出减少</w:t>
      </w:r>
      <w:r>
        <w:rPr>
          <w:rFonts w:hint="eastAsia" w:ascii="仿宋" w:hAnsi="仿宋" w:eastAsia="仿宋"/>
          <w:w w:val="100"/>
          <w:sz w:val="24"/>
          <w:lang w:eastAsia="zh-CN"/>
        </w:rPr>
        <w:t>。</w:t>
      </w:r>
    </w:p>
    <w:p>
      <w:pPr>
        <w:autoSpaceDE/>
        <w:autoSpaceDN/>
        <w:snapToGrid w:val="0"/>
        <w:spacing w:before="0" w:after="0" w:line="520" w:lineRule="exact"/>
        <w:ind w:left="643" w:firstLine="643"/>
        <w:jc w:val="both"/>
        <w:rPr>
          <w:rFonts w:hint="eastAsia" w:ascii="仿宋_GB2312" w:hAnsi="仿宋" w:eastAsia="仿宋_GB2312"/>
          <w:b/>
          <w:w w:val="100"/>
          <w:sz w:val="32"/>
          <w:lang w:eastAsia="zh-CN"/>
        </w:rPr>
      </w:pPr>
      <w:r>
        <w:rPr>
          <w:rFonts w:hint="eastAsia" w:ascii="仿宋_GB2312" w:hAnsi="仿宋" w:eastAsia="仿宋_GB2312"/>
          <w:b/>
          <w:w w:val="100"/>
          <w:sz w:val="32"/>
          <w:lang w:eastAsia="zh-CN"/>
        </w:rPr>
        <w:t>1．收入支出与预算对比分析。</w:t>
      </w:r>
    </w:p>
    <w:p>
      <w:pPr>
        <w:autoSpaceDE/>
        <w:autoSpaceDN/>
        <w:snapToGrid w:val="0"/>
        <w:spacing w:before="0" w:after="0" w:line="520" w:lineRule="exact"/>
        <w:ind w:left="640" w:firstLine="640"/>
        <w:jc w:val="both"/>
        <w:rPr>
          <w:rFonts w:hint="eastAsia" w:ascii="仿宋_GB2312" w:hAnsi="仿宋" w:eastAsia="仿宋_GB2312"/>
          <w:w w:val="100"/>
          <w:sz w:val="32"/>
          <w:lang w:eastAsia="zh-CN"/>
        </w:rPr>
      </w:pPr>
      <w:r>
        <w:rPr>
          <w:rFonts w:hint="eastAsia" w:ascii="仿宋_GB2312" w:hAnsi="仿宋" w:eastAsia="仿宋_GB2312"/>
          <w:w w:val="100"/>
          <w:sz w:val="32"/>
          <w:lang w:eastAsia="zh-CN"/>
        </w:rPr>
        <w:t>（1）预、决算差异情况，可分收入支出功能科目、分单位、分收入支出具体项目逐项对比（可列表）。</w:t>
      </w:r>
    </w:p>
    <w:tbl>
      <w:tblPr>
        <w:tblStyle w:val="2"/>
        <w:tblW w:w="8306" w:type="dxa"/>
        <w:tblInd w:w="0" w:type="dxa"/>
        <w:tblLayout w:type="fixed"/>
        <w:tblCellMar>
          <w:top w:w="0" w:type="dxa"/>
          <w:left w:w="0" w:type="dxa"/>
          <w:bottom w:w="0" w:type="dxa"/>
          <w:right w:w="0" w:type="dxa"/>
        </w:tblCellMar>
      </w:tblPr>
      <w:tblGrid>
        <w:gridCol w:w="1661"/>
        <w:gridCol w:w="1661"/>
        <w:gridCol w:w="1794"/>
        <w:gridCol w:w="1528"/>
        <w:gridCol w:w="1662"/>
      </w:tblGrid>
      <w:tr>
        <w:tblPrEx>
          <w:tblLayout w:type="fixed"/>
          <w:tblCellMar>
            <w:top w:w="0" w:type="dxa"/>
            <w:left w:w="0" w:type="dxa"/>
            <w:bottom w:w="0" w:type="dxa"/>
            <w:right w:w="0" w:type="dxa"/>
          </w:tblCellMar>
        </w:tblPrEx>
        <w:trPr>
          <w:trHeight w:val="270" w:hRule="atLeast"/>
        </w:trPr>
        <w:tc>
          <w:tcPr>
            <w:tcW w:w="8306" w:type="dxa"/>
            <w:gridSpan w:val="5"/>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ascii="宋体"/>
                <w:color w:val="000000"/>
                <w:w w:val="100"/>
                <w:sz w:val="22"/>
              </w:rPr>
            </w:pPr>
            <w:r>
              <w:rPr>
                <w:rFonts w:ascii="宋体"/>
                <w:color w:val="000000"/>
                <w:w w:val="100"/>
                <w:sz w:val="22"/>
              </w:rPr>
              <w:t>收入</w:t>
            </w:r>
          </w:p>
        </w:tc>
      </w:tr>
      <w:tr>
        <w:tblPrEx>
          <w:tblLayout w:type="fixed"/>
          <w:tblCellMar>
            <w:top w:w="0" w:type="dxa"/>
            <w:left w:w="0" w:type="dxa"/>
            <w:bottom w:w="0" w:type="dxa"/>
            <w:right w:w="0" w:type="dxa"/>
          </w:tblCellMar>
        </w:tblPrEx>
        <w:trPr>
          <w:trHeight w:val="270" w:hRule="atLeast"/>
        </w:trPr>
        <w:tc>
          <w:tcPr>
            <w:tcW w:w="1661"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ascii="宋体"/>
                <w:color w:val="000000"/>
                <w:w w:val="100"/>
                <w:sz w:val="22"/>
              </w:rPr>
            </w:pPr>
            <w:r>
              <w:rPr>
                <w:rFonts w:ascii="宋体"/>
                <w:color w:val="000000"/>
                <w:w w:val="100"/>
                <w:sz w:val="22"/>
              </w:rPr>
              <w:t>项目</w:t>
            </w:r>
          </w:p>
        </w:tc>
        <w:tc>
          <w:tcPr>
            <w:tcW w:w="1661"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ascii="宋体"/>
                <w:color w:val="000000"/>
                <w:w w:val="100"/>
                <w:sz w:val="22"/>
              </w:rPr>
            </w:pPr>
            <w:r>
              <w:rPr>
                <w:rFonts w:ascii="宋体"/>
                <w:color w:val="000000"/>
                <w:w w:val="100"/>
                <w:sz w:val="22"/>
              </w:rPr>
              <w:t>行次</w:t>
            </w:r>
          </w:p>
        </w:tc>
        <w:tc>
          <w:tcPr>
            <w:tcW w:w="1794"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ascii="宋体"/>
                <w:color w:val="000000"/>
                <w:w w:val="100"/>
                <w:sz w:val="22"/>
              </w:rPr>
            </w:pPr>
            <w:r>
              <w:rPr>
                <w:rFonts w:ascii="宋体"/>
                <w:color w:val="000000"/>
                <w:w w:val="100"/>
                <w:sz w:val="22"/>
              </w:rPr>
              <w:t>年初预算数</w:t>
            </w:r>
          </w:p>
        </w:tc>
        <w:tc>
          <w:tcPr>
            <w:tcW w:w="1528"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ascii="宋体"/>
                <w:color w:val="000000"/>
                <w:w w:val="100"/>
                <w:sz w:val="22"/>
              </w:rPr>
            </w:pPr>
            <w:r>
              <w:rPr>
                <w:rFonts w:ascii="宋体"/>
                <w:color w:val="000000"/>
                <w:w w:val="100"/>
                <w:sz w:val="22"/>
              </w:rPr>
              <w:t>调整预算数</w:t>
            </w:r>
          </w:p>
        </w:tc>
        <w:tc>
          <w:tcPr>
            <w:tcW w:w="1662"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ascii="宋体"/>
                <w:color w:val="000000"/>
                <w:w w:val="100"/>
                <w:sz w:val="22"/>
              </w:rPr>
            </w:pPr>
            <w:r>
              <w:rPr>
                <w:rFonts w:ascii="宋体"/>
                <w:color w:val="000000"/>
                <w:w w:val="100"/>
                <w:sz w:val="22"/>
              </w:rPr>
              <w:t>决算数</w:t>
            </w:r>
          </w:p>
        </w:tc>
      </w:tr>
      <w:tr>
        <w:tblPrEx>
          <w:tblLayout w:type="fixed"/>
          <w:tblCellMar>
            <w:top w:w="0" w:type="dxa"/>
            <w:left w:w="0" w:type="dxa"/>
            <w:bottom w:w="0" w:type="dxa"/>
            <w:right w:w="0" w:type="dxa"/>
          </w:tblCellMar>
        </w:tblPrEx>
        <w:trPr>
          <w:trHeight w:val="270" w:hRule="atLeast"/>
        </w:trPr>
        <w:tc>
          <w:tcPr>
            <w:tcW w:w="1661"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ascii="宋体"/>
                <w:color w:val="000000"/>
                <w:w w:val="100"/>
                <w:sz w:val="22"/>
              </w:rPr>
            </w:pPr>
            <w:r>
              <w:rPr>
                <w:rFonts w:ascii="宋体"/>
                <w:color w:val="000000"/>
                <w:w w:val="100"/>
                <w:sz w:val="22"/>
              </w:rPr>
              <w:t>栏次</w:t>
            </w:r>
          </w:p>
        </w:tc>
        <w:tc>
          <w:tcPr>
            <w:tcW w:w="1661"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ascii="Calibri" w:eastAsia="宋体"/>
                <w:w w:val="100"/>
                <w:sz w:val="21"/>
              </w:rPr>
            </w:pPr>
          </w:p>
        </w:tc>
        <w:tc>
          <w:tcPr>
            <w:tcW w:w="1794"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ascii="宋体"/>
                <w:color w:val="000000"/>
                <w:w w:val="100"/>
                <w:sz w:val="22"/>
              </w:rPr>
            </w:pPr>
            <w:r>
              <w:rPr>
                <w:rFonts w:ascii="宋体"/>
                <w:color w:val="000000"/>
                <w:w w:val="100"/>
                <w:sz w:val="22"/>
              </w:rPr>
              <w:t>1</w:t>
            </w:r>
          </w:p>
        </w:tc>
        <w:tc>
          <w:tcPr>
            <w:tcW w:w="1528"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ascii="宋体"/>
                <w:color w:val="000000"/>
                <w:w w:val="100"/>
                <w:sz w:val="22"/>
              </w:rPr>
            </w:pPr>
            <w:r>
              <w:rPr>
                <w:rFonts w:ascii="宋体"/>
                <w:color w:val="000000"/>
                <w:w w:val="100"/>
                <w:sz w:val="22"/>
              </w:rPr>
              <w:t>2</w:t>
            </w:r>
          </w:p>
        </w:tc>
        <w:tc>
          <w:tcPr>
            <w:tcW w:w="1662"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ascii="宋体"/>
                <w:color w:val="000000"/>
                <w:w w:val="100"/>
                <w:sz w:val="22"/>
              </w:rPr>
            </w:pPr>
            <w:r>
              <w:rPr>
                <w:rFonts w:ascii="宋体"/>
                <w:color w:val="000000"/>
                <w:w w:val="100"/>
                <w:sz w:val="22"/>
              </w:rPr>
              <w:t>3</w:t>
            </w:r>
          </w:p>
        </w:tc>
      </w:tr>
      <w:tr>
        <w:tblPrEx>
          <w:tblLayout w:type="fixed"/>
          <w:tblCellMar>
            <w:top w:w="0" w:type="dxa"/>
            <w:left w:w="0" w:type="dxa"/>
            <w:bottom w:w="0" w:type="dxa"/>
            <w:right w:w="0" w:type="dxa"/>
          </w:tblCellMar>
        </w:tblPrEx>
        <w:trPr>
          <w:trHeight w:val="270" w:hRule="atLeast"/>
        </w:trPr>
        <w:tc>
          <w:tcPr>
            <w:tcW w:w="1661"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ascii="宋体"/>
                <w:color w:val="000000"/>
                <w:w w:val="100"/>
                <w:sz w:val="22"/>
              </w:rPr>
            </w:pPr>
            <w:r>
              <w:rPr>
                <w:rFonts w:ascii="宋体"/>
                <w:color w:val="000000"/>
                <w:w w:val="100"/>
                <w:sz w:val="22"/>
              </w:rPr>
              <w:t>一、一般公共预算财政拨款收入</w:t>
            </w:r>
          </w:p>
        </w:tc>
        <w:tc>
          <w:tcPr>
            <w:tcW w:w="1661"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ascii="宋体"/>
                <w:color w:val="000000"/>
                <w:w w:val="100"/>
                <w:sz w:val="22"/>
              </w:rPr>
            </w:pPr>
            <w:r>
              <w:rPr>
                <w:rFonts w:ascii="宋体"/>
                <w:color w:val="000000"/>
                <w:w w:val="100"/>
                <w:sz w:val="22"/>
              </w:rPr>
              <w:t>1</w:t>
            </w:r>
          </w:p>
        </w:tc>
        <w:tc>
          <w:tcPr>
            <w:tcW w:w="1794"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hint="default" w:ascii="宋体" w:eastAsia="宋体"/>
                <w:color w:val="000000"/>
                <w:w w:val="100"/>
                <w:sz w:val="22"/>
                <w:lang w:val="en-US" w:eastAsia="zh-CN"/>
              </w:rPr>
            </w:pPr>
            <w:r>
              <w:rPr>
                <w:rFonts w:hint="eastAsia" w:ascii="宋体"/>
                <w:color w:val="000000"/>
                <w:w w:val="100"/>
                <w:sz w:val="22"/>
                <w:lang w:val="en-US" w:eastAsia="zh-CN"/>
              </w:rPr>
              <w:t>7075000</w:t>
            </w:r>
          </w:p>
        </w:tc>
        <w:tc>
          <w:tcPr>
            <w:tcW w:w="1528"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hint="default" w:ascii="宋体" w:eastAsia="宋体"/>
                <w:color w:val="000000"/>
                <w:w w:val="100"/>
                <w:sz w:val="22"/>
                <w:lang w:val="en-US" w:eastAsia="zh-CN"/>
              </w:rPr>
            </w:pPr>
            <w:r>
              <w:rPr>
                <w:rFonts w:hint="eastAsia" w:ascii="宋体"/>
                <w:color w:val="000000"/>
                <w:w w:val="100"/>
                <w:sz w:val="22"/>
                <w:lang w:val="en-US" w:eastAsia="zh-CN"/>
              </w:rPr>
              <w:t>16149300.62</w:t>
            </w:r>
          </w:p>
        </w:tc>
        <w:tc>
          <w:tcPr>
            <w:tcW w:w="1662"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hint="default" w:ascii="宋体" w:eastAsia="宋体"/>
                <w:color w:val="000000"/>
                <w:w w:val="100"/>
                <w:sz w:val="22"/>
                <w:lang w:val="en-US" w:eastAsia="zh-CN"/>
              </w:rPr>
            </w:pPr>
            <w:r>
              <w:rPr>
                <w:rFonts w:hint="eastAsia" w:ascii="宋体"/>
                <w:color w:val="000000"/>
                <w:w w:val="100"/>
                <w:sz w:val="22"/>
                <w:lang w:val="en-US" w:eastAsia="zh-CN"/>
              </w:rPr>
              <w:t>16149300.62</w:t>
            </w:r>
          </w:p>
        </w:tc>
      </w:tr>
      <w:tr>
        <w:tblPrEx>
          <w:tblLayout w:type="fixed"/>
          <w:tblCellMar>
            <w:top w:w="0" w:type="dxa"/>
            <w:left w:w="0" w:type="dxa"/>
            <w:bottom w:w="0" w:type="dxa"/>
            <w:right w:w="0" w:type="dxa"/>
          </w:tblCellMar>
        </w:tblPrEx>
        <w:trPr>
          <w:trHeight w:val="270" w:hRule="atLeast"/>
        </w:trPr>
        <w:tc>
          <w:tcPr>
            <w:tcW w:w="1661"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ascii="宋体"/>
                <w:color w:val="000000"/>
                <w:w w:val="100"/>
                <w:sz w:val="22"/>
              </w:rPr>
            </w:pPr>
            <w:r>
              <w:rPr>
                <w:rFonts w:ascii="宋体"/>
                <w:color w:val="000000"/>
                <w:w w:val="100"/>
                <w:sz w:val="22"/>
              </w:rPr>
              <w:t>二、政府性基金预算财政拨款收入</w:t>
            </w:r>
          </w:p>
        </w:tc>
        <w:tc>
          <w:tcPr>
            <w:tcW w:w="1661"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ascii="宋体"/>
                <w:color w:val="000000"/>
                <w:w w:val="100"/>
                <w:sz w:val="22"/>
              </w:rPr>
            </w:pPr>
            <w:r>
              <w:rPr>
                <w:rFonts w:ascii="宋体"/>
                <w:color w:val="000000"/>
                <w:w w:val="100"/>
                <w:sz w:val="22"/>
              </w:rPr>
              <w:t>2</w:t>
            </w:r>
          </w:p>
        </w:tc>
        <w:tc>
          <w:tcPr>
            <w:tcW w:w="1794"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ascii="宋体"/>
                <w:color w:val="000000"/>
                <w:w w:val="100"/>
                <w:sz w:val="22"/>
              </w:rPr>
            </w:pPr>
            <w:r>
              <w:rPr>
                <w:rFonts w:ascii="宋体"/>
                <w:color w:val="000000"/>
                <w:w w:val="100"/>
                <w:sz w:val="22"/>
              </w:rPr>
              <w:t>0</w:t>
            </w:r>
          </w:p>
        </w:tc>
        <w:tc>
          <w:tcPr>
            <w:tcW w:w="1528"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hint="default" w:ascii="宋体" w:eastAsia="宋体"/>
                <w:color w:val="000000"/>
                <w:w w:val="100"/>
                <w:sz w:val="22"/>
                <w:lang w:val="en-US" w:eastAsia="zh-CN"/>
              </w:rPr>
            </w:pPr>
            <w:r>
              <w:rPr>
                <w:rFonts w:hint="eastAsia" w:ascii="宋体"/>
                <w:color w:val="000000"/>
                <w:w w:val="100"/>
                <w:sz w:val="22"/>
                <w:lang w:val="en-US" w:eastAsia="zh-CN"/>
              </w:rPr>
              <w:t>470000</w:t>
            </w:r>
          </w:p>
        </w:tc>
        <w:tc>
          <w:tcPr>
            <w:tcW w:w="1662"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hint="default" w:ascii="宋体" w:eastAsia="宋体"/>
                <w:color w:val="000000"/>
                <w:w w:val="100"/>
                <w:sz w:val="22"/>
                <w:lang w:val="en-US" w:eastAsia="zh-CN"/>
              </w:rPr>
            </w:pPr>
            <w:r>
              <w:rPr>
                <w:rFonts w:hint="eastAsia" w:ascii="宋体"/>
                <w:color w:val="000000"/>
                <w:w w:val="100"/>
                <w:sz w:val="22"/>
                <w:lang w:val="en-US" w:eastAsia="zh-CN"/>
              </w:rPr>
              <w:t>470000</w:t>
            </w:r>
          </w:p>
        </w:tc>
      </w:tr>
      <w:tr>
        <w:tblPrEx>
          <w:tblLayout w:type="fixed"/>
          <w:tblCellMar>
            <w:top w:w="0" w:type="dxa"/>
            <w:left w:w="0" w:type="dxa"/>
            <w:bottom w:w="0" w:type="dxa"/>
            <w:right w:w="0" w:type="dxa"/>
          </w:tblCellMar>
        </w:tblPrEx>
        <w:trPr>
          <w:trHeight w:val="270" w:hRule="atLeast"/>
        </w:trPr>
        <w:tc>
          <w:tcPr>
            <w:tcW w:w="1661"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ascii="宋体"/>
                <w:color w:val="000000"/>
                <w:w w:val="100"/>
                <w:sz w:val="22"/>
              </w:rPr>
            </w:pPr>
            <w:r>
              <w:rPr>
                <w:rFonts w:ascii="宋体"/>
                <w:color w:val="000000"/>
                <w:w w:val="100"/>
                <w:sz w:val="22"/>
              </w:rPr>
              <w:t>本年收入合计</w:t>
            </w:r>
          </w:p>
        </w:tc>
        <w:tc>
          <w:tcPr>
            <w:tcW w:w="1661"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ascii="宋体"/>
                <w:color w:val="000000"/>
                <w:w w:val="100"/>
                <w:sz w:val="22"/>
              </w:rPr>
            </w:pPr>
            <w:r>
              <w:rPr>
                <w:rFonts w:ascii="宋体"/>
                <w:color w:val="000000"/>
                <w:w w:val="100"/>
                <w:sz w:val="22"/>
              </w:rPr>
              <w:t>26</w:t>
            </w:r>
          </w:p>
        </w:tc>
        <w:tc>
          <w:tcPr>
            <w:tcW w:w="1794"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hint="default" w:ascii="宋体" w:eastAsia="宋体"/>
                <w:color w:val="000000"/>
                <w:w w:val="100"/>
                <w:sz w:val="22"/>
                <w:lang w:val="en-US" w:eastAsia="zh-CN"/>
              </w:rPr>
            </w:pPr>
            <w:r>
              <w:rPr>
                <w:rFonts w:hint="eastAsia" w:ascii="宋体"/>
                <w:color w:val="000000"/>
                <w:w w:val="100"/>
                <w:sz w:val="22"/>
                <w:lang w:val="en-US" w:eastAsia="zh-CN"/>
              </w:rPr>
              <w:t>7075000</w:t>
            </w:r>
          </w:p>
        </w:tc>
        <w:tc>
          <w:tcPr>
            <w:tcW w:w="1528"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hint="default" w:ascii="宋体" w:eastAsia="宋体"/>
                <w:color w:val="000000"/>
                <w:w w:val="100"/>
                <w:sz w:val="22"/>
                <w:lang w:val="en-US" w:eastAsia="zh-CN"/>
              </w:rPr>
            </w:pPr>
            <w:r>
              <w:rPr>
                <w:rFonts w:hint="eastAsia" w:ascii="宋体"/>
                <w:color w:val="000000"/>
                <w:w w:val="100"/>
                <w:sz w:val="22"/>
                <w:lang w:val="en-US" w:eastAsia="zh-CN"/>
              </w:rPr>
              <w:t>16619300.62</w:t>
            </w:r>
          </w:p>
        </w:tc>
        <w:tc>
          <w:tcPr>
            <w:tcW w:w="1662"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hint="default" w:ascii="宋体" w:eastAsia="宋体"/>
                <w:color w:val="000000"/>
                <w:w w:val="100"/>
                <w:sz w:val="22"/>
                <w:lang w:val="en-US" w:eastAsia="zh-CN"/>
              </w:rPr>
            </w:pPr>
            <w:r>
              <w:rPr>
                <w:rFonts w:hint="eastAsia" w:ascii="宋体"/>
                <w:color w:val="000000"/>
                <w:w w:val="100"/>
                <w:sz w:val="22"/>
                <w:lang w:val="en-US" w:eastAsia="zh-CN"/>
              </w:rPr>
              <w:t>16619300.62</w:t>
            </w:r>
          </w:p>
        </w:tc>
      </w:tr>
      <w:tr>
        <w:tblPrEx>
          <w:tblLayout w:type="fixed"/>
          <w:tblCellMar>
            <w:top w:w="0" w:type="dxa"/>
            <w:left w:w="0" w:type="dxa"/>
            <w:bottom w:w="0" w:type="dxa"/>
            <w:right w:w="0" w:type="dxa"/>
          </w:tblCellMar>
        </w:tblPrEx>
        <w:trPr>
          <w:trHeight w:val="270" w:hRule="atLeast"/>
        </w:trPr>
        <w:tc>
          <w:tcPr>
            <w:tcW w:w="1661"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ascii="宋体"/>
                <w:color w:val="000000"/>
                <w:w w:val="100"/>
                <w:sz w:val="22"/>
              </w:rPr>
            </w:pPr>
          </w:p>
        </w:tc>
        <w:tc>
          <w:tcPr>
            <w:tcW w:w="1661"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ascii="宋体"/>
                <w:color w:val="000000"/>
                <w:w w:val="100"/>
                <w:sz w:val="22"/>
              </w:rPr>
            </w:pPr>
          </w:p>
        </w:tc>
        <w:tc>
          <w:tcPr>
            <w:tcW w:w="1794"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ascii="宋体"/>
                <w:color w:val="000000"/>
                <w:w w:val="100"/>
                <w:sz w:val="22"/>
              </w:rPr>
            </w:pPr>
          </w:p>
        </w:tc>
        <w:tc>
          <w:tcPr>
            <w:tcW w:w="1528"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ascii="宋体"/>
                <w:color w:val="000000"/>
                <w:w w:val="100"/>
                <w:sz w:val="22"/>
              </w:rPr>
            </w:pPr>
          </w:p>
        </w:tc>
        <w:tc>
          <w:tcPr>
            <w:tcW w:w="1662"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ascii="宋体"/>
                <w:color w:val="000000"/>
                <w:w w:val="100"/>
                <w:sz w:val="22"/>
              </w:rPr>
            </w:pPr>
          </w:p>
        </w:tc>
      </w:tr>
    </w:tbl>
    <w:p>
      <w:pPr>
        <w:autoSpaceDE/>
        <w:autoSpaceDN/>
        <w:snapToGrid w:val="0"/>
        <w:spacing w:before="0" w:after="0" w:line="520" w:lineRule="exact"/>
        <w:ind w:left="0" w:firstLine="0"/>
        <w:jc w:val="both"/>
        <w:rPr>
          <w:rFonts w:hint="eastAsia" w:ascii="仿宋_GB2312" w:hAnsi="仿宋" w:eastAsia="仿宋_GB2312"/>
          <w:w w:val="100"/>
          <w:sz w:val="32"/>
          <w:lang w:eastAsia="zh-CN"/>
        </w:rPr>
      </w:pPr>
    </w:p>
    <w:tbl>
      <w:tblPr>
        <w:tblStyle w:val="2"/>
        <w:tblpPr w:leftFromText="180" w:rightFromText="180" w:vertAnchor="text" w:horzAnchor="page" w:tblpX="1788" w:tblpY="510"/>
        <w:tblOverlap w:val="never"/>
        <w:tblW w:w="8306" w:type="dxa"/>
        <w:tblInd w:w="0" w:type="dxa"/>
        <w:tblLayout w:type="fixed"/>
        <w:tblCellMar>
          <w:top w:w="0" w:type="dxa"/>
          <w:left w:w="0" w:type="dxa"/>
          <w:bottom w:w="0" w:type="dxa"/>
          <w:right w:w="0" w:type="dxa"/>
        </w:tblCellMar>
      </w:tblPr>
      <w:tblGrid>
        <w:gridCol w:w="1661"/>
        <w:gridCol w:w="1661"/>
        <w:gridCol w:w="1661"/>
        <w:gridCol w:w="1661"/>
        <w:gridCol w:w="1662"/>
      </w:tblGrid>
      <w:tr>
        <w:tblPrEx>
          <w:tblLayout w:type="fixed"/>
          <w:tblCellMar>
            <w:top w:w="0" w:type="dxa"/>
            <w:left w:w="0" w:type="dxa"/>
            <w:bottom w:w="0" w:type="dxa"/>
            <w:right w:w="0" w:type="dxa"/>
          </w:tblCellMar>
        </w:tblPrEx>
        <w:trPr>
          <w:trHeight w:val="270" w:hRule="atLeast"/>
        </w:trPr>
        <w:tc>
          <w:tcPr>
            <w:tcW w:w="8306" w:type="dxa"/>
            <w:gridSpan w:val="5"/>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ascii="宋体"/>
                <w:color w:val="000000"/>
                <w:w w:val="100"/>
                <w:sz w:val="22"/>
              </w:rPr>
            </w:pPr>
            <w:r>
              <w:rPr>
                <w:rFonts w:ascii="宋体"/>
                <w:color w:val="000000"/>
                <w:w w:val="100"/>
                <w:sz w:val="22"/>
              </w:rPr>
              <w:t>支出</w:t>
            </w:r>
          </w:p>
        </w:tc>
      </w:tr>
      <w:tr>
        <w:tblPrEx>
          <w:tblLayout w:type="fixed"/>
          <w:tblCellMar>
            <w:top w:w="0" w:type="dxa"/>
            <w:left w:w="0" w:type="dxa"/>
            <w:bottom w:w="0" w:type="dxa"/>
            <w:right w:w="0" w:type="dxa"/>
          </w:tblCellMar>
        </w:tblPrEx>
        <w:trPr>
          <w:trHeight w:val="270" w:hRule="atLeast"/>
        </w:trPr>
        <w:tc>
          <w:tcPr>
            <w:tcW w:w="1661"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ascii="宋体"/>
                <w:color w:val="000000"/>
                <w:w w:val="100"/>
                <w:sz w:val="22"/>
              </w:rPr>
            </w:pPr>
            <w:r>
              <w:rPr>
                <w:rFonts w:ascii="宋体"/>
                <w:color w:val="000000"/>
                <w:w w:val="100"/>
                <w:sz w:val="22"/>
              </w:rPr>
              <w:t>项目(按功能分类)</w:t>
            </w:r>
          </w:p>
        </w:tc>
        <w:tc>
          <w:tcPr>
            <w:tcW w:w="1661"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ascii="宋体"/>
                <w:color w:val="000000"/>
                <w:w w:val="100"/>
                <w:sz w:val="22"/>
              </w:rPr>
            </w:pPr>
            <w:r>
              <w:rPr>
                <w:rFonts w:ascii="宋体"/>
                <w:color w:val="000000"/>
                <w:w w:val="100"/>
                <w:sz w:val="22"/>
              </w:rPr>
              <w:t>行次</w:t>
            </w:r>
          </w:p>
        </w:tc>
        <w:tc>
          <w:tcPr>
            <w:tcW w:w="1661"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ascii="宋体"/>
                <w:color w:val="000000"/>
                <w:w w:val="100"/>
                <w:sz w:val="22"/>
              </w:rPr>
            </w:pPr>
            <w:r>
              <w:rPr>
                <w:rFonts w:ascii="宋体"/>
                <w:color w:val="000000"/>
                <w:w w:val="100"/>
                <w:sz w:val="22"/>
              </w:rPr>
              <w:t>年初预算数</w:t>
            </w:r>
          </w:p>
        </w:tc>
        <w:tc>
          <w:tcPr>
            <w:tcW w:w="1661"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ascii="宋体"/>
                <w:color w:val="000000"/>
                <w:w w:val="100"/>
                <w:sz w:val="22"/>
              </w:rPr>
            </w:pPr>
            <w:r>
              <w:rPr>
                <w:rFonts w:ascii="宋体"/>
                <w:color w:val="000000"/>
                <w:w w:val="100"/>
                <w:sz w:val="22"/>
              </w:rPr>
              <w:t>调整预算数</w:t>
            </w:r>
          </w:p>
        </w:tc>
        <w:tc>
          <w:tcPr>
            <w:tcW w:w="1662"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ascii="宋体"/>
                <w:color w:val="000000"/>
                <w:w w:val="100"/>
                <w:sz w:val="22"/>
              </w:rPr>
            </w:pPr>
            <w:r>
              <w:rPr>
                <w:rFonts w:ascii="宋体"/>
                <w:color w:val="000000"/>
                <w:w w:val="100"/>
                <w:sz w:val="22"/>
              </w:rPr>
              <w:t>决算数</w:t>
            </w:r>
          </w:p>
        </w:tc>
      </w:tr>
      <w:tr>
        <w:tblPrEx>
          <w:tblLayout w:type="fixed"/>
          <w:tblCellMar>
            <w:top w:w="0" w:type="dxa"/>
            <w:left w:w="0" w:type="dxa"/>
            <w:bottom w:w="0" w:type="dxa"/>
            <w:right w:w="0" w:type="dxa"/>
          </w:tblCellMar>
        </w:tblPrEx>
        <w:trPr>
          <w:trHeight w:val="270" w:hRule="atLeast"/>
        </w:trPr>
        <w:tc>
          <w:tcPr>
            <w:tcW w:w="1661"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ascii="宋体"/>
                <w:color w:val="000000"/>
                <w:w w:val="100"/>
                <w:sz w:val="22"/>
              </w:rPr>
            </w:pPr>
            <w:r>
              <w:rPr>
                <w:rFonts w:ascii="宋体"/>
                <w:color w:val="000000"/>
                <w:w w:val="100"/>
                <w:sz w:val="22"/>
              </w:rPr>
              <w:t>栏次</w:t>
            </w:r>
          </w:p>
        </w:tc>
        <w:tc>
          <w:tcPr>
            <w:tcW w:w="1661"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ascii="Calibri" w:eastAsia="宋体"/>
                <w:w w:val="100"/>
                <w:sz w:val="21"/>
              </w:rPr>
            </w:pPr>
          </w:p>
        </w:tc>
        <w:tc>
          <w:tcPr>
            <w:tcW w:w="1661"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ascii="宋体"/>
                <w:color w:val="000000"/>
                <w:w w:val="100"/>
                <w:sz w:val="22"/>
              </w:rPr>
            </w:pPr>
            <w:r>
              <w:rPr>
                <w:rFonts w:ascii="宋体"/>
                <w:color w:val="000000"/>
                <w:w w:val="100"/>
                <w:sz w:val="22"/>
              </w:rPr>
              <w:t>4</w:t>
            </w:r>
          </w:p>
        </w:tc>
        <w:tc>
          <w:tcPr>
            <w:tcW w:w="1661"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ascii="宋体"/>
                <w:color w:val="000000"/>
                <w:w w:val="100"/>
                <w:sz w:val="22"/>
              </w:rPr>
            </w:pPr>
            <w:r>
              <w:rPr>
                <w:rFonts w:ascii="宋体"/>
                <w:color w:val="000000"/>
                <w:w w:val="100"/>
                <w:sz w:val="22"/>
              </w:rPr>
              <w:t>5</w:t>
            </w:r>
          </w:p>
        </w:tc>
        <w:tc>
          <w:tcPr>
            <w:tcW w:w="1662"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ascii="宋体"/>
                <w:color w:val="000000"/>
                <w:w w:val="100"/>
                <w:sz w:val="22"/>
              </w:rPr>
            </w:pPr>
            <w:r>
              <w:rPr>
                <w:rFonts w:ascii="宋体"/>
                <w:color w:val="000000"/>
                <w:w w:val="100"/>
                <w:sz w:val="22"/>
              </w:rPr>
              <w:t>6</w:t>
            </w:r>
          </w:p>
        </w:tc>
      </w:tr>
      <w:tr>
        <w:tblPrEx>
          <w:tblLayout w:type="fixed"/>
          <w:tblCellMar>
            <w:top w:w="0" w:type="dxa"/>
            <w:left w:w="0" w:type="dxa"/>
            <w:bottom w:w="0" w:type="dxa"/>
            <w:right w:w="0" w:type="dxa"/>
          </w:tblCellMar>
        </w:tblPrEx>
        <w:trPr>
          <w:trHeight w:val="270" w:hRule="atLeast"/>
        </w:trPr>
        <w:tc>
          <w:tcPr>
            <w:tcW w:w="1661"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ascii="宋体"/>
                <w:color w:val="000000"/>
                <w:w w:val="100"/>
                <w:sz w:val="22"/>
              </w:rPr>
            </w:pPr>
            <w:r>
              <w:rPr>
                <w:rFonts w:ascii="宋体"/>
                <w:color w:val="000000"/>
                <w:w w:val="100"/>
                <w:sz w:val="22"/>
              </w:rPr>
              <w:t>一、一般公共服务支出</w:t>
            </w:r>
          </w:p>
        </w:tc>
        <w:tc>
          <w:tcPr>
            <w:tcW w:w="1661"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ascii="宋体"/>
                <w:color w:val="000000"/>
                <w:w w:val="100"/>
                <w:sz w:val="22"/>
              </w:rPr>
            </w:pPr>
            <w:r>
              <w:rPr>
                <w:rFonts w:ascii="宋体"/>
                <w:color w:val="000000"/>
                <w:w w:val="100"/>
                <w:sz w:val="22"/>
              </w:rPr>
              <w:t>31</w:t>
            </w:r>
          </w:p>
        </w:tc>
        <w:tc>
          <w:tcPr>
            <w:tcW w:w="1661"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hint="default" w:ascii="宋体" w:eastAsia="宋体"/>
                <w:color w:val="000000"/>
                <w:w w:val="100"/>
                <w:sz w:val="22"/>
                <w:lang w:val="en-US" w:eastAsia="zh-CN"/>
              </w:rPr>
            </w:pPr>
            <w:r>
              <w:rPr>
                <w:rFonts w:hint="eastAsia" w:ascii="宋体"/>
                <w:color w:val="000000"/>
                <w:w w:val="100"/>
                <w:sz w:val="22"/>
                <w:lang w:val="en-US" w:eastAsia="zh-CN"/>
              </w:rPr>
              <w:t>3105900</w:t>
            </w:r>
          </w:p>
        </w:tc>
        <w:tc>
          <w:tcPr>
            <w:tcW w:w="1661"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hint="default" w:ascii="宋体" w:eastAsia="宋体"/>
                <w:color w:val="000000"/>
                <w:w w:val="100"/>
                <w:sz w:val="22"/>
                <w:lang w:val="en-US" w:eastAsia="zh-CN"/>
              </w:rPr>
            </w:pPr>
            <w:r>
              <w:rPr>
                <w:rFonts w:hint="eastAsia" w:ascii="宋体"/>
                <w:color w:val="000000"/>
                <w:w w:val="100"/>
                <w:sz w:val="22"/>
                <w:lang w:val="en-US" w:eastAsia="zh-CN"/>
              </w:rPr>
              <w:t>4565263.31</w:t>
            </w:r>
          </w:p>
        </w:tc>
        <w:tc>
          <w:tcPr>
            <w:tcW w:w="1662"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hint="default" w:ascii="宋体" w:eastAsia="宋体"/>
                <w:color w:val="000000"/>
                <w:w w:val="100"/>
                <w:sz w:val="22"/>
                <w:lang w:val="en-US" w:eastAsia="zh-CN"/>
              </w:rPr>
            </w:pPr>
            <w:r>
              <w:rPr>
                <w:rFonts w:hint="eastAsia" w:ascii="宋体"/>
                <w:color w:val="000000"/>
                <w:w w:val="100"/>
                <w:sz w:val="22"/>
                <w:lang w:val="en-US" w:eastAsia="zh-CN"/>
              </w:rPr>
              <w:t>4565263.31</w:t>
            </w:r>
          </w:p>
        </w:tc>
      </w:tr>
      <w:tr>
        <w:tblPrEx>
          <w:tblLayout w:type="fixed"/>
          <w:tblCellMar>
            <w:top w:w="0" w:type="dxa"/>
            <w:left w:w="0" w:type="dxa"/>
            <w:bottom w:w="0" w:type="dxa"/>
            <w:right w:w="0" w:type="dxa"/>
          </w:tblCellMar>
        </w:tblPrEx>
        <w:trPr>
          <w:trHeight w:val="270" w:hRule="atLeast"/>
        </w:trPr>
        <w:tc>
          <w:tcPr>
            <w:tcW w:w="1661"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ascii="宋体"/>
                <w:color w:val="000000"/>
                <w:w w:val="100"/>
                <w:sz w:val="22"/>
              </w:rPr>
            </w:pPr>
            <w:r>
              <w:rPr>
                <w:rFonts w:ascii="宋体"/>
                <w:color w:val="000000"/>
                <w:w w:val="100"/>
                <w:sz w:val="22"/>
              </w:rPr>
              <w:t>七、文化旅游体育与传媒支出</w:t>
            </w:r>
          </w:p>
        </w:tc>
        <w:tc>
          <w:tcPr>
            <w:tcW w:w="1661"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ascii="宋体"/>
                <w:color w:val="000000"/>
                <w:w w:val="100"/>
                <w:sz w:val="22"/>
              </w:rPr>
            </w:pPr>
            <w:r>
              <w:rPr>
                <w:rFonts w:ascii="宋体"/>
                <w:color w:val="000000"/>
                <w:w w:val="100"/>
                <w:sz w:val="22"/>
              </w:rPr>
              <w:t>37</w:t>
            </w:r>
          </w:p>
          <w:p>
            <w:pPr>
              <w:ind w:firstLine="0"/>
              <w:jc w:val="center"/>
              <w:rPr>
                <w:rFonts w:ascii="宋体"/>
                <w:w w:val="100"/>
                <w:sz w:val="20"/>
              </w:rPr>
            </w:pPr>
          </w:p>
        </w:tc>
        <w:tc>
          <w:tcPr>
            <w:tcW w:w="1661"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hint="default" w:ascii="宋体" w:eastAsia="宋体"/>
                <w:w w:val="100"/>
                <w:sz w:val="20"/>
                <w:lang w:val="en-US" w:eastAsia="zh-CN"/>
              </w:rPr>
            </w:pPr>
            <w:r>
              <w:rPr>
                <w:rFonts w:hint="eastAsia" w:ascii="宋体"/>
                <w:color w:val="000000"/>
                <w:w w:val="100"/>
                <w:sz w:val="22"/>
                <w:lang w:val="en-US" w:eastAsia="zh-CN"/>
              </w:rPr>
              <w:t>150100</w:t>
            </w:r>
          </w:p>
        </w:tc>
        <w:tc>
          <w:tcPr>
            <w:tcW w:w="1661"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hint="default" w:ascii="宋体" w:eastAsia="宋体"/>
                <w:w w:val="100"/>
                <w:sz w:val="20"/>
                <w:lang w:val="en-US" w:eastAsia="zh-CN"/>
              </w:rPr>
            </w:pPr>
            <w:r>
              <w:rPr>
                <w:rFonts w:hint="eastAsia" w:ascii="宋体"/>
                <w:color w:val="000000"/>
                <w:w w:val="100"/>
                <w:sz w:val="22"/>
                <w:lang w:val="en-US" w:eastAsia="zh-CN"/>
              </w:rPr>
              <w:t>183396.79</w:t>
            </w:r>
          </w:p>
        </w:tc>
        <w:tc>
          <w:tcPr>
            <w:tcW w:w="1662"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hint="default" w:ascii="宋体" w:eastAsia="宋体"/>
                <w:w w:val="100"/>
                <w:sz w:val="20"/>
                <w:lang w:val="en-US" w:eastAsia="zh-CN"/>
              </w:rPr>
            </w:pPr>
            <w:r>
              <w:rPr>
                <w:rFonts w:hint="eastAsia" w:ascii="宋体"/>
                <w:color w:val="000000"/>
                <w:w w:val="100"/>
                <w:sz w:val="22"/>
                <w:lang w:val="en-US" w:eastAsia="zh-CN"/>
              </w:rPr>
              <w:t>183396.79</w:t>
            </w:r>
          </w:p>
        </w:tc>
      </w:tr>
      <w:tr>
        <w:tblPrEx>
          <w:tblLayout w:type="fixed"/>
          <w:tblCellMar>
            <w:top w:w="0" w:type="dxa"/>
            <w:left w:w="0" w:type="dxa"/>
            <w:bottom w:w="0" w:type="dxa"/>
            <w:right w:w="0" w:type="dxa"/>
          </w:tblCellMar>
        </w:tblPrEx>
        <w:trPr>
          <w:trHeight w:val="270" w:hRule="atLeast"/>
        </w:trPr>
        <w:tc>
          <w:tcPr>
            <w:tcW w:w="1661"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ascii="宋体"/>
                <w:color w:val="000000"/>
                <w:w w:val="100"/>
                <w:sz w:val="22"/>
              </w:rPr>
            </w:pPr>
            <w:r>
              <w:rPr>
                <w:rFonts w:ascii="宋体"/>
                <w:color w:val="000000"/>
                <w:w w:val="100"/>
                <w:sz w:val="22"/>
              </w:rPr>
              <w:t>八、社会保障和就业支出</w:t>
            </w:r>
          </w:p>
        </w:tc>
        <w:tc>
          <w:tcPr>
            <w:tcW w:w="1661"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ascii="宋体"/>
                <w:color w:val="000000"/>
                <w:w w:val="100"/>
                <w:sz w:val="22"/>
              </w:rPr>
            </w:pPr>
            <w:r>
              <w:rPr>
                <w:rFonts w:ascii="宋体"/>
                <w:color w:val="000000"/>
                <w:w w:val="100"/>
                <w:sz w:val="22"/>
              </w:rPr>
              <w:t>38</w:t>
            </w:r>
          </w:p>
        </w:tc>
        <w:tc>
          <w:tcPr>
            <w:tcW w:w="1661"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hint="default" w:ascii="宋体" w:eastAsia="宋体"/>
                <w:color w:val="000000"/>
                <w:w w:val="100"/>
                <w:sz w:val="22"/>
                <w:lang w:val="en-US" w:eastAsia="zh-CN"/>
              </w:rPr>
            </w:pPr>
            <w:r>
              <w:rPr>
                <w:rFonts w:hint="eastAsia" w:ascii="宋体"/>
                <w:color w:val="000000"/>
                <w:w w:val="100"/>
                <w:sz w:val="22"/>
                <w:lang w:val="en-US" w:eastAsia="zh-CN"/>
              </w:rPr>
              <w:t>881200</w:t>
            </w:r>
          </w:p>
        </w:tc>
        <w:tc>
          <w:tcPr>
            <w:tcW w:w="1661"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hint="default" w:ascii="宋体"/>
                <w:color w:val="000000"/>
                <w:w w:val="100"/>
                <w:sz w:val="22"/>
                <w:lang w:val="en-US"/>
              </w:rPr>
            </w:pPr>
            <w:r>
              <w:rPr>
                <w:rFonts w:hint="eastAsia" w:ascii="宋体"/>
                <w:color w:val="000000"/>
                <w:w w:val="100"/>
                <w:sz w:val="22"/>
                <w:lang w:val="en-US" w:eastAsia="zh-CN"/>
              </w:rPr>
              <w:t>1122947.33</w:t>
            </w:r>
          </w:p>
        </w:tc>
        <w:tc>
          <w:tcPr>
            <w:tcW w:w="1662"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hint="default" w:ascii="宋体" w:eastAsia="宋体"/>
                <w:color w:val="000000"/>
                <w:w w:val="100"/>
                <w:sz w:val="22"/>
                <w:lang w:val="en-US" w:eastAsia="zh-CN"/>
              </w:rPr>
            </w:pPr>
            <w:r>
              <w:rPr>
                <w:rFonts w:hint="eastAsia" w:ascii="宋体"/>
                <w:color w:val="000000"/>
                <w:w w:val="100"/>
                <w:sz w:val="22"/>
                <w:lang w:val="en-US" w:eastAsia="zh-CN"/>
              </w:rPr>
              <w:t>1122947.33</w:t>
            </w:r>
          </w:p>
        </w:tc>
      </w:tr>
      <w:tr>
        <w:tblPrEx>
          <w:tblLayout w:type="fixed"/>
          <w:tblCellMar>
            <w:top w:w="0" w:type="dxa"/>
            <w:left w:w="0" w:type="dxa"/>
            <w:bottom w:w="0" w:type="dxa"/>
            <w:right w:w="0" w:type="dxa"/>
          </w:tblCellMar>
        </w:tblPrEx>
        <w:trPr>
          <w:trHeight w:val="270" w:hRule="atLeast"/>
        </w:trPr>
        <w:tc>
          <w:tcPr>
            <w:tcW w:w="1661"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ascii="宋体"/>
                <w:color w:val="000000"/>
                <w:w w:val="100"/>
                <w:sz w:val="22"/>
              </w:rPr>
            </w:pPr>
            <w:r>
              <w:rPr>
                <w:rFonts w:ascii="宋体"/>
                <w:color w:val="000000"/>
                <w:w w:val="100"/>
                <w:sz w:val="22"/>
              </w:rPr>
              <w:t>九、卫生健康支出</w:t>
            </w:r>
          </w:p>
        </w:tc>
        <w:tc>
          <w:tcPr>
            <w:tcW w:w="1661"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ascii="宋体"/>
                <w:color w:val="000000"/>
                <w:w w:val="100"/>
                <w:sz w:val="22"/>
              </w:rPr>
            </w:pPr>
            <w:r>
              <w:rPr>
                <w:rFonts w:ascii="宋体"/>
                <w:color w:val="000000"/>
                <w:w w:val="100"/>
                <w:sz w:val="22"/>
              </w:rPr>
              <w:t>39</w:t>
            </w:r>
          </w:p>
        </w:tc>
        <w:tc>
          <w:tcPr>
            <w:tcW w:w="1661"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hint="default" w:ascii="宋体" w:eastAsia="宋体"/>
                <w:color w:val="000000"/>
                <w:w w:val="100"/>
                <w:sz w:val="22"/>
                <w:lang w:val="en-US" w:eastAsia="zh-CN"/>
              </w:rPr>
            </w:pPr>
            <w:r>
              <w:rPr>
                <w:rFonts w:hint="eastAsia" w:ascii="宋体"/>
                <w:color w:val="000000"/>
                <w:w w:val="100"/>
                <w:sz w:val="22"/>
                <w:lang w:val="en-US" w:eastAsia="zh-CN"/>
              </w:rPr>
              <w:t>282200</w:t>
            </w:r>
          </w:p>
        </w:tc>
        <w:tc>
          <w:tcPr>
            <w:tcW w:w="1661"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hint="default" w:ascii="宋体" w:eastAsia="宋体"/>
                <w:color w:val="000000"/>
                <w:w w:val="100"/>
                <w:sz w:val="22"/>
                <w:lang w:val="en-US" w:eastAsia="zh-CN"/>
              </w:rPr>
            </w:pPr>
            <w:r>
              <w:rPr>
                <w:rFonts w:hint="eastAsia" w:ascii="宋体"/>
                <w:color w:val="000000"/>
                <w:w w:val="100"/>
                <w:sz w:val="22"/>
                <w:lang w:val="en-US" w:eastAsia="zh-CN"/>
              </w:rPr>
              <w:t>385269.19</w:t>
            </w:r>
          </w:p>
        </w:tc>
        <w:tc>
          <w:tcPr>
            <w:tcW w:w="1662"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hint="default" w:ascii="宋体" w:eastAsia="宋体"/>
                <w:color w:val="000000"/>
                <w:w w:val="100"/>
                <w:sz w:val="22"/>
                <w:lang w:val="en-US" w:eastAsia="zh-CN"/>
              </w:rPr>
            </w:pPr>
            <w:r>
              <w:rPr>
                <w:rFonts w:hint="eastAsia" w:ascii="宋体"/>
                <w:color w:val="000000"/>
                <w:w w:val="100"/>
                <w:sz w:val="22"/>
                <w:lang w:val="en-US" w:eastAsia="zh-CN"/>
              </w:rPr>
              <w:t>385269.19</w:t>
            </w:r>
          </w:p>
        </w:tc>
      </w:tr>
      <w:tr>
        <w:tblPrEx>
          <w:tblLayout w:type="fixed"/>
          <w:tblCellMar>
            <w:top w:w="0" w:type="dxa"/>
            <w:left w:w="0" w:type="dxa"/>
            <w:bottom w:w="0" w:type="dxa"/>
            <w:right w:w="0" w:type="dxa"/>
          </w:tblCellMar>
        </w:tblPrEx>
        <w:trPr>
          <w:trHeight w:val="270" w:hRule="atLeast"/>
        </w:trPr>
        <w:tc>
          <w:tcPr>
            <w:tcW w:w="1661"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ascii="宋体"/>
                <w:color w:val="000000"/>
                <w:w w:val="100"/>
                <w:sz w:val="22"/>
              </w:rPr>
            </w:pPr>
            <w:r>
              <w:rPr>
                <w:rFonts w:ascii="宋体"/>
                <w:color w:val="000000"/>
                <w:w w:val="100"/>
                <w:sz w:val="22"/>
              </w:rPr>
              <w:t>十一、城乡社区支出</w:t>
            </w:r>
          </w:p>
        </w:tc>
        <w:tc>
          <w:tcPr>
            <w:tcW w:w="1661"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ascii="宋体"/>
                <w:color w:val="000000"/>
                <w:w w:val="100"/>
                <w:sz w:val="22"/>
              </w:rPr>
            </w:pPr>
            <w:r>
              <w:rPr>
                <w:rFonts w:ascii="宋体"/>
                <w:color w:val="000000"/>
                <w:w w:val="100"/>
                <w:sz w:val="22"/>
              </w:rPr>
              <w:t>41</w:t>
            </w:r>
          </w:p>
        </w:tc>
        <w:tc>
          <w:tcPr>
            <w:tcW w:w="1661"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hint="default" w:ascii="宋体" w:eastAsia="宋体"/>
                <w:color w:val="000000"/>
                <w:w w:val="100"/>
                <w:sz w:val="22"/>
                <w:lang w:val="en-US" w:eastAsia="zh-CN"/>
              </w:rPr>
            </w:pPr>
            <w:r>
              <w:rPr>
                <w:rFonts w:hint="eastAsia" w:ascii="宋体"/>
                <w:color w:val="000000"/>
                <w:w w:val="100"/>
                <w:sz w:val="22"/>
                <w:lang w:val="en-US" w:eastAsia="zh-CN"/>
              </w:rPr>
              <w:t>301900</w:t>
            </w:r>
          </w:p>
        </w:tc>
        <w:tc>
          <w:tcPr>
            <w:tcW w:w="1661"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hint="default" w:ascii="宋体" w:eastAsia="宋体"/>
                <w:color w:val="000000"/>
                <w:w w:val="100"/>
                <w:sz w:val="22"/>
                <w:lang w:val="en-US" w:eastAsia="zh-CN"/>
              </w:rPr>
            </w:pPr>
            <w:r>
              <w:rPr>
                <w:rFonts w:hint="eastAsia" w:ascii="宋体"/>
                <w:color w:val="000000"/>
                <w:w w:val="100"/>
                <w:sz w:val="22"/>
                <w:lang w:val="en-US" w:eastAsia="zh-CN"/>
              </w:rPr>
              <w:t>603908.05</w:t>
            </w:r>
          </w:p>
        </w:tc>
        <w:tc>
          <w:tcPr>
            <w:tcW w:w="1662"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hint="default" w:ascii="宋体" w:eastAsia="宋体"/>
                <w:color w:val="000000"/>
                <w:w w:val="100"/>
                <w:sz w:val="22"/>
                <w:lang w:val="en-US" w:eastAsia="zh-CN"/>
              </w:rPr>
            </w:pPr>
            <w:r>
              <w:rPr>
                <w:rFonts w:hint="eastAsia" w:ascii="宋体"/>
                <w:color w:val="000000"/>
                <w:w w:val="100"/>
                <w:sz w:val="22"/>
                <w:lang w:val="en-US" w:eastAsia="zh-CN"/>
              </w:rPr>
              <w:t>603908.05</w:t>
            </w:r>
          </w:p>
        </w:tc>
      </w:tr>
      <w:tr>
        <w:tblPrEx>
          <w:tblLayout w:type="fixed"/>
          <w:tblCellMar>
            <w:top w:w="0" w:type="dxa"/>
            <w:left w:w="0" w:type="dxa"/>
            <w:bottom w:w="0" w:type="dxa"/>
            <w:right w:w="0" w:type="dxa"/>
          </w:tblCellMar>
        </w:tblPrEx>
        <w:trPr>
          <w:trHeight w:val="270" w:hRule="atLeast"/>
        </w:trPr>
        <w:tc>
          <w:tcPr>
            <w:tcW w:w="1661"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ascii="宋体"/>
                <w:color w:val="000000"/>
                <w:w w:val="100"/>
                <w:sz w:val="22"/>
              </w:rPr>
            </w:pPr>
            <w:r>
              <w:rPr>
                <w:rFonts w:ascii="宋体"/>
                <w:color w:val="000000"/>
                <w:w w:val="100"/>
                <w:sz w:val="22"/>
              </w:rPr>
              <w:t>十二、农林水支出</w:t>
            </w:r>
          </w:p>
        </w:tc>
        <w:tc>
          <w:tcPr>
            <w:tcW w:w="1661"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ascii="宋体"/>
                <w:color w:val="000000"/>
                <w:w w:val="100"/>
                <w:sz w:val="22"/>
              </w:rPr>
            </w:pPr>
            <w:r>
              <w:rPr>
                <w:rFonts w:ascii="宋体"/>
                <w:color w:val="000000"/>
                <w:w w:val="100"/>
                <w:sz w:val="22"/>
              </w:rPr>
              <w:t>42</w:t>
            </w:r>
          </w:p>
        </w:tc>
        <w:tc>
          <w:tcPr>
            <w:tcW w:w="1661"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hint="default" w:ascii="宋体" w:eastAsia="宋体"/>
                <w:color w:val="000000"/>
                <w:w w:val="100"/>
                <w:sz w:val="22"/>
                <w:lang w:val="en-US" w:eastAsia="zh-CN"/>
              </w:rPr>
            </w:pPr>
            <w:r>
              <w:rPr>
                <w:rFonts w:hint="eastAsia" w:ascii="宋体"/>
                <w:color w:val="000000"/>
                <w:w w:val="100"/>
                <w:sz w:val="22"/>
                <w:lang w:val="en-US" w:eastAsia="zh-CN"/>
              </w:rPr>
              <w:t>1940500</w:t>
            </w:r>
          </w:p>
        </w:tc>
        <w:tc>
          <w:tcPr>
            <w:tcW w:w="1661"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hint="default" w:ascii="宋体" w:eastAsia="宋体"/>
                <w:color w:val="000000"/>
                <w:w w:val="100"/>
                <w:sz w:val="22"/>
                <w:lang w:val="en-US" w:eastAsia="zh-CN"/>
              </w:rPr>
            </w:pPr>
            <w:r>
              <w:rPr>
                <w:rFonts w:hint="eastAsia" w:ascii="宋体"/>
                <w:color w:val="000000"/>
                <w:w w:val="100"/>
                <w:sz w:val="22"/>
                <w:lang w:val="en-US" w:eastAsia="zh-CN"/>
              </w:rPr>
              <w:t>3759739.35</w:t>
            </w:r>
          </w:p>
        </w:tc>
        <w:tc>
          <w:tcPr>
            <w:tcW w:w="1662"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hint="default" w:ascii="宋体" w:eastAsia="宋体"/>
                <w:color w:val="000000"/>
                <w:w w:val="100"/>
                <w:sz w:val="22"/>
                <w:lang w:val="en-US" w:eastAsia="zh-CN"/>
              </w:rPr>
            </w:pPr>
            <w:r>
              <w:rPr>
                <w:rFonts w:hint="eastAsia" w:ascii="宋体"/>
                <w:color w:val="000000"/>
                <w:w w:val="100"/>
                <w:sz w:val="22"/>
                <w:lang w:val="en-US" w:eastAsia="zh-CN"/>
              </w:rPr>
              <w:t>3759739.35</w:t>
            </w:r>
          </w:p>
        </w:tc>
      </w:tr>
      <w:tr>
        <w:tblPrEx>
          <w:tblLayout w:type="fixed"/>
          <w:tblCellMar>
            <w:top w:w="0" w:type="dxa"/>
            <w:left w:w="0" w:type="dxa"/>
            <w:bottom w:w="0" w:type="dxa"/>
            <w:right w:w="0" w:type="dxa"/>
          </w:tblCellMar>
        </w:tblPrEx>
        <w:trPr>
          <w:trHeight w:val="270" w:hRule="atLeast"/>
        </w:trPr>
        <w:tc>
          <w:tcPr>
            <w:tcW w:w="1661"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ascii="宋体"/>
                <w:color w:val="000000"/>
                <w:w w:val="100"/>
                <w:sz w:val="22"/>
              </w:rPr>
            </w:pPr>
            <w:r>
              <w:rPr>
                <w:rFonts w:ascii="宋体"/>
                <w:color w:val="000000"/>
                <w:w w:val="100"/>
                <w:sz w:val="22"/>
              </w:rPr>
              <w:t>十九、住房保障支出</w:t>
            </w:r>
          </w:p>
        </w:tc>
        <w:tc>
          <w:tcPr>
            <w:tcW w:w="1661"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ascii="宋体"/>
                <w:color w:val="000000"/>
                <w:w w:val="100"/>
                <w:sz w:val="22"/>
              </w:rPr>
            </w:pPr>
            <w:r>
              <w:rPr>
                <w:rFonts w:ascii="宋体"/>
                <w:color w:val="000000"/>
                <w:w w:val="100"/>
                <w:sz w:val="22"/>
              </w:rPr>
              <w:t>49</w:t>
            </w:r>
          </w:p>
        </w:tc>
        <w:tc>
          <w:tcPr>
            <w:tcW w:w="1661"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hint="default" w:ascii="宋体" w:eastAsia="宋体"/>
                <w:color w:val="000000"/>
                <w:w w:val="100"/>
                <w:sz w:val="22"/>
                <w:lang w:val="en-US" w:eastAsia="zh-CN"/>
              </w:rPr>
            </w:pPr>
            <w:r>
              <w:rPr>
                <w:rFonts w:hint="eastAsia" w:ascii="宋体"/>
                <w:color w:val="000000"/>
                <w:w w:val="100"/>
                <w:sz w:val="22"/>
                <w:lang w:val="en-US" w:eastAsia="zh-CN"/>
              </w:rPr>
              <w:t>413200</w:t>
            </w:r>
          </w:p>
        </w:tc>
        <w:tc>
          <w:tcPr>
            <w:tcW w:w="1661"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hint="default" w:ascii="宋体" w:eastAsia="宋体"/>
                <w:color w:val="000000"/>
                <w:w w:val="100"/>
                <w:sz w:val="22"/>
                <w:lang w:val="en-US" w:eastAsia="zh-CN"/>
              </w:rPr>
            </w:pPr>
            <w:r>
              <w:rPr>
                <w:rFonts w:hint="eastAsia" w:ascii="宋体"/>
                <w:color w:val="000000"/>
                <w:w w:val="100"/>
                <w:sz w:val="22"/>
                <w:lang w:val="en-US" w:eastAsia="zh-CN"/>
              </w:rPr>
              <w:t>430983.60</w:t>
            </w:r>
          </w:p>
        </w:tc>
        <w:tc>
          <w:tcPr>
            <w:tcW w:w="1662"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hint="default" w:ascii="宋体" w:eastAsia="宋体"/>
                <w:color w:val="000000"/>
                <w:w w:val="100"/>
                <w:sz w:val="22"/>
                <w:lang w:val="en-US" w:eastAsia="zh-CN"/>
              </w:rPr>
            </w:pPr>
            <w:r>
              <w:rPr>
                <w:rFonts w:hint="eastAsia" w:ascii="宋体"/>
                <w:color w:val="000000"/>
                <w:w w:val="100"/>
                <w:sz w:val="22"/>
                <w:lang w:val="en-US" w:eastAsia="zh-CN"/>
              </w:rPr>
              <w:t>430983.60</w:t>
            </w:r>
          </w:p>
        </w:tc>
      </w:tr>
      <w:tr>
        <w:tblPrEx>
          <w:tblLayout w:type="fixed"/>
          <w:tblCellMar>
            <w:top w:w="0" w:type="dxa"/>
            <w:left w:w="0" w:type="dxa"/>
            <w:bottom w:w="0" w:type="dxa"/>
            <w:right w:w="0" w:type="dxa"/>
          </w:tblCellMar>
        </w:tblPrEx>
        <w:trPr>
          <w:trHeight w:val="270" w:hRule="atLeast"/>
        </w:trPr>
        <w:tc>
          <w:tcPr>
            <w:tcW w:w="1661"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ascii="宋体"/>
                <w:color w:val="000000"/>
                <w:w w:val="100"/>
                <w:sz w:val="22"/>
              </w:rPr>
            </w:pPr>
            <w:r>
              <w:rPr>
                <w:rFonts w:ascii="宋体"/>
                <w:color w:val="000000"/>
                <w:w w:val="100"/>
                <w:sz w:val="22"/>
              </w:rPr>
              <w:t>二十一、灾害防治及应急管理支出</w:t>
            </w:r>
          </w:p>
        </w:tc>
        <w:tc>
          <w:tcPr>
            <w:tcW w:w="1661"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ascii="宋体"/>
                <w:color w:val="000000"/>
                <w:w w:val="100"/>
                <w:sz w:val="22"/>
              </w:rPr>
            </w:pPr>
            <w:r>
              <w:rPr>
                <w:rFonts w:ascii="宋体"/>
                <w:color w:val="000000"/>
                <w:w w:val="100"/>
                <w:sz w:val="22"/>
              </w:rPr>
              <w:t>51</w:t>
            </w:r>
          </w:p>
        </w:tc>
        <w:tc>
          <w:tcPr>
            <w:tcW w:w="1661"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ascii="宋体"/>
                <w:color w:val="000000"/>
                <w:w w:val="100"/>
                <w:sz w:val="22"/>
              </w:rPr>
            </w:pPr>
            <w:r>
              <w:rPr>
                <w:rFonts w:ascii="宋体"/>
                <w:color w:val="000000"/>
                <w:w w:val="100"/>
                <w:sz w:val="22"/>
              </w:rPr>
              <w:t>0</w:t>
            </w:r>
          </w:p>
        </w:tc>
        <w:tc>
          <w:tcPr>
            <w:tcW w:w="1661"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hint="eastAsia" w:ascii="宋体" w:eastAsia="宋体"/>
                <w:color w:val="000000"/>
                <w:w w:val="100"/>
                <w:sz w:val="22"/>
                <w:lang w:eastAsia="zh-CN"/>
              </w:rPr>
            </w:pPr>
            <w:r>
              <w:rPr>
                <w:rFonts w:hint="eastAsia" w:ascii="宋体"/>
                <w:color w:val="000000"/>
                <w:w w:val="100"/>
                <w:sz w:val="22"/>
                <w:lang w:val="en-US" w:eastAsia="zh-CN"/>
              </w:rPr>
              <w:t>0</w:t>
            </w:r>
          </w:p>
        </w:tc>
        <w:tc>
          <w:tcPr>
            <w:tcW w:w="1662"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hint="eastAsia" w:ascii="宋体" w:eastAsia="宋体"/>
                <w:color w:val="000000"/>
                <w:w w:val="100"/>
                <w:sz w:val="22"/>
                <w:lang w:eastAsia="zh-CN"/>
              </w:rPr>
            </w:pPr>
            <w:r>
              <w:rPr>
                <w:rFonts w:hint="eastAsia" w:ascii="宋体"/>
                <w:color w:val="000000"/>
                <w:w w:val="100"/>
                <w:sz w:val="22"/>
                <w:lang w:val="en-US" w:eastAsia="zh-CN"/>
              </w:rPr>
              <w:t>0</w:t>
            </w:r>
          </w:p>
        </w:tc>
      </w:tr>
      <w:tr>
        <w:tblPrEx>
          <w:tblLayout w:type="fixed"/>
          <w:tblCellMar>
            <w:top w:w="0" w:type="dxa"/>
            <w:left w:w="0" w:type="dxa"/>
            <w:bottom w:w="0" w:type="dxa"/>
            <w:right w:w="0" w:type="dxa"/>
          </w:tblCellMar>
        </w:tblPrEx>
        <w:trPr>
          <w:trHeight w:val="270" w:hRule="atLeast"/>
        </w:trPr>
        <w:tc>
          <w:tcPr>
            <w:tcW w:w="1661"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ascii="宋体"/>
                <w:color w:val="000000"/>
                <w:w w:val="100"/>
                <w:sz w:val="22"/>
              </w:rPr>
            </w:pPr>
            <w:r>
              <w:rPr>
                <w:rFonts w:ascii="宋体"/>
                <w:color w:val="000000"/>
                <w:w w:val="100"/>
                <w:sz w:val="22"/>
              </w:rPr>
              <w:t>二十二、其他支出</w:t>
            </w:r>
          </w:p>
        </w:tc>
        <w:tc>
          <w:tcPr>
            <w:tcW w:w="1661"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ascii="宋体"/>
                <w:color w:val="000000"/>
                <w:w w:val="100"/>
                <w:sz w:val="22"/>
              </w:rPr>
            </w:pPr>
            <w:r>
              <w:rPr>
                <w:rFonts w:ascii="宋体"/>
                <w:color w:val="000000"/>
                <w:w w:val="100"/>
                <w:sz w:val="22"/>
              </w:rPr>
              <w:t>52</w:t>
            </w:r>
          </w:p>
        </w:tc>
        <w:tc>
          <w:tcPr>
            <w:tcW w:w="1661"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ascii="宋体"/>
                <w:color w:val="000000"/>
                <w:w w:val="100"/>
                <w:sz w:val="22"/>
              </w:rPr>
            </w:pPr>
            <w:r>
              <w:rPr>
                <w:rFonts w:ascii="宋体"/>
                <w:color w:val="000000"/>
                <w:w w:val="100"/>
                <w:sz w:val="22"/>
              </w:rPr>
              <w:t>0</w:t>
            </w:r>
          </w:p>
        </w:tc>
        <w:tc>
          <w:tcPr>
            <w:tcW w:w="1661"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hint="default" w:ascii="宋体" w:eastAsia="宋体"/>
                <w:color w:val="000000"/>
                <w:w w:val="100"/>
                <w:sz w:val="22"/>
                <w:lang w:val="en-US" w:eastAsia="zh-CN"/>
              </w:rPr>
            </w:pPr>
            <w:r>
              <w:rPr>
                <w:rFonts w:hint="eastAsia" w:ascii="宋体"/>
                <w:color w:val="000000"/>
                <w:w w:val="100"/>
                <w:sz w:val="22"/>
                <w:lang w:val="en-US" w:eastAsia="zh-CN"/>
              </w:rPr>
              <w:t>510000</w:t>
            </w:r>
          </w:p>
        </w:tc>
        <w:tc>
          <w:tcPr>
            <w:tcW w:w="1662"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hint="default" w:ascii="宋体" w:eastAsia="宋体"/>
                <w:color w:val="000000"/>
                <w:w w:val="100"/>
                <w:sz w:val="22"/>
                <w:lang w:val="en-US" w:eastAsia="zh-CN"/>
              </w:rPr>
            </w:pPr>
            <w:r>
              <w:rPr>
                <w:rFonts w:hint="eastAsia" w:ascii="宋体"/>
                <w:color w:val="000000"/>
                <w:w w:val="100"/>
                <w:sz w:val="22"/>
                <w:lang w:val="en-US" w:eastAsia="zh-CN"/>
              </w:rPr>
              <w:t>510000</w:t>
            </w:r>
          </w:p>
        </w:tc>
      </w:tr>
      <w:tr>
        <w:tblPrEx>
          <w:tblLayout w:type="fixed"/>
          <w:tblCellMar>
            <w:top w:w="0" w:type="dxa"/>
            <w:left w:w="0" w:type="dxa"/>
            <w:bottom w:w="0" w:type="dxa"/>
            <w:right w:w="0" w:type="dxa"/>
          </w:tblCellMar>
        </w:tblPrEx>
        <w:trPr>
          <w:trHeight w:val="270" w:hRule="atLeast"/>
        </w:trPr>
        <w:tc>
          <w:tcPr>
            <w:tcW w:w="1661"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both"/>
              <w:rPr>
                <w:rFonts w:hint="default" w:ascii="宋体" w:eastAsia="宋体"/>
                <w:color w:val="000000"/>
                <w:w w:val="100"/>
                <w:sz w:val="22"/>
                <w:lang w:val="en-US" w:eastAsia="zh-CN"/>
              </w:rPr>
            </w:pPr>
            <w:r>
              <w:rPr>
                <w:rFonts w:hint="eastAsia" w:ascii="宋体"/>
                <w:color w:val="000000"/>
                <w:w w:val="100"/>
                <w:sz w:val="22"/>
                <w:lang w:val="en-US" w:eastAsia="zh-CN"/>
              </w:rPr>
              <w:t>二十六</w:t>
            </w:r>
            <w:r>
              <w:rPr>
                <w:rFonts w:ascii="宋体"/>
                <w:color w:val="000000"/>
                <w:w w:val="100"/>
                <w:sz w:val="22"/>
              </w:rPr>
              <w:t>、</w:t>
            </w:r>
            <w:r>
              <w:rPr>
                <w:rFonts w:hint="eastAsia" w:ascii="宋体"/>
                <w:color w:val="000000"/>
                <w:w w:val="100"/>
                <w:sz w:val="22"/>
                <w:lang w:val="en-US" w:eastAsia="zh-CN"/>
              </w:rPr>
              <w:t>抗疫特别国债安排的支出</w:t>
            </w:r>
          </w:p>
        </w:tc>
        <w:tc>
          <w:tcPr>
            <w:tcW w:w="1661"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hint="default" w:ascii="宋体" w:eastAsia="宋体"/>
                <w:color w:val="000000"/>
                <w:w w:val="100"/>
                <w:sz w:val="22"/>
                <w:lang w:val="en-US" w:eastAsia="zh-CN"/>
              </w:rPr>
            </w:pPr>
            <w:r>
              <w:rPr>
                <w:rFonts w:hint="eastAsia" w:ascii="宋体"/>
                <w:color w:val="000000"/>
                <w:w w:val="100"/>
                <w:sz w:val="22"/>
                <w:lang w:val="en-US" w:eastAsia="zh-CN"/>
              </w:rPr>
              <w:t>57</w:t>
            </w:r>
          </w:p>
        </w:tc>
        <w:tc>
          <w:tcPr>
            <w:tcW w:w="1661"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hint="eastAsia" w:ascii="宋体" w:eastAsia="宋体"/>
                <w:color w:val="000000"/>
                <w:w w:val="100"/>
                <w:sz w:val="22"/>
                <w:lang w:val="en-US" w:eastAsia="zh-CN"/>
              </w:rPr>
            </w:pPr>
            <w:r>
              <w:rPr>
                <w:rFonts w:hint="eastAsia" w:ascii="宋体"/>
                <w:color w:val="000000"/>
                <w:w w:val="100"/>
                <w:sz w:val="22"/>
                <w:lang w:val="en-US" w:eastAsia="zh-CN"/>
              </w:rPr>
              <w:t>0</w:t>
            </w:r>
          </w:p>
        </w:tc>
        <w:tc>
          <w:tcPr>
            <w:tcW w:w="1661"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hint="default" w:ascii="宋体"/>
                <w:color w:val="000000"/>
                <w:w w:val="100"/>
                <w:sz w:val="22"/>
                <w:lang w:val="en-US" w:eastAsia="zh-CN"/>
              </w:rPr>
            </w:pPr>
            <w:r>
              <w:rPr>
                <w:rFonts w:hint="eastAsia" w:ascii="宋体"/>
                <w:color w:val="000000"/>
                <w:w w:val="100"/>
                <w:sz w:val="22"/>
                <w:lang w:val="en-US" w:eastAsia="zh-CN"/>
              </w:rPr>
              <w:t>325086.99</w:t>
            </w:r>
          </w:p>
        </w:tc>
        <w:tc>
          <w:tcPr>
            <w:tcW w:w="1662"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hint="eastAsia" w:ascii="宋体"/>
                <w:color w:val="000000"/>
                <w:w w:val="100"/>
                <w:sz w:val="22"/>
                <w:lang w:val="en-US" w:eastAsia="zh-CN"/>
              </w:rPr>
            </w:pPr>
            <w:r>
              <w:rPr>
                <w:rFonts w:hint="eastAsia" w:ascii="宋体"/>
                <w:color w:val="000000"/>
                <w:w w:val="100"/>
                <w:sz w:val="22"/>
                <w:lang w:val="en-US" w:eastAsia="zh-CN"/>
              </w:rPr>
              <w:t>325086.99</w:t>
            </w:r>
          </w:p>
        </w:tc>
      </w:tr>
      <w:tr>
        <w:tblPrEx>
          <w:tblLayout w:type="fixed"/>
          <w:tblCellMar>
            <w:top w:w="0" w:type="dxa"/>
            <w:left w:w="0" w:type="dxa"/>
            <w:bottom w:w="0" w:type="dxa"/>
            <w:right w:w="0" w:type="dxa"/>
          </w:tblCellMar>
        </w:tblPrEx>
        <w:trPr>
          <w:trHeight w:val="270" w:hRule="atLeast"/>
        </w:trPr>
        <w:tc>
          <w:tcPr>
            <w:tcW w:w="1661"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ascii="宋体"/>
                <w:color w:val="000000"/>
                <w:w w:val="100"/>
                <w:sz w:val="22"/>
              </w:rPr>
            </w:pPr>
            <w:r>
              <w:rPr>
                <w:rFonts w:ascii="宋体"/>
                <w:color w:val="000000"/>
                <w:w w:val="100"/>
                <w:sz w:val="22"/>
              </w:rPr>
              <w:t>本年支出合计</w:t>
            </w:r>
          </w:p>
        </w:tc>
        <w:tc>
          <w:tcPr>
            <w:tcW w:w="1661"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ascii="Calibri" w:eastAsia="宋体"/>
                <w:w w:val="100"/>
                <w:sz w:val="21"/>
              </w:rPr>
            </w:pPr>
          </w:p>
        </w:tc>
        <w:tc>
          <w:tcPr>
            <w:tcW w:w="1661"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hint="default" w:ascii="宋体" w:eastAsia="宋体"/>
                <w:color w:val="000000"/>
                <w:w w:val="100"/>
                <w:sz w:val="22"/>
                <w:lang w:val="en-US" w:eastAsia="zh-CN"/>
              </w:rPr>
            </w:pPr>
            <w:r>
              <w:rPr>
                <w:rFonts w:hint="eastAsia" w:ascii="宋体"/>
                <w:color w:val="000000"/>
                <w:w w:val="100"/>
                <w:sz w:val="22"/>
                <w:lang w:val="en-US" w:eastAsia="zh-CN"/>
              </w:rPr>
              <w:t>7075000</w:t>
            </w:r>
          </w:p>
        </w:tc>
        <w:tc>
          <w:tcPr>
            <w:tcW w:w="1661"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hint="default" w:ascii="宋体" w:eastAsia="宋体"/>
                <w:color w:val="000000"/>
                <w:w w:val="100"/>
                <w:sz w:val="22"/>
                <w:lang w:val="en-US" w:eastAsia="zh-CN"/>
              </w:rPr>
            </w:pPr>
            <w:r>
              <w:rPr>
                <w:rFonts w:hint="eastAsia" w:ascii="宋体"/>
                <w:color w:val="000000"/>
                <w:w w:val="100"/>
                <w:sz w:val="22"/>
                <w:lang w:val="en-US" w:eastAsia="zh-CN"/>
              </w:rPr>
              <w:t>11886594.61</w:t>
            </w:r>
          </w:p>
        </w:tc>
        <w:tc>
          <w:tcPr>
            <w:tcW w:w="1662" w:type="dxa"/>
            <w:tcBorders>
              <w:top w:val="single" w:color="000000" w:sz="4" w:space="0"/>
              <w:left w:val="single" w:color="000000" w:sz="4" w:space="0"/>
              <w:bottom w:val="single" w:color="000000" w:sz="4" w:space="0"/>
              <w:right w:val="single" w:color="000000" w:sz="4" w:space="0"/>
            </w:tcBorders>
            <w:shd w:val="clear" w:color="FCFCFC" w:fill="auto"/>
            <w:noWrap w:val="0"/>
            <w:tcMar>
              <w:top w:w="0" w:type="dxa"/>
              <w:left w:w="0" w:type="dxa"/>
              <w:bottom w:w="0" w:type="dxa"/>
              <w:right w:w="0" w:type="dxa"/>
            </w:tcMar>
            <w:vAlign w:val="center"/>
          </w:tcPr>
          <w:p>
            <w:pPr>
              <w:ind w:firstLine="0"/>
              <w:jc w:val="center"/>
              <w:rPr>
                <w:rFonts w:hint="default" w:ascii="宋体" w:eastAsia="宋体"/>
                <w:color w:val="000000"/>
                <w:w w:val="100"/>
                <w:sz w:val="22"/>
                <w:lang w:val="en-US" w:eastAsia="zh-CN"/>
              </w:rPr>
            </w:pPr>
            <w:r>
              <w:rPr>
                <w:rFonts w:hint="eastAsia" w:ascii="宋体"/>
                <w:color w:val="000000"/>
                <w:w w:val="100"/>
                <w:sz w:val="22"/>
                <w:lang w:val="en-US" w:eastAsia="zh-CN"/>
              </w:rPr>
              <w:t>11886594.61</w:t>
            </w:r>
          </w:p>
        </w:tc>
      </w:tr>
    </w:tbl>
    <w:p>
      <w:pPr>
        <w:autoSpaceDE/>
        <w:autoSpaceDN/>
        <w:snapToGrid w:val="0"/>
        <w:spacing w:before="0" w:after="0" w:line="520" w:lineRule="exact"/>
        <w:ind w:left="0" w:firstLine="0"/>
        <w:jc w:val="both"/>
        <w:rPr>
          <w:rFonts w:hint="eastAsia" w:ascii="仿宋_GB2312" w:hAnsi="仿宋" w:eastAsia="仿宋_GB2312"/>
          <w:w w:val="100"/>
          <w:sz w:val="32"/>
          <w:lang w:eastAsia="zh-CN"/>
        </w:rPr>
      </w:pPr>
    </w:p>
    <w:p>
      <w:pPr>
        <w:autoSpaceDE/>
        <w:autoSpaceDN/>
        <w:snapToGrid w:val="0"/>
        <w:spacing w:before="0" w:after="0" w:line="520" w:lineRule="exact"/>
        <w:ind w:left="640" w:firstLine="640"/>
        <w:jc w:val="both"/>
        <w:rPr>
          <w:rFonts w:hint="eastAsia" w:ascii="仿宋_GB2312" w:hAnsi="仿宋" w:eastAsia="仿宋_GB2312"/>
          <w:w w:val="100"/>
          <w:sz w:val="32"/>
          <w:lang w:eastAsia="zh-CN"/>
        </w:rPr>
      </w:pPr>
    </w:p>
    <w:p>
      <w:pPr>
        <w:autoSpaceDE/>
        <w:autoSpaceDN/>
        <w:snapToGrid w:val="0"/>
        <w:spacing w:before="0" w:after="0" w:line="520" w:lineRule="exact"/>
        <w:ind w:left="640" w:firstLine="640"/>
        <w:jc w:val="both"/>
        <w:rPr>
          <w:rFonts w:hint="eastAsia" w:ascii="仿宋_GB2312" w:hAnsi="仿宋" w:eastAsia="仿宋_GB2312"/>
          <w:w w:val="100"/>
          <w:sz w:val="32"/>
          <w:lang w:eastAsia="zh-CN"/>
        </w:rPr>
      </w:pPr>
      <w:r>
        <w:rPr>
          <w:rFonts w:hint="eastAsia" w:ascii="仿宋_GB2312" w:hAnsi="仿宋" w:eastAsia="仿宋_GB2312"/>
          <w:w w:val="100"/>
          <w:sz w:val="32"/>
          <w:lang w:eastAsia="zh-CN"/>
        </w:rPr>
        <w:t>（2）差异原因分析。差异较大的应分析到具体收入支出功能科目和具体单位。</w:t>
      </w:r>
    </w:p>
    <w:p>
      <w:pPr>
        <w:autoSpaceDE/>
        <w:autoSpaceDN/>
        <w:snapToGrid w:val="0"/>
        <w:spacing w:before="0" w:after="0" w:line="520" w:lineRule="exact"/>
        <w:ind w:left="480" w:firstLine="480"/>
        <w:jc w:val="both"/>
        <w:rPr>
          <w:rFonts w:hint="default" w:ascii="仿宋_GB2312" w:hAnsi="仿宋" w:eastAsia="仿宋"/>
          <w:w w:val="100"/>
          <w:sz w:val="32"/>
          <w:lang w:val="en-US" w:eastAsia="zh-CN"/>
        </w:rPr>
      </w:pPr>
      <w:r>
        <w:rPr>
          <w:rFonts w:ascii="仿宋" w:hAnsi="仿宋" w:eastAsia="仿宋"/>
          <w:w w:val="100"/>
          <w:sz w:val="24"/>
        </w:rPr>
        <w:t>本年度人员和项目有变动。其中</w:t>
      </w:r>
      <w:r>
        <w:rPr>
          <w:rFonts w:hint="eastAsia" w:ascii="仿宋" w:hAnsi="仿宋" w:eastAsia="仿宋"/>
          <w:w w:val="100"/>
          <w:sz w:val="24"/>
          <w:lang w:val="en-US" w:eastAsia="zh-CN"/>
        </w:rPr>
        <w:t>抗疫特别国债安排的支出32.5万元为疫情防控款未列入年初预算。</w:t>
      </w:r>
    </w:p>
    <w:p>
      <w:pPr>
        <w:autoSpaceDE/>
        <w:autoSpaceDN/>
        <w:snapToGrid w:val="0"/>
        <w:spacing w:before="0" w:after="0" w:line="520" w:lineRule="exact"/>
        <w:ind w:left="643" w:firstLine="643"/>
        <w:jc w:val="both"/>
        <w:rPr>
          <w:rFonts w:hint="eastAsia" w:ascii="仿宋_GB2312" w:hAnsi="仿宋" w:eastAsia="仿宋_GB2312"/>
          <w:b/>
          <w:w w:val="100"/>
          <w:sz w:val="32"/>
          <w:lang w:eastAsia="zh-CN"/>
        </w:rPr>
      </w:pPr>
      <w:r>
        <w:rPr>
          <w:rFonts w:hint="eastAsia" w:ascii="仿宋_GB2312" w:hAnsi="仿宋" w:eastAsia="仿宋_GB2312"/>
          <w:b/>
          <w:w w:val="100"/>
          <w:sz w:val="32"/>
          <w:lang w:eastAsia="zh-CN"/>
        </w:rPr>
        <w:t>2．收入支出结构分析。</w:t>
      </w:r>
    </w:p>
    <w:p>
      <w:pPr>
        <w:autoSpaceDE/>
        <w:autoSpaceDN/>
        <w:snapToGrid w:val="0"/>
        <w:spacing w:before="0" w:after="0" w:line="520" w:lineRule="exact"/>
        <w:ind w:left="640" w:firstLine="640"/>
        <w:jc w:val="both"/>
        <w:rPr>
          <w:rFonts w:hint="eastAsia" w:ascii="仿宋_GB2312" w:hAnsi="仿宋" w:eastAsia="仿宋_GB2312"/>
          <w:w w:val="100"/>
          <w:sz w:val="32"/>
          <w:lang w:eastAsia="zh-CN"/>
        </w:rPr>
      </w:pPr>
    </w:p>
    <w:p>
      <w:pPr>
        <w:autoSpaceDE/>
        <w:autoSpaceDN/>
        <w:snapToGrid w:val="0"/>
        <w:spacing w:before="0" w:after="0" w:line="520" w:lineRule="exact"/>
        <w:ind w:left="0" w:leftChars="0" w:firstLine="0" w:firstLineChars="0"/>
        <w:jc w:val="both"/>
        <w:rPr>
          <w:rFonts w:hint="eastAsia" w:ascii="仿宋_GB2312" w:hAnsi="仿宋" w:eastAsia="仿宋_GB2312"/>
          <w:w w:val="100"/>
          <w:sz w:val="32"/>
          <w:lang w:eastAsia="zh-CN"/>
        </w:rPr>
      </w:pPr>
      <w:r>
        <w:drawing>
          <wp:anchor distT="0" distB="0" distL="114300" distR="114300" simplePos="0" relativeHeight="251659264" behindDoc="0" locked="0" layoutInCell="1" allowOverlap="1">
            <wp:simplePos x="0" y="0"/>
            <wp:positionH relativeFrom="column">
              <wp:posOffset>-179705</wp:posOffset>
            </wp:positionH>
            <wp:positionV relativeFrom="paragraph">
              <wp:posOffset>641985</wp:posOffset>
            </wp:positionV>
            <wp:extent cx="5558155" cy="2743200"/>
            <wp:effectExtent l="4445" t="4445" r="15240" b="41275"/>
            <wp:wrapNone/>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anchor>
        </w:drawing>
      </w:r>
      <w:r>
        <w:rPr>
          <w:rFonts w:hint="eastAsia" w:ascii="仿宋_GB2312" w:hAnsi="仿宋" w:eastAsia="仿宋_GB2312"/>
          <w:w w:val="100"/>
          <w:sz w:val="32"/>
          <w:lang w:eastAsia="zh-CN"/>
        </w:rPr>
        <w:t>（1）各项收入占总收入的比重，各项支出占总支出的比重（可分别制作饼状图）。</w:t>
      </w:r>
    </w:p>
    <w:p>
      <w:pPr>
        <w:autoSpaceDE/>
        <w:autoSpaceDN/>
        <w:snapToGrid w:val="0"/>
        <w:spacing w:before="0" w:after="0" w:line="520" w:lineRule="exact"/>
        <w:ind w:left="640" w:firstLine="640"/>
        <w:jc w:val="both"/>
        <w:rPr>
          <w:rFonts w:hint="eastAsia" w:ascii="仿宋_GB2312" w:hAnsi="仿宋" w:eastAsia="仿宋_GB2312"/>
          <w:w w:val="100"/>
          <w:sz w:val="32"/>
          <w:lang w:eastAsia="zh-CN"/>
        </w:rPr>
      </w:pPr>
    </w:p>
    <w:p>
      <w:pPr>
        <w:autoSpaceDE/>
        <w:autoSpaceDN/>
        <w:snapToGrid w:val="0"/>
        <w:spacing w:before="0" w:after="0" w:line="240" w:lineRule="auto"/>
        <w:ind w:left="720" w:firstLine="720"/>
        <w:jc w:val="both"/>
        <w:rPr>
          <w:rFonts w:hint="eastAsia" w:ascii="仿宋" w:hAnsi="仿宋" w:eastAsia="仿宋"/>
          <w:w w:val="100"/>
          <w:sz w:val="24"/>
          <w:lang w:eastAsia="zh-CN"/>
        </w:rPr>
      </w:pPr>
    </w:p>
    <w:p>
      <w:pPr>
        <w:tabs>
          <w:tab w:val="left" w:pos="3049"/>
        </w:tabs>
        <w:ind w:left="0" w:leftChars="0" w:firstLine="0" w:firstLineChars="0"/>
        <w:rPr>
          <w:rFonts w:hint="eastAsia" w:ascii="仿宋" w:hAnsi="仿宋" w:eastAsia="仿宋"/>
          <w:w w:val="100"/>
          <w:sz w:val="24"/>
          <w:lang w:val="en-US" w:eastAsia="zh-CN"/>
        </w:rPr>
      </w:pPr>
    </w:p>
    <w:p>
      <w:pPr>
        <w:bidi w:val="0"/>
        <w:rPr>
          <w:rFonts w:hint="eastAsia" w:ascii="Times New Roman" w:hAnsi="Times New Roman" w:eastAsia="宋体" w:cs="Times New Roman"/>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r>
        <w:rPr>
          <w:rFonts w:hint="eastAsia"/>
          <w:lang w:val="en-US" w:eastAsia="zh-CN"/>
        </w:rPr>
        <w:t xml:space="preserve"> </w:t>
      </w:r>
      <w:r>
        <w:drawing>
          <wp:inline distT="0" distB="0" distL="114300" distR="114300">
            <wp:extent cx="5281295" cy="3679825"/>
            <wp:effectExtent l="4445" t="4445" r="17780" b="19050"/>
            <wp:docPr id="5"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pPr>
        <w:bidi w:val="0"/>
        <w:ind w:left="0" w:leftChars="0" w:firstLine="640" w:firstLineChars="200"/>
        <w:jc w:val="left"/>
        <w:rPr>
          <w:rFonts w:hint="eastAsia"/>
          <w:lang w:val="en-US" w:eastAsia="zh-CN"/>
        </w:rPr>
      </w:pPr>
      <w:r>
        <w:rPr>
          <w:rFonts w:hint="eastAsia" w:ascii="仿宋_GB2312" w:hAnsi="仿宋" w:eastAsia="仿宋_GB2312"/>
          <w:w w:val="100"/>
          <w:sz w:val="32"/>
          <w:lang w:eastAsia="zh-CN"/>
        </w:rPr>
        <w:t>（2）收入支出与上年度对比情况及原因分析(可用柱形图或折线图)。</w:t>
      </w:r>
      <w:r>
        <w:rPr>
          <w:rFonts w:hint="eastAsia"/>
          <w:lang w:val="en-US" w:eastAsia="zh-CN"/>
        </w:rPr>
        <w:t xml:space="preserve">  </w:t>
      </w:r>
    </w:p>
    <w:p>
      <w:pPr>
        <w:bidi w:val="0"/>
        <w:ind w:left="0" w:leftChars="0" w:firstLine="400" w:firstLineChars="200"/>
        <w:jc w:val="left"/>
      </w:pPr>
      <w:r>
        <w:drawing>
          <wp:inline distT="0" distB="0" distL="114300" distR="114300">
            <wp:extent cx="4617085" cy="3527425"/>
            <wp:effectExtent l="4445" t="4445" r="11430" b="19050"/>
            <wp:docPr id="7"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pPr>
        <w:autoSpaceDE/>
        <w:autoSpaceDN/>
        <w:snapToGrid w:val="0"/>
        <w:spacing w:before="0" w:after="0" w:line="520" w:lineRule="exact"/>
        <w:ind w:left="0" w:leftChars="0" w:firstLine="960" w:firstLineChars="300"/>
        <w:jc w:val="both"/>
        <w:rPr>
          <w:rFonts w:hint="eastAsia" w:ascii="仿宋_GB2312" w:hAnsi="仿宋" w:eastAsia="仿宋_GB2312"/>
          <w:w w:val="100"/>
          <w:sz w:val="32"/>
          <w:lang w:eastAsia="zh-CN"/>
        </w:rPr>
      </w:pPr>
      <w:r>
        <w:rPr>
          <w:rFonts w:hint="eastAsia" w:ascii="仿宋_GB2312" w:hAnsi="仿宋" w:eastAsia="仿宋_GB2312"/>
          <w:w w:val="100"/>
          <w:sz w:val="32"/>
          <w:lang w:eastAsia="zh-CN"/>
        </w:rPr>
        <w:t>原因分析：本年度</w:t>
      </w:r>
      <w:r>
        <w:rPr>
          <w:rFonts w:hint="eastAsia" w:ascii="仿宋_GB2312" w:hAnsi="仿宋" w:eastAsia="仿宋_GB2312"/>
          <w:w w:val="100"/>
          <w:sz w:val="32"/>
          <w:lang w:val="en-US" w:eastAsia="zh-CN"/>
        </w:rPr>
        <w:t>工程类项目支出减少</w:t>
      </w:r>
      <w:r>
        <w:rPr>
          <w:rFonts w:hint="eastAsia" w:ascii="仿宋_GB2312" w:hAnsi="仿宋" w:eastAsia="仿宋_GB2312"/>
          <w:w w:val="100"/>
          <w:sz w:val="32"/>
          <w:lang w:eastAsia="zh-CN"/>
        </w:rPr>
        <w:t>。</w:t>
      </w:r>
    </w:p>
    <w:p>
      <w:pPr>
        <w:autoSpaceDE/>
        <w:autoSpaceDN/>
        <w:snapToGrid w:val="0"/>
        <w:spacing w:before="0" w:after="0" w:line="520" w:lineRule="exact"/>
        <w:ind w:left="0" w:leftChars="0" w:firstLine="321" w:firstLineChars="100"/>
        <w:jc w:val="both"/>
        <w:rPr>
          <w:rFonts w:hint="eastAsia" w:ascii="仿宋_GB2312" w:hAnsi="仿宋" w:eastAsia="仿宋_GB2312"/>
          <w:b/>
          <w:w w:val="100"/>
          <w:sz w:val="32"/>
          <w:lang w:eastAsia="zh-CN"/>
        </w:rPr>
      </w:pPr>
      <w:r>
        <w:rPr>
          <w:rFonts w:hint="eastAsia" w:ascii="仿宋_GB2312" w:hAnsi="仿宋" w:eastAsia="仿宋_GB2312"/>
          <w:b/>
          <w:w w:val="100"/>
          <w:sz w:val="32"/>
          <w:lang w:eastAsia="zh-CN"/>
        </w:rPr>
        <w:t>3．支出按经济分类科目分析。</w:t>
      </w:r>
    </w:p>
    <w:p>
      <w:pPr>
        <w:autoSpaceDE/>
        <w:autoSpaceDN/>
        <w:snapToGrid w:val="0"/>
        <w:spacing w:before="0" w:after="0" w:line="520" w:lineRule="exact"/>
        <w:ind w:left="640" w:firstLine="640"/>
        <w:jc w:val="both"/>
        <w:rPr>
          <w:rFonts w:hint="eastAsia" w:ascii="仿宋_GB2312" w:hAnsi="仿宋" w:eastAsia="仿宋_GB2312"/>
          <w:w w:val="100"/>
          <w:sz w:val="32"/>
          <w:lang w:eastAsia="zh-CN"/>
        </w:rPr>
      </w:pPr>
    </w:p>
    <w:p>
      <w:pPr>
        <w:autoSpaceDE/>
        <w:autoSpaceDN/>
        <w:snapToGrid w:val="0"/>
        <w:spacing w:before="0" w:after="0" w:line="520" w:lineRule="exact"/>
        <w:ind w:left="0" w:leftChars="0" w:firstLine="0" w:firstLineChars="0"/>
        <w:jc w:val="both"/>
        <w:rPr>
          <w:rFonts w:hint="eastAsia" w:ascii="仿宋_GB2312" w:hAnsi="仿宋" w:eastAsia="仿宋_GB2312"/>
          <w:w w:val="100"/>
          <w:sz w:val="32"/>
          <w:lang w:eastAsia="zh-CN"/>
        </w:rPr>
      </w:pPr>
    </w:p>
    <w:p>
      <w:pPr>
        <w:numPr>
          <w:ilvl w:val="0"/>
          <w:numId w:val="1"/>
        </w:numPr>
        <w:autoSpaceDE/>
        <w:autoSpaceDN/>
        <w:snapToGrid w:val="0"/>
        <w:spacing w:before="0" w:after="0" w:line="520" w:lineRule="exact"/>
        <w:ind w:left="0" w:leftChars="0" w:firstLine="0" w:firstLineChars="0"/>
        <w:jc w:val="both"/>
        <w:rPr>
          <w:rFonts w:hint="eastAsia" w:ascii="仿宋_GB2312" w:hAnsi="仿宋" w:eastAsia="仿宋_GB2312"/>
          <w:w w:val="100"/>
          <w:sz w:val="32"/>
          <w:lang w:eastAsia="zh-CN"/>
        </w:rPr>
      </w:pPr>
      <w:r>
        <w:rPr>
          <w:rFonts w:hint="eastAsia" w:ascii="仿宋_GB2312" w:hAnsi="仿宋" w:eastAsia="仿宋_GB2312"/>
          <w:w w:val="100"/>
          <w:sz w:val="32"/>
          <w:lang w:eastAsia="zh-CN"/>
        </w:rPr>
        <w:t>“三公”经费支出情况：可进行上下年对比、预决算</w:t>
      </w:r>
    </w:p>
    <w:p>
      <w:pPr>
        <w:numPr>
          <w:ilvl w:val="0"/>
          <w:numId w:val="0"/>
        </w:numPr>
        <w:autoSpaceDE/>
        <w:autoSpaceDN/>
        <w:snapToGrid w:val="0"/>
        <w:spacing w:before="0" w:after="0" w:line="520" w:lineRule="exact"/>
        <w:ind w:leftChars="0"/>
        <w:jc w:val="both"/>
        <w:rPr>
          <w:rFonts w:hint="eastAsia" w:ascii="仿宋_GB2312" w:hAnsi="仿宋" w:eastAsia="仿宋_GB2312"/>
          <w:w w:val="100"/>
          <w:sz w:val="32"/>
          <w:lang w:eastAsia="zh-CN"/>
        </w:rPr>
      </w:pPr>
      <w:r>
        <w:rPr>
          <w:rFonts w:hint="eastAsia" w:ascii="仿宋_GB2312" w:hAnsi="仿宋" w:eastAsia="仿宋_GB2312"/>
          <w:w w:val="100"/>
          <w:sz w:val="32"/>
          <w:lang w:eastAsia="zh-CN"/>
        </w:rPr>
        <w:t>对比，人均支出情况分析（可做表、柱图、折线图）。</w:t>
      </w:r>
    </w:p>
    <w:p>
      <w:pPr>
        <w:autoSpaceDE/>
        <w:autoSpaceDN/>
        <w:snapToGrid w:val="0"/>
        <w:spacing w:before="0" w:after="0" w:line="520" w:lineRule="exact"/>
        <w:ind w:left="0" w:leftChars="0" w:firstLine="960" w:firstLineChars="300"/>
        <w:jc w:val="both"/>
        <w:rPr>
          <w:rFonts w:hint="eastAsia" w:ascii="仿宋_GB2312" w:hAnsi="仿宋" w:eastAsia="仿宋_GB2312"/>
          <w:w w:val="100"/>
          <w:sz w:val="32"/>
          <w:lang w:eastAsia="zh-CN"/>
        </w:rPr>
      </w:pPr>
    </w:p>
    <w:p>
      <w:pPr>
        <w:bidi w:val="0"/>
        <w:ind w:left="0" w:leftChars="0" w:firstLine="400" w:firstLineChars="200"/>
        <w:jc w:val="left"/>
        <w:rPr>
          <w:rFonts w:hint="default"/>
          <w:lang w:val="en-US" w:eastAsia="zh-CN"/>
        </w:rPr>
      </w:pPr>
      <w:r>
        <w:rPr>
          <w:rFonts w:hint="default"/>
          <w:lang w:val="en-US" w:eastAsia="zh-CN"/>
        </w:rPr>
        <w:drawing>
          <wp:inline distT="0" distB="0" distL="114300" distR="114300">
            <wp:extent cx="5267325" cy="917575"/>
            <wp:effectExtent l="0" t="0" r="5715" b="12065"/>
            <wp:docPr id="8" name="图片 8" descr="三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三公"/>
                    <pic:cNvPicPr>
                      <a:picLocks noChangeAspect="1"/>
                    </pic:cNvPicPr>
                  </pic:nvPicPr>
                  <pic:blipFill>
                    <a:blip r:embed="rId8"/>
                    <a:stretch>
                      <a:fillRect/>
                    </a:stretch>
                  </pic:blipFill>
                  <pic:spPr>
                    <a:xfrm>
                      <a:off x="0" y="0"/>
                      <a:ext cx="5267325" cy="917575"/>
                    </a:xfrm>
                    <a:prstGeom prst="rect">
                      <a:avLst/>
                    </a:prstGeom>
                  </pic:spPr>
                </pic:pic>
              </a:graphicData>
            </a:graphic>
          </wp:inline>
        </w:drawing>
      </w:r>
    </w:p>
    <w:p>
      <w:pPr>
        <w:autoSpaceDE/>
        <w:autoSpaceDN/>
        <w:snapToGrid w:val="0"/>
        <w:spacing w:before="0" w:after="0" w:line="520" w:lineRule="exact"/>
        <w:ind w:left="0" w:leftChars="0" w:firstLine="0" w:firstLineChars="0"/>
        <w:jc w:val="both"/>
        <w:rPr>
          <w:rFonts w:hint="eastAsia" w:ascii="仿宋_GB2312" w:hAnsi="仿宋" w:eastAsia="仿宋_GB2312"/>
          <w:w w:val="100"/>
          <w:sz w:val="32"/>
          <w:lang w:eastAsia="zh-CN"/>
        </w:rPr>
      </w:pPr>
      <w:r>
        <w:rPr>
          <w:rFonts w:hint="eastAsia" w:ascii="仿宋_GB2312" w:hAnsi="仿宋" w:eastAsia="仿宋_GB2312"/>
          <w:w w:val="100"/>
          <w:sz w:val="32"/>
          <w:lang w:eastAsia="zh-CN"/>
        </w:rPr>
        <w:t>（2）会议费支出情况：可进行上下年对比、预决算对比，人均支出情况分析（可做表、柱图、折线图）。</w:t>
      </w:r>
    </w:p>
    <w:p>
      <w:pPr>
        <w:autoSpaceDE/>
        <w:autoSpaceDN/>
        <w:snapToGrid w:val="0"/>
        <w:spacing w:before="0" w:after="0" w:line="520" w:lineRule="exact"/>
        <w:ind w:left="640" w:firstLine="640"/>
        <w:jc w:val="both"/>
        <w:rPr>
          <w:rFonts w:hint="eastAsia" w:ascii="仿宋_GB2312" w:hAnsi="仿宋" w:eastAsia="仿宋_GB2312"/>
          <w:w w:val="100"/>
          <w:sz w:val="32"/>
          <w:lang w:eastAsia="zh-CN"/>
        </w:rPr>
      </w:pPr>
      <w:r>
        <w:rPr>
          <w:rFonts w:ascii="仿宋_GB2312" w:hAnsi="仿宋" w:eastAsia="仿宋_GB2312"/>
          <w:w w:val="100"/>
          <w:sz w:val="32"/>
        </w:rPr>
        <w:t>无发生额</w:t>
      </w:r>
    </w:p>
    <w:p>
      <w:pPr>
        <w:numPr>
          <w:ilvl w:val="0"/>
          <w:numId w:val="1"/>
        </w:numPr>
        <w:autoSpaceDE/>
        <w:autoSpaceDN/>
        <w:snapToGrid w:val="0"/>
        <w:spacing w:before="0" w:after="0" w:line="520" w:lineRule="exact"/>
        <w:ind w:left="0" w:leftChars="0" w:firstLine="0" w:firstLineChars="0"/>
        <w:jc w:val="both"/>
        <w:rPr>
          <w:rFonts w:hint="eastAsia" w:ascii="仿宋_GB2312" w:hAnsi="仿宋" w:eastAsia="仿宋_GB2312"/>
          <w:w w:val="100"/>
          <w:sz w:val="32"/>
          <w:lang w:eastAsia="zh-CN"/>
        </w:rPr>
      </w:pPr>
      <w:r>
        <w:rPr>
          <w:rFonts w:hint="eastAsia" w:ascii="仿宋_GB2312" w:hAnsi="仿宋" w:eastAsia="仿宋_GB2312"/>
          <w:w w:val="100"/>
          <w:sz w:val="32"/>
          <w:lang w:eastAsia="zh-CN"/>
        </w:rPr>
        <w:t>培训费支出情况：可进行上下年对比、预决算对比，人均支出情况分析（可做表、柱图、折线图）。</w:t>
      </w:r>
    </w:p>
    <w:p>
      <w:pPr>
        <w:numPr>
          <w:ilvl w:val="0"/>
          <w:numId w:val="0"/>
        </w:numPr>
        <w:autoSpaceDE/>
        <w:autoSpaceDN/>
        <w:snapToGrid w:val="0"/>
        <w:spacing w:before="0" w:after="0" w:line="520" w:lineRule="exact"/>
        <w:ind w:leftChars="0" w:firstLine="1280" w:firstLineChars="400"/>
        <w:jc w:val="both"/>
        <w:rPr>
          <w:rFonts w:hint="default" w:ascii="仿宋_GB2312" w:hAnsi="仿宋" w:eastAsia="仿宋_GB2312"/>
          <w:w w:val="100"/>
          <w:sz w:val="32"/>
          <w:lang w:val="en-US" w:eastAsia="zh-CN"/>
        </w:rPr>
      </w:pPr>
      <w:r>
        <w:rPr>
          <w:rFonts w:hint="eastAsia" w:ascii="仿宋_GB2312" w:hAnsi="仿宋" w:eastAsia="仿宋_GB2312"/>
          <w:w w:val="100"/>
          <w:sz w:val="32"/>
          <w:lang w:val="en-US" w:eastAsia="zh-CN"/>
        </w:rPr>
        <w:t>无</w:t>
      </w:r>
    </w:p>
    <w:p>
      <w:pPr>
        <w:autoSpaceDE/>
        <w:autoSpaceDN/>
        <w:snapToGrid w:val="0"/>
        <w:spacing w:before="0" w:after="0" w:line="520" w:lineRule="exact"/>
        <w:ind w:left="0" w:leftChars="0" w:firstLine="0" w:firstLineChars="0"/>
        <w:jc w:val="both"/>
        <w:rPr>
          <w:rFonts w:hint="eastAsia" w:ascii="仿宋_GB2312" w:hAnsi="仿宋" w:eastAsia="仿宋_GB2312"/>
          <w:w w:val="100"/>
          <w:sz w:val="32"/>
          <w:lang w:eastAsia="zh-CN"/>
        </w:rPr>
      </w:pPr>
      <w:r>
        <w:rPr>
          <w:rFonts w:hint="eastAsia" w:ascii="仿宋_GB2312" w:hAnsi="仿宋" w:eastAsia="仿宋_GB2312"/>
          <w:w w:val="100"/>
          <w:sz w:val="32"/>
          <w:lang w:eastAsia="zh-CN"/>
        </w:rPr>
        <w:t>（4）其他对单位影响较大的支出情况。</w:t>
      </w:r>
    </w:p>
    <w:p>
      <w:pPr>
        <w:autoSpaceDE/>
        <w:autoSpaceDN/>
        <w:snapToGrid w:val="0"/>
        <w:spacing w:before="0" w:after="0" w:line="520" w:lineRule="exact"/>
        <w:ind w:left="640" w:firstLine="640"/>
        <w:jc w:val="both"/>
        <w:rPr>
          <w:rFonts w:hint="eastAsia" w:ascii="仿宋_GB2312" w:hAnsi="仿宋" w:eastAsia="仿宋_GB2312"/>
          <w:w w:val="100"/>
          <w:sz w:val="32"/>
          <w:lang w:eastAsia="zh-CN"/>
        </w:rPr>
      </w:pPr>
      <w:r>
        <w:rPr>
          <w:rFonts w:hint="eastAsia" w:ascii="仿宋_GB2312" w:hAnsi="仿宋" w:eastAsia="仿宋_GB2312"/>
          <w:w w:val="100"/>
          <w:sz w:val="32"/>
          <w:lang w:eastAsia="zh-CN"/>
        </w:rPr>
        <w:t>无</w:t>
      </w:r>
    </w:p>
    <w:p>
      <w:pPr>
        <w:autoSpaceDE/>
        <w:autoSpaceDN/>
        <w:snapToGrid w:val="0"/>
        <w:spacing w:before="0" w:after="0" w:line="520" w:lineRule="exact"/>
        <w:ind w:left="0" w:leftChars="0" w:firstLine="0" w:firstLineChars="0"/>
        <w:jc w:val="both"/>
        <w:rPr>
          <w:rFonts w:hint="eastAsia" w:ascii="仿宋_GB2312" w:hAnsi="仿宋" w:eastAsia="仿宋_GB2312"/>
          <w:w w:val="100"/>
          <w:sz w:val="32"/>
          <w:lang w:eastAsia="zh-CN"/>
        </w:rPr>
      </w:pPr>
      <w:r>
        <w:rPr>
          <w:rFonts w:hint="eastAsia" w:ascii="仿宋_GB2312" w:hAnsi="仿宋" w:eastAsia="仿宋_GB2312"/>
          <w:w w:val="100"/>
          <w:sz w:val="32"/>
          <w:lang w:eastAsia="zh-CN"/>
        </w:rPr>
        <w:t>（5）重点经济分类支出中存在的问题及改进措施。</w:t>
      </w:r>
    </w:p>
    <w:p>
      <w:pPr>
        <w:autoSpaceDE/>
        <w:autoSpaceDN/>
        <w:snapToGrid w:val="0"/>
        <w:spacing w:before="0" w:after="0" w:line="520" w:lineRule="exact"/>
        <w:ind w:left="640" w:firstLine="640"/>
        <w:jc w:val="both"/>
        <w:rPr>
          <w:rFonts w:hint="eastAsia" w:ascii="仿宋_GB2312" w:hAnsi="仿宋" w:eastAsia="仿宋_GB2312"/>
          <w:w w:val="100"/>
          <w:sz w:val="32"/>
          <w:lang w:eastAsia="zh-CN"/>
        </w:rPr>
      </w:pPr>
      <w:r>
        <w:rPr>
          <w:rFonts w:hint="eastAsia" w:ascii="仿宋_GB2312" w:hAnsi="仿宋" w:eastAsia="仿宋_GB2312"/>
          <w:w w:val="100"/>
          <w:sz w:val="32"/>
          <w:lang w:eastAsia="zh-CN"/>
        </w:rPr>
        <w:t>无</w:t>
      </w:r>
    </w:p>
    <w:p>
      <w:pPr>
        <w:autoSpaceDE/>
        <w:autoSpaceDN/>
        <w:snapToGrid w:val="0"/>
        <w:spacing w:before="0" w:after="0" w:line="520" w:lineRule="exact"/>
        <w:ind w:left="0" w:firstLine="0"/>
        <w:jc w:val="both"/>
        <w:rPr>
          <w:rFonts w:hint="eastAsia" w:ascii="仿宋_GB2312" w:hAnsi="仿宋" w:eastAsia="仿宋_GB2312"/>
          <w:b/>
          <w:w w:val="100"/>
          <w:sz w:val="32"/>
          <w:lang w:eastAsia="zh-CN"/>
        </w:rPr>
      </w:pPr>
      <w:r>
        <w:rPr>
          <w:rFonts w:hint="eastAsia" w:ascii="仿宋_GB2312" w:hAnsi="仿宋" w:eastAsia="仿宋_GB2312"/>
          <w:b/>
          <w:w w:val="100"/>
          <w:sz w:val="32"/>
          <w:lang w:eastAsia="zh-CN"/>
        </w:rPr>
        <w:t>4.财政拨款收入、支出分析。</w:t>
      </w:r>
    </w:p>
    <w:p>
      <w:pPr>
        <w:autoSpaceDE/>
        <w:autoSpaceDN/>
        <w:snapToGrid w:val="0"/>
        <w:spacing w:before="0" w:after="0" w:line="240" w:lineRule="auto"/>
        <w:ind w:left="0" w:firstLine="0"/>
        <w:jc w:val="both"/>
        <w:rPr>
          <w:rFonts w:hint="default" w:ascii="仿宋_GB2312" w:hAnsi="仿宋" w:eastAsia="仿宋_GB2312"/>
          <w:w w:val="100"/>
          <w:sz w:val="32"/>
          <w:lang w:val="en-US" w:eastAsia="zh-CN"/>
        </w:rPr>
      </w:pPr>
      <w:r>
        <w:rPr>
          <w:rFonts w:hint="default" w:ascii="仿宋_GB2312" w:hAnsi="仿宋" w:eastAsia="仿宋_GB2312"/>
          <w:w w:val="100"/>
          <w:sz w:val="32"/>
          <w:lang w:val="en-US" w:eastAsia="zh-CN"/>
        </w:rPr>
        <w:drawing>
          <wp:inline distT="0" distB="0" distL="114300" distR="114300">
            <wp:extent cx="5652135" cy="6147435"/>
            <wp:effectExtent l="0" t="0" r="1905" b="9525"/>
            <wp:docPr id="9" name="图片 9" descr="支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支出"/>
                    <pic:cNvPicPr>
                      <a:picLocks noChangeAspect="1"/>
                    </pic:cNvPicPr>
                  </pic:nvPicPr>
                  <pic:blipFill>
                    <a:blip r:embed="rId9"/>
                    <a:stretch>
                      <a:fillRect/>
                    </a:stretch>
                  </pic:blipFill>
                  <pic:spPr>
                    <a:xfrm>
                      <a:off x="0" y="0"/>
                      <a:ext cx="5652135" cy="6147435"/>
                    </a:xfrm>
                    <a:prstGeom prst="rect">
                      <a:avLst/>
                    </a:prstGeom>
                  </pic:spPr>
                </pic:pic>
              </a:graphicData>
            </a:graphic>
          </wp:inline>
        </w:drawing>
      </w:r>
    </w:p>
    <w:p>
      <w:pPr>
        <w:autoSpaceDE/>
        <w:autoSpaceDN/>
        <w:snapToGrid w:val="0"/>
        <w:spacing w:before="0" w:after="0" w:line="240" w:lineRule="auto"/>
        <w:ind w:left="0" w:firstLine="0"/>
        <w:jc w:val="both"/>
        <w:rPr>
          <w:rFonts w:hint="eastAsia" w:ascii="仿宋_GB2312" w:hAnsi="仿宋" w:eastAsia="仿宋_GB2312"/>
          <w:w w:val="100"/>
          <w:sz w:val="32"/>
          <w:lang w:eastAsia="zh-CN"/>
        </w:rPr>
      </w:pPr>
      <w:r>
        <w:rPr>
          <w:rFonts w:hint="eastAsia" w:ascii="仿宋_GB2312" w:hAnsi="仿宋" w:eastAsia="仿宋_GB2312"/>
          <w:w w:val="100"/>
          <w:sz w:val="32"/>
          <w:lang w:eastAsia="zh-CN"/>
        </w:rPr>
        <w:t>分析财政拨款收入、支出总体情况，支出要按照基本支出和项目支出分析具体构成及特点。</w:t>
      </w:r>
    </w:p>
    <w:p>
      <w:pPr>
        <w:autoSpaceDE/>
        <w:autoSpaceDN/>
        <w:snapToGrid w:val="0"/>
        <w:spacing w:before="0" w:after="0" w:line="240" w:lineRule="auto"/>
        <w:ind w:left="0" w:firstLine="0"/>
        <w:jc w:val="both"/>
        <w:rPr>
          <w:rFonts w:hint="eastAsia" w:ascii="仿宋_GB2312" w:hAnsi="仿宋" w:eastAsia="仿宋_GB2312"/>
          <w:w w:val="100"/>
          <w:sz w:val="32"/>
          <w:lang w:val="en-US" w:eastAsia="zh-CN"/>
        </w:rPr>
      </w:pPr>
      <w:r>
        <w:rPr>
          <w:rFonts w:hint="eastAsia" w:ascii="仿宋_GB2312" w:hAnsi="仿宋" w:eastAsia="仿宋_GB2312"/>
          <w:w w:val="100"/>
          <w:sz w:val="32"/>
          <w:lang w:eastAsia="zh-CN"/>
        </w:rPr>
        <w:t>如</w:t>
      </w:r>
      <w:r>
        <w:rPr>
          <w:rFonts w:hint="eastAsia" w:ascii="仿宋_GB2312" w:hAnsi="仿宋" w:eastAsia="仿宋_GB2312"/>
          <w:w w:val="100"/>
          <w:sz w:val="32"/>
          <w:lang w:val="en-US" w:eastAsia="zh-CN"/>
        </w:rPr>
        <w:t>上</w:t>
      </w:r>
      <w:r>
        <w:rPr>
          <w:rFonts w:hint="eastAsia" w:ascii="仿宋_GB2312" w:hAnsi="仿宋" w:eastAsia="仿宋_GB2312"/>
          <w:w w:val="100"/>
          <w:sz w:val="32"/>
          <w:lang w:eastAsia="zh-CN"/>
        </w:rPr>
        <w:t>图所示：本年支出</w:t>
      </w:r>
      <w:r>
        <w:rPr>
          <w:rFonts w:hint="eastAsia" w:ascii="仿宋_GB2312" w:hAnsi="仿宋" w:eastAsia="仿宋_GB2312"/>
          <w:w w:val="100"/>
          <w:sz w:val="32"/>
          <w:lang w:val="en-US" w:eastAsia="zh-CN"/>
        </w:rPr>
        <w:t>1188.66万元，其中基本支出1047.64万元，项目支出141.02万元，基本支出人员经费879.77万元，日常公用经费167.87万元；其他支出51万元。</w:t>
      </w:r>
    </w:p>
    <w:p>
      <w:pPr>
        <w:autoSpaceDE/>
        <w:autoSpaceDN/>
        <w:snapToGrid w:val="0"/>
        <w:spacing w:before="0" w:after="0" w:line="240" w:lineRule="auto"/>
        <w:ind w:left="0" w:leftChars="0" w:firstLine="0" w:firstLineChars="0"/>
        <w:jc w:val="both"/>
        <w:rPr>
          <w:rFonts w:hint="eastAsia" w:ascii="楷体_GB2312" w:hAnsi="仿宋" w:eastAsia="楷体_GB2312"/>
          <w:b/>
          <w:w w:val="100"/>
          <w:sz w:val="32"/>
          <w:lang w:eastAsia="zh-CN"/>
        </w:rPr>
      </w:pPr>
      <w:r>
        <w:rPr>
          <w:rFonts w:hint="eastAsia" w:ascii="楷体_GB2312" w:hAnsi="仿宋" w:eastAsia="楷体_GB2312"/>
          <w:b/>
          <w:w w:val="100"/>
          <w:sz w:val="32"/>
          <w:lang w:eastAsia="zh-CN"/>
        </w:rPr>
        <w:t>（三）年末结转和结余情况。</w:t>
      </w:r>
    </w:p>
    <w:p>
      <w:pPr>
        <w:autoSpaceDE/>
        <w:autoSpaceDN/>
        <w:snapToGrid w:val="0"/>
        <w:spacing w:before="0" w:after="0" w:line="240" w:lineRule="auto"/>
        <w:ind w:left="0" w:firstLine="0"/>
        <w:jc w:val="both"/>
        <w:rPr>
          <w:rFonts w:hint="eastAsia" w:ascii="仿宋_GB2312" w:hAnsi="仿宋" w:eastAsia="仿宋_GB2312"/>
          <w:w w:val="100"/>
          <w:sz w:val="32"/>
          <w:lang w:eastAsia="zh-CN"/>
        </w:rPr>
      </w:pPr>
      <w:r>
        <w:rPr>
          <w:rFonts w:hint="eastAsia" w:ascii="仿宋_GB2312" w:hAnsi="仿宋" w:eastAsia="仿宋_GB2312"/>
          <w:w w:val="100"/>
          <w:sz w:val="32"/>
          <w:lang w:eastAsia="zh-CN"/>
        </w:rPr>
        <w:t>1．分资金来源、资金性质结转和结余情况，特别是项目经费结转和结余情况。</w:t>
      </w:r>
    </w:p>
    <w:p>
      <w:pPr>
        <w:tabs>
          <w:tab w:val="left" w:pos="289"/>
        </w:tabs>
        <w:autoSpaceDE/>
        <w:autoSpaceDN/>
        <w:snapToGrid w:val="0"/>
        <w:spacing w:before="0" w:after="0" w:line="240" w:lineRule="auto"/>
        <w:ind w:left="0" w:firstLine="0"/>
        <w:jc w:val="both"/>
        <w:rPr>
          <w:rFonts w:hint="eastAsia" w:ascii="仿宋_GB2312" w:hAnsi="仿宋" w:eastAsia="仿宋_GB2312"/>
          <w:w w:val="100"/>
          <w:sz w:val="32"/>
          <w:lang w:eastAsia="zh-CN"/>
        </w:rPr>
      </w:pPr>
      <w:r>
        <w:rPr>
          <w:rFonts w:hint="eastAsia" w:ascii="仿宋_GB2312" w:hAnsi="仿宋" w:eastAsia="仿宋_GB2312"/>
          <w:w w:val="100"/>
          <w:sz w:val="32"/>
          <w:lang w:eastAsia="zh-CN"/>
        </w:rPr>
        <w:tab/>
      </w:r>
      <w:r>
        <w:rPr>
          <w:rFonts w:hint="eastAsia" w:ascii="仿宋_GB2312" w:hAnsi="仿宋" w:eastAsia="仿宋_GB2312"/>
          <w:w w:val="100"/>
          <w:sz w:val="32"/>
          <w:lang w:eastAsia="zh-CN"/>
        </w:rPr>
        <w:drawing>
          <wp:inline distT="0" distB="0" distL="114300" distR="114300">
            <wp:extent cx="5269865" cy="3103880"/>
            <wp:effectExtent l="0" t="0" r="3175" b="5080"/>
            <wp:docPr id="11" name="图片 11" descr="结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结转"/>
                    <pic:cNvPicPr>
                      <a:picLocks noChangeAspect="1"/>
                    </pic:cNvPicPr>
                  </pic:nvPicPr>
                  <pic:blipFill>
                    <a:blip r:embed="rId10"/>
                    <a:stretch>
                      <a:fillRect/>
                    </a:stretch>
                  </pic:blipFill>
                  <pic:spPr>
                    <a:xfrm>
                      <a:off x="0" y="0"/>
                      <a:ext cx="5269865" cy="3103880"/>
                    </a:xfrm>
                    <a:prstGeom prst="rect">
                      <a:avLst/>
                    </a:prstGeom>
                  </pic:spPr>
                </pic:pic>
              </a:graphicData>
            </a:graphic>
          </wp:inline>
        </w:drawing>
      </w:r>
    </w:p>
    <w:p>
      <w:pPr>
        <w:autoSpaceDE/>
        <w:autoSpaceDN/>
        <w:snapToGrid w:val="0"/>
        <w:spacing w:before="0" w:after="0" w:line="240" w:lineRule="auto"/>
        <w:ind w:left="0" w:leftChars="0" w:firstLine="0" w:firstLineChars="0"/>
        <w:jc w:val="both"/>
        <w:rPr>
          <w:rFonts w:hint="eastAsia" w:ascii="仿宋_GB2312" w:hAnsi="仿宋" w:eastAsia="仿宋_GB2312"/>
          <w:w w:val="100"/>
          <w:sz w:val="32"/>
          <w:lang w:eastAsia="zh-CN"/>
        </w:rPr>
      </w:pPr>
      <w:r>
        <w:rPr>
          <w:rFonts w:hint="eastAsia" w:ascii="仿宋_GB2312" w:hAnsi="仿宋" w:eastAsia="仿宋_GB2312"/>
          <w:w w:val="100"/>
          <w:sz w:val="32"/>
          <w:lang w:eastAsia="zh-CN"/>
        </w:rPr>
        <w:t>2．结转和结余规模较大的原因分析及消化结转和结余的对策。</w:t>
      </w:r>
    </w:p>
    <w:p>
      <w:pPr>
        <w:autoSpaceDE/>
        <w:autoSpaceDN/>
        <w:snapToGrid w:val="0"/>
        <w:spacing w:before="0" w:after="0" w:line="240" w:lineRule="auto"/>
        <w:ind w:left="0" w:firstLine="0" w:firstLineChars="0"/>
        <w:jc w:val="both"/>
        <w:rPr>
          <w:rFonts w:hint="eastAsia" w:ascii="仿宋_GB2312" w:hAnsi="仿宋" w:eastAsia="仿宋_GB2312"/>
          <w:w w:val="100"/>
          <w:sz w:val="32"/>
          <w:lang w:eastAsia="zh-CN"/>
        </w:rPr>
      </w:pPr>
      <w:r>
        <w:rPr>
          <w:rFonts w:ascii="仿宋_GB2312" w:hAnsi="仿宋" w:eastAsia="仿宋_GB2312"/>
          <w:w w:val="100"/>
          <w:sz w:val="32"/>
        </w:rPr>
        <w:t>拨款时间接近年底资金尚未及时支付，下年初及时支付结转结余资金。</w:t>
      </w:r>
    </w:p>
    <w:p>
      <w:pPr>
        <w:autoSpaceDE/>
        <w:autoSpaceDN/>
        <w:snapToGrid w:val="0"/>
        <w:spacing w:before="0" w:after="0" w:line="240" w:lineRule="auto"/>
        <w:ind w:left="0" w:firstLine="0" w:firstLineChars="0"/>
        <w:jc w:val="both"/>
        <w:rPr>
          <w:rFonts w:hint="eastAsia" w:ascii="楷体_GB2312" w:hAnsi="仿宋" w:eastAsia="楷体_GB2312"/>
          <w:b/>
          <w:w w:val="100"/>
          <w:sz w:val="32"/>
          <w:lang w:eastAsia="zh-CN"/>
        </w:rPr>
      </w:pPr>
      <w:r>
        <w:rPr>
          <w:rFonts w:hint="eastAsia" w:ascii="楷体_GB2312" w:hAnsi="仿宋" w:eastAsia="楷体_GB2312"/>
          <w:b/>
          <w:w w:val="100"/>
          <w:sz w:val="32"/>
          <w:lang w:eastAsia="zh-CN"/>
        </w:rPr>
        <w:t>（四）与预算支出相关的其他指标分析。</w:t>
      </w:r>
    </w:p>
    <w:p>
      <w:pPr>
        <w:autoSpaceDE/>
        <w:autoSpaceDN/>
        <w:snapToGrid w:val="0"/>
        <w:spacing w:before="0" w:after="0" w:line="240" w:lineRule="auto"/>
        <w:ind w:left="0" w:firstLine="0" w:firstLineChars="0"/>
        <w:jc w:val="both"/>
        <w:rPr>
          <w:rFonts w:hint="eastAsia" w:ascii="仿宋_GB2312" w:hAnsi="仿宋" w:eastAsia="仿宋_GB2312"/>
          <w:w w:val="100"/>
          <w:sz w:val="32"/>
          <w:lang w:eastAsia="zh-CN"/>
        </w:rPr>
      </w:pPr>
      <w:r>
        <w:rPr>
          <w:rFonts w:hint="eastAsia" w:ascii="仿宋_GB2312" w:hAnsi="仿宋" w:eastAsia="仿宋_GB2312"/>
          <w:w w:val="100"/>
          <w:sz w:val="32"/>
          <w:lang w:eastAsia="zh-CN"/>
        </w:rPr>
        <w:t>对资产、负债信息进行分析，主要分析与上年度对比情况，包括增减绝对值与幅度，增减变动主要原因(可用柱形图或折线图)，对预算编制和执行的影响等。</w:t>
      </w:r>
    </w:p>
    <w:p>
      <w:pPr>
        <w:autoSpaceDE/>
        <w:autoSpaceDN/>
        <w:snapToGrid w:val="0"/>
        <w:spacing w:before="0" w:after="0" w:line="520" w:lineRule="exact"/>
        <w:ind w:left="640" w:firstLine="640"/>
        <w:jc w:val="both"/>
        <w:rPr>
          <w:rFonts w:hint="eastAsia" w:ascii="仿宋_GB2312" w:hAnsi="仿宋" w:eastAsia="仿宋_GB2312"/>
          <w:w w:val="100"/>
          <w:sz w:val="32"/>
          <w:lang w:eastAsia="zh-CN"/>
        </w:rPr>
      </w:pPr>
    </w:p>
    <w:p>
      <w:pPr>
        <w:autoSpaceDE/>
        <w:autoSpaceDN/>
        <w:snapToGrid w:val="0"/>
        <w:spacing w:before="0" w:after="0" w:line="240" w:lineRule="auto"/>
        <w:ind w:left="0" w:firstLine="0"/>
        <w:jc w:val="both"/>
        <w:rPr>
          <w:rFonts w:hint="eastAsia" w:ascii="仿宋_GB2312" w:hAnsi="仿宋" w:eastAsia="仿宋_GB2312"/>
          <w:w w:val="100"/>
          <w:sz w:val="32"/>
          <w:lang w:eastAsia="zh-CN"/>
        </w:rPr>
      </w:pPr>
      <w:r>
        <w:rPr>
          <w:rFonts w:hint="eastAsia" w:ascii="仿宋_GB2312" w:hAnsi="仿宋" w:eastAsia="仿宋_GB2312"/>
          <w:w w:val="100"/>
          <w:sz w:val="32"/>
          <w:lang w:eastAsia="zh-CN"/>
        </w:rPr>
        <w:drawing>
          <wp:inline distT="0" distB="0" distL="114300" distR="114300">
            <wp:extent cx="5290185" cy="1363345"/>
            <wp:effectExtent l="0" t="0" r="13335" b="8255"/>
            <wp:docPr id="12" name="图片 12" descr="资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资产"/>
                    <pic:cNvPicPr>
                      <a:picLocks noChangeAspect="1"/>
                    </pic:cNvPicPr>
                  </pic:nvPicPr>
                  <pic:blipFill>
                    <a:blip r:embed="rId11"/>
                    <a:stretch>
                      <a:fillRect/>
                    </a:stretch>
                  </pic:blipFill>
                  <pic:spPr>
                    <a:xfrm>
                      <a:off x="0" y="0"/>
                      <a:ext cx="5290185" cy="1363345"/>
                    </a:xfrm>
                    <a:prstGeom prst="rect">
                      <a:avLst/>
                    </a:prstGeom>
                  </pic:spPr>
                </pic:pic>
              </a:graphicData>
            </a:graphic>
          </wp:inline>
        </w:drawing>
      </w:r>
    </w:p>
    <w:p>
      <w:pPr>
        <w:bidi w:val="0"/>
        <w:ind w:left="0" w:leftChars="0" w:firstLine="400" w:firstLineChars="200"/>
        <w:jc w:val="left"/>
        <w:rPr>
          <w:rFonts w:hint="default"/>
          <w:lang w:val="en-US" w:eastAsia="zh-CN"/>
        </w:rPr>
      </w:pPr>
    </w:p>
    <w:p>
      <w:pPr>
        <w:bidi w:val="0"/>
        <w:rPr>
          <w:rFonts w:hint="default" w:ascii="Times New Roman" w:hAnsi="Times New Roman" w:eastAsia="宋体" w:cs="Times New Roman"/>
          <w:lang w:val="en-US" w:eastAsia="zh-CN"/>
        </w:rPr>
      </w:pPr>
    </w:p>
    <w:p>
      <w:pPr>
        <w:bidi w:val="0"/>
        <w:rPr>
          <w:rFonts w:hint="default"/>
          <w:lang w:val="en-US" w:eastAsia="zh-CN"/>
        </w:rPr>
      </w:pPr>
    </w:p>
    <w:p>
      <w:pPr>
        <w:numPr>
          <w:ilvl w:val="0"/>
          <w:numId w:val="2"/>
        </w:numPr>
        <w:autoSpaceDE/>
        <w:autoSpaceDN/>
        <w:snapToGrid w:val="0"/>
        <w:spacing w:before="0" w:after="0" w:afterAutospacing="0" w:line="240" w:lineRule="auto"/>
        <w:ind w:left="0" w:leftChars="0" w:firstLine="0" w:firstLineChars="0"/>
        <w:jc w:val="both"/>
        <w:rPr>
          <w:rFonts w:hint="eastAsia" w:ascii="楷体_GB2312" w:hAnsi="仿宋" w:eastAsia="楷体_GB2312"/>
          <w:b/>
          <w:w w:val="100"/>
          <w:sz w:val="32"/>
          <w:lang w:eastAsia="zh-CN"/>
        </w:rPr>
      </w:pPr>
      <w:r>
        <w:rPr>
          <w:rFonts w:hint="eastAsia" w:ascii="楷体_GB2312" w:hAnsi="仿宋" w:eastAsia="楷体_GB2312"/>
          <w:b/>
          <w:w w:val="100"/>
          <w:sz w:val="32"/>
          <w:lang w:eastAsia="zh-CN"/>
        </w:rPr>
        <w:t>绩效目标完成情况。</w:t>
      </w:r>
    </w:p>
    <w:p>
      <w:pPr>
        <w:autoSpaceDE/>
        <w:autoSpaceDN/>
        <w:snapToGrid w:val="0"/>
        <w:spacing w:before="0" w:beforeAutospacing="0" w:after="0" w:line="240" w:lineRule="auto"/>
        <w:ind w:left="0" w:firstLine="0"/>
        <w:jc w:val="both"/>
        <w:rPr>
          <w:rFonts w:hint="eastAsia" w:ascii="仿宋_GB2312" w:hAnsi="仿宋" w:eastAsia="仿宋_GB2312"/>
          <w:w w:val="100"/>
          <w:sz w:val="32"/>
          <w:lang w:eastAsia="zh-CN"/>
        </w:rPr>
      </w:pPr>
      <w:r>
        <w:rPr>
          <w:rFonts w:hint="eastAsia" w:ascii="仿宋_GB2312" w:hAnsi="仿宋" w:eastAsia="仿宋_GB2312"/>
          <w:w w:val="100"/>
          <w:sz w:val="32"/>
          <w:lang w:eastAsia="zh-CN"/>
        </w:rPr>
        <w:t>1.概述项目绩效目标完成情况。</w:t>
      </w:r>
    </w:p>
    <w:p>
      <w:pPr>
        <w:autoSpaceDE/>
        <w:autoSpaceDN/>
        <w:snapToGrid w:val="0"/>
        <w:spacing w:before="0" w:after="0" w:line="240" w:lineRule="auto"/>
        <w:ind w:left="0" w:firstLine="0"/>
        <w:jc w:val="both"/>
        <w:rPr>
          <w:rFonts w:hint="eastAsia" w:ascii="仿宋_GB2312" w:hAnsi="仿宋" w:eastAsia="仿宋_GB2312"/>
          <w:w w:val="100"/>
          <w:sz w:val="32"/>
          <w:lang w:eastAsia="zh-CN"/>
        </w:rPr>
      </w:pPr>
      <w:r>
        <w:rPr>
          <w:rFonts w:hint="eastAsia" w:ascii="仿宋_GB2312" w:hAnsi="仿宋" w:eastAsia="仿宋_GB2312"/>
          <w:w w:val="100"/>
          <w:sz w:val="32"/>
          <w:lang w:eastAsia="zh-CN"/>
        </w:rPr>
        <w:t>2.概述本单位整体支出绩效目标实现情况（如有）。</w:t>
      </w:r>
    </w:p>
    <w:p>
      <w:pPr>
        <w:autoSpaceDE/>
        <w:autoSpaceDN/>
        <w:snapToGrid w:val="0"/>
        <w:spacing w:before="0" w:after="0" w:line="240" w:lineRule="auto"/>
        <w:ind w:left="0" w:firstLine="0"/>
        <w:jc w:val="both"/>
        <w:rPr>
          <w:rFonts w:hint="eastAsia" w:ascii="楷体_GB2312" w:hAnsi="仿宋" w:eastAsia="楷体_GB2312"/>
          <w:b/>
          <w:w w:val="100"/>
          <w:sz w:val="32"/>
          <w:lang w:eastAsia="zh-CN"/>
        </w:rPr>
      </w:pPr>
      <w:r>
        <w:rPr>
          <w:rFonts w:hint="eastAsia" w:ascii="楷体_GB2312" w:hAnsi="仿宋" w:eastAsia="楷体_GB2312"/>
          <w:b/>
          <w:w w:val="100"/>
          <w:sz w:val="32"/>
          <w:lang w:eastAsia="zh-CN"/>
        </w:rPr>
        <w:t>（六）当年预算执行及绩效管理中存在问题、原因及改进措施。</w:t>
      </w:r>
    </w:p>
    <w:p>
      <w:pPr>
        <w:autoSpaceDE/>
        <w:autoSpaceDN/>
        <w:snapToGrid w:val="0"/>
        <w:spacing w:before="0" w:after="0" w:line="240" w:lineRule="auto"/>
        <w:ind w:left="0" w:firstLine="0"/>
        <w:jc w:val="both"/>
        <w:rPr>
          <w:rFonts w:hint="eastAsia" w:ascii="黑体" w:hAnsi="黑体" w:eastAsia="黑体"/>
          <w:w w:val="100"/>
          <w:sz w:val="32"/>
          <w:lang w:eastAsia="zh-CN"/>
        </w:rPr>
      </w:pPr>
      <w:bookmarkStart w:id="1" w:name="YS060104"/>
    </w:p>
    <w:p>
      <w:pPr>
        <w:autoSpaceDE/>
        <w:autoSpaceDN/>
        <w:snapToGrid w:val="0"/>
        <w:spacing w:before="0" w:after="0" w:line="240" w:lineRule="auto"/>
        <w:ind w:left="0" w:firstLine="0"/>
        <w:jc w:val="both"/>
        <w:rPr>
          <w:rFonts w:hint="eastAsia" w:ascii="黑体" w:hAnsi="黑体" w:eastAsia="黑体"/>
          <w:w w:val="100"/>
          <w:sz w:val="32"/>
          <w:lang w:eastAsia="zh-CN"/>
        </w:rPr>
      </w:pPr>
      <w:r>
        <w:rPr>
          <w:rFonts w:hint="eastAsia" w:ascii="黑体" w:hAnsi="黑体" w:eastAsia="黑体"/>
          <w:w w:val="100"/>
          <w:sz w:val="32"/>
          <w:lang w:eastAsia="zh-CN"/>
        </w:rPr>
        <w:t>三、本年度部门决算等财务工作开展情况</w:t>
      </w:r>
      <w:bookmarkEnd w:id="1"/>
    </w:p>
    <w:p>
      <w:pPr>
        <w:autoSpaceDE/>
        <w:autoSpaceDN/>
        <w:snapToGrid w:val="0"/>
        <w:spacing w:before="0" w:after="0" w:line="240" w:lineRule="auto"/>
        <w:ind w:left="0" w:firstLine="0"/>
        <w:jc w:val="both"/>
        <w:rPr>
          <w:rFonts w:hint="eastAsia" w:ascii="仿宋_GB2312" w:hAnsi="仿宋" w:eastAsia="仿宋_GB2312"/>
          <w:w w:val="100"/>
          <w:sz w:val="32"/>
          <w:lang w:eastAsia="zh-CN"/>
        </w:rPr>
      </w:pPr>
    </w:p>
    <w:p>
      <w:pPr>
        <w:autoSpaceDE/>
        <w:autoSpaceDN/>
        <w:snapToGrid w:val="0"/>
        <w:spacing w:before="0" w:after="0" w:line="240" w:lineRule="auto"/>
        <w:ind w:left="0" w:firstLine="0"/>
        <w:jc w:val="both"/>
        <w:rPr>
          <w:rFonts w:hint="eastAsia" w:ascii="仿宋_GB2312" w:hAnsi="仿宋" w:eastAsia="仿宋_GB2312"/>
          <w:w w:val="100"/>
          <w:sz w:val="32"/>
          <w:lang w:eastAsia="zh-CN"/>
        </w:rPr>
      </w:pPr>
      <w:r>
        <w:rPr>
          <w:rFonts w:hint="eastAsia" w:ascii="仿宋_GB2312" w:hAnsi="仿宋" w:eastAsia="仿宋_GB2312"/>
          <w:w w:val="100"/>
          <w:sz w:val="32"/>
          <w:lang w:eastAsia="zh-CN"/>
        </w:rPr>
        <w:t>（一）本单位财务管理、绩效管理、决算组织、编报、审核情况。</w:t>
      </w:r>
    </w:p>
    <w:p>
      <w:pPr>
        <w:autoSpaceDE/>
        <w:autoSpaceDN/>
        <w:snapToGrid w:val="0"/>
        <w:spacing w:before="0" w:after="0" w:line="240" w:lineRule="auto"/>
        <w:ind w:left="0" w:firstLine="0"/>
        <w:jc w:val="both"/>
        <w:rPr>
          <w:rFonts w:hint="eastAsia" w:ascii="仿宋_GB2312" w:hAnsi="仿宋" w:eastAsia="仿宋_GB2312"/>
          <w:w w:val="100"/>
          <w:sz w:val="32"/>
          <w:lang w:eastAsia="zh-CN"/>
        </w:rPr>
      </w:pPr>
      <w:r>
        <w:rPr>
          <w:rFonts w:hint="eastAsia" w:ascii="仿宋_GB2312" w:hAnsi="仿宋" w:eastAsia="仿宋_GB2312"/>
          <w:w w:val="100"/>
          <w:sz w:val="32"/>
          <w:lang w:eastAsia="zh-CN"/>
        </w:rPr>
        <w:t>（二）本单位决算及绩效信息公开工作开展情况。</w:t>
      </w:r>
    </w:p>
    <w:p>
      <w:pPr>
        <w:autoSpaceDE/>
        <w:autoSpaceDN/>
        <w:snapToGrid w:val="0"/>
        <w:spacing w:before="0" w:after="0" w:line="240" w:lineRule="auto"/>
        <w:ind w:left="0" w:firstLine="0"/>
        <w:jc w:val="both"/>
        <w:rPr>
          <w:rFonts w:hint="eastAsia" w:ascii="仿宋_GB2312" w:hAnsi="仿宋" w:eastAsia="仿宋_GB2312"/>
          <w:w w:val="100"/>
          <w:sz w:val="32"/>
          <w:lang w:eastAsia="zh-CN"/>
        </w:rPr>
      </w:pPr>
      <w:r>
        <w:rPr>
          <w:rFonts w:hint="eastAsia" w:ascii="仿宋_GB2312" w:hAnsi="仿宋" w:eastAsia="仿宋_GB2312"/>
          <w:w w:val="100"/>
          <w:sz w:val="32"/>
          <w:lang w:eastAsia="zh-CN"/>
        </w:rPr>
        <w:t>（三）对单位决算管理及报表设计的意见建议。</w:t>
      </w:r>
    </w:p>
    <w:p>
      <w:pPr>
        <w:autoSpaceDE/>
        <w:autoSpaceDN/>
        <w:snapToGrid w:val="0"/>
        <w:spacing w:before="0" w:after="0" w:line="240" w:lineRule="auto"/>
        <w:ind w:left="0" w:firstLine="0"/>
        <w:jc w:val="both"/>
        <w:rPr>
          <w:rFonts w:hint="eastAsia" w:ascii="仿宋_GB2312" w:hAnsi="仿宋" w:eastAsia="仿宋_GB2312"/>
          <w:w w:val="100"/>
          <w:sz w:val="32"/>
          <w:lang w:eastAsia="zh-CN"/>
        </w:rPr>
      </w:pPr>
      <w:r>
        <w:rPr>
          <w:rFonts w:hint="eastAsia" w:ascii="仿宋_GB2312" w:hAnsi="仿宋" w:eastAsia="仿宋_GB2312"/>
          <w:w w:val="100"/>
          <w:sz w:val="32"/>
          <w:lang w:eastAsia="zh-CN"/>
        </w:rPr>
        <w:t>（四）对加强部门决算数据分析利用工作的建议。</w:t>
      </w:r>
    </w:p>
    <w:p>
      <w:pPr>
        <w:autoSpaceDE/>
        <w:autoSpaceDN/>
        <w:snapToGrid w:val="0"/>
        <w:spacing w:before="0" w:after="0" w:line="240" w:lineRule="auto"/>
        <w:ind w:left="0" w:firstLine="0"/>
        <w:jc w:val="both"/>
        <w:rPr>
          <w:rFonts w:hint="eastAsia" w:ascii="仿宋_GB2312" w:hAnsi="仿宋" w:eastAsia="仿宋_GB2312"/>
          <w:w w:val="100"/>
          <w:sz w:val="32"/>
          <w:lang w:eastAsia="zh-CN"/>
        </w:rPr>
      </w:pPr>
    </w:p>
    <w:p>
      <w:pPr>
        <w:autoSpaceDE/>
        <w:autoSpaceDN/>
        <w:snapToGrid w:val="0"/>
        <w:spacing w:before="0" w:after="0" w:line="240" w:lineRule="auto"/>
        <w:ind w:left="0" w:firstLine="0"/>
        <w:jc w:val="both"/>
        <w:rPr>
          <w:rFonts w:hint="eastAsia" w:ascii="仿宋_GB2312" w:hAnsi="仿宋" w:eastAsia="仿宋_GB2312"/>
          <w:w w:val="100"/>
          <w:sz w:val="32"/>
          <w:lang w:eastAsia="zh-CN"/>
        </w:rPr>
      </w:pPr>
    </w:p>
    <w:p>
      <w:pPr>
        <w:autoSpaceDE/>
        <w:autoSpaceDN/>
        <w:snapToGrid w:val="0"/>
        <w:spacing w:before="0" w:after="0" w:line="240" w:lineRule="auto"/>
        <w:ind w:left="0" w:firstLine="0"/>
        <w:jc w:val="both"/>
        <w:rPr>
          <w:rFonts w:hint="eastAsia" w:ascii="仿宋_GB2312" w:hAnsi="仿宋" w:eastAsia="仿宋_GB2312"/>
          <w:w w:val="100"/>
          <w:sz w:val="32"/>
          <w:lang w:eastAsia="zh-CN"/>
        </w:rPr>
      </w:pPr>
    </w:p>
    <w:p>
      <w:pPr>
        <w:autoSpaceDE/>
        <w:autoSpaceDN/>
        <w:snapToGrid w:val="0"/>
        <w:spacing w:before="0" w:after="0" w:line="240" w:lineRule="auto"/>
        <w:ind w:left="0" w:firstLine="0"/>
        <w:jc w:val="both"/>
        <w:rPr>
          <w:rFonts w:hint="eastAsia" w:ascii="仿宋_GB2312" w:hAnsi="仿宋" w:eastAsia="仿宋_GB2312"/>
          <w:w w:val="100"/>
          <w:sz w:val="32"/>
          <w:lang w:eastAsia="zh-CN"/>
        </w:rPr>
      </w:pPr>
    </w:p>
    <w:p>
      <w:pPr>
        <w:autoSpaceDE/>
        <w:autoSpaceDN/>
        <w:snapToGrid w:val="0"/>
        <w:spacing w:before="0" w:after="0" w:line="240" w:lineRule="auto"/>
        <w:ind w:left="0" w:firstLine="0"/>
        <w:jc w:val="both"/>
        <w:rPr>
          <w:rFonts w:hint="eastAsia" w:ascii="仿宋_GB2312" w:hAnsi="仿宋" w:eastAsia="仿宋_GB2312"/>
          <w:w w:val="100"/>
          <w:sz w:val="32"/>
          <w:lang w:eastAsia="zh-CN"/>
        </w:rPr>
      </w:pPr>
    </w:p>
    <w:p>
      <w:pPr>
        <w:autoSpaceDE/>
        <w:autoSpaceDN/>
        <w:snapToGrid w:val="0"/>
        <w:spacing w:before="0" w:after="0" w:line="240" w:lineRule="auto"/>
        <w:ind w:left="0" w:firstLine="0"/>
        <w:jc w:val="both"/>
        <w:rPr>
          <w:rFonts w:hint="eastAsia" w:ascii="仿宋_GB2312" w:hAnsi="仿宋" w:eastAsia="仿宋_GB2312"/>
          <w:w w:val="100"/>
          <w:sz w:val="32"/>
          <w:lang w:eastAsia="zh-CN"/>
        </w:rPr>
      </w:pPr>
      <w:r>
        <w:rPr>
          <w:rFonts w:hint="eastAsia" w:ascii="仿宋_GB2312" w:hAnsi="仿宋" w:eastAsia="仿宋_GB2312"/>
          <w:w w:val="100"/>
          <w:sz w:val="32"/>
          <w:lang w:eastAsia="zh-CN"/>
        </w:rPr>
        <w:t>注：收入支出预算执行情况分析可参考部门决算分析评价表（见软件查询模板）及行政事业单位财务分析指标（附后）。</w:t>
      </w:r>
    </w:p>
    <w:p>
      <w:pPr>
        <w:autoSpaceDE/>
        <w:autoSpaceDN/>
        <w:snapToGrid w:val="0"/>
        <w:spacing w:before="0" w:after="0" w:line="240" w:lineRule="auto"/>
        <w:ind w:left="0" w:firstLine="0"/>
        <w:jc w:val="both"/>
        <w:rPr>
          <w:rFonts w:hint="eastAsia" w:ascii="仿宋_GB2312" w:hAnsi="仿宋" w:eastAsia="仿宋_GB2312"/>
          <w:w w:val="100"/>
          <w:sz w:val="32"/>
          <w:lang w:eastAsia="zh-CN"/>
        </w:rPr>
      </w:pPr>
      <w:r>
        <w:br w:type="page"/>
      </w:r>
      <w:r>
        <w:rPr>
          <w:rFonts w:hint="eastAsia" w:ascii="仿宋_GB2312" w:hAnsi="仿宋" w:eastAsia="仿宋_GB2312"/>
          <w:w w:val="100"/>
          <w:sz w:val="32"/>
          <w:lang w:eastAsia="zh-CN"/>
        </w:rPr>
        <w:t>附：</w:t>
      </w:r>
    </w:p>
    <w:p>
      <w:pPr>
        <w:autoSpaceDE/>
        <w:autoSpaceDN/>
        <w:snapToGrid w:val="0"/>
        <w:spacing w:before="0" w:after="0" w:line="240" w:lineRule="auto"/>
        <w:ind w:left="640" w:firstLine="640"/>
        <w:jc w:val="center"/>
        <w:rPr>
          <w:rFonts w:hint="eastAsia" w:ascii="华文中宋" w:hAnsi="华文中宋" w:eastAsia="华文中宋"/>
          <w:w w:val="100"/>
          <w:sz w:val="32"/>
          <w:lang w:eastAsia="zh-CN"/>
        </w:rPr>
      </w:pPr>
      <w:bookmarkStart w:id="2" w:name="YS060200"/>
    </w:p>
    <w:p>
      <w:pPr>
        <w:autoSpaceDE/>
        <w:autoSpaceDN/>
        <w:snapToGrid w:val="0"/>
        <w:spacing w:before="0" w:after="0" w:line="240" w:lineRule="auto"/>
        <w:ind w:left="640" w:firstLine="640"/>
        <w:jc w:val="center"/>
        <w:rPr>
          <w:rFonts w:hint="eastAsia" w:ascii="华文中宋" w:hAnsi="华文中宋" w:eastAsia="华文中宋"/>
          <w:w w:val="100"/>
          <w:sz w:val="32"/>
          <w:lang w:eastAsia="zh-CN"/>
        </w:rPr>
      </w:pPr>
      <w:r>
        <w:rPr>
          <w:rFonts w:hint="eastAsia" w:ascii="华文中宋" w:hAnsi="华文中宋" w:eastAsia="华文中宋"/>
          <w:w w:val="100"/>
          <w:sz w:val="32"/>
          <w:lang w:eastAsia="zh-CN"/>
        </w:rPr>
        <w:t>行政事业单位财务分析指标</w:t>
      </w:r>
      <w:bookmarkEnd w:id="2"/>
    </w:p>
    <w:p>
      <w:pPr>
        <w:autoSpaceDE/>
        <w:autoSpaceDN/>
        <w:snapToGrid w:val="0"/>
        <w:spacing w:before="0" w:after="0" w:line="240" w:lineRule="auto"/>
        <w:ind w:left="640" w:firstLine="640"/>
        <w:jc w:val="both"/>
        <w:rPr>
          <w:rFonts w:hint="eastAsia" w:ascii="仿宋_GB2312" w:hAnsi="仿宋" w:eastAsia="仿宋_GB2312"/>
          <w:w w:val="100"/>
          <w:sz w:val="32"/>
          <w:lang w:eastAsia="zh-CN"/>
        </w:rPr>
      </w:pPr>
    </w:p>
    <w:p>
      <w:pPr>
        <w:autoSpaceDE/>
        <w:autoSpaceDN/>
        <w:snapToGrid w:val="0"/>
        <w:spacing w:before="0" w:after="0" w:line="240" w:lineRule="auto"/>
        <w:ind w:left="640" w:firstLine="640"/>
        <w:jc w:val="both"/>
        <w:rPr>
          <w:rFonts w:hint="eastAsia" w:ascii="黑体" w:hAnsi="黑体" w:eastAsia="黑体"/>
          <w:w w:val="100"/>
          <w:sz w:val="32"/>
          <w:lang w:eastAsia="zh-CN"/>
        </w:rPr>
      </w:pPr>
      <w:bookmarkStart w:id="3" w:name="YS060201"/>
      <w:r>
        <w:rPr>
          <w:rFonts w:hint="eastAsia" w:ascii="黑体" w:hAnsi="黑体" w:eastAsia="黑体"/>
          <w:w w:val="100"/>
          <w:sz w:val="32"/>
          <w:lang w:eastAsia="zh-CN"/>
        </w:rPr>
        <w:t>一、行政单位财务分析指标</w:t>
      </w:r>
      <w:bookmarkEnd w:id="3"/>
    </w:p>
    <w:p>
      <w:pPr>
        <w:autoSpaceDE/>
        <w:autoSpaceDN/>
        <w:snapToGrid w:val="0"/>
        <w:spacing w:before="0" w:after="0" w:line="240" w:lineRule="auto"/>
        <w:ind w:left="640" w:firstLine="640"/>
        <w:jc w:val="both"/>
        <w:rPr>
          <w:rFonts w:hint="eastAsia" w:ascii="仿宋_GB2312" w:hAnsi="仿宋" w:eastAsia="仿宋_GB2312"/>
          <w:w w:val="100"/>
          <w:sz w:val="32"/>
          <w:lang w:eastAsia="zh-CN"/>
        </w:rPr>
      </w:pPr>
      <w:r>
        <w:rPr>
          <w:rFonts w:hint="eastAsia" w:ascii="仿宋_GB2312" w:hAnsi="仿宋" w:eastAsia="仿宋_GB2312"/>
          <w:w w:val="100"/>
          <w:sz w:val="32"/>
          <w:lang w:eastAsia="zh-CN"/>
        </w:rPr>
        <w:t>1.支出增长率，衡量行政单位支出的增长水平。计算公式为：</w:t>
      </w:r>
    </w:p>
    <w:p>
      <w:pPr>
        <w:autoSpaceDE/>
        <w:autoSpaceDN/>
        <w:snapToGrid w:val="0"/>
        <w:spacing w:before="0" w:after="0" w:line="240" w:lineRule="auto"/>
        <w:ind w:left="640" w:firstLine="640"/>
        <w:jc w:val="both"/>
        <w:rPr>
          <w:rFonts w:hint="eastAsia" w:ascii="仿宋_GB2312" w:hAnsi="仿宋" w:eastAsia="仿宋_GB2312"/>
          <w:w w:val="100"/>
          <w:sz w:val="32"/>
          <w:lang w:eastAsia="zh-CN"/>
        </w:rPr>
      </w:pPr>
      <w:r>
        <w:rPr>
          <w:rFonts w:hint="eastAsia" w:ascii="仿宋_GB2312" w:hAnsi="仿宋" w:eastAsia="仿宋_GB2312"/>
          <w:w w:val="100"/>
          <w:sz w:val="32"/>
          <w:lang w:eastAsia="zh-CN"/>
        </w:rPr>
        <w:t>支出增长率＝(本期支出总额÷上期支出总额-1)×100%</w:t>
      </w:r>
    </w:p>
    <w:p>
      <w:pPr>
        <w:autoSpaceDE/>
        <w:autoSpaceDN/>
        <w:snapToGrid w:val="0"/>
        <w:spacing w:before="0" w:after="0" w:line="240" w:lineRule="auto"/>
        <w:ind w:left="640" w:firstLine="640"/>
        <w:jc w:val="both"/>
        <w:rPr>
          <w:rFonts w:hint="eastAsia" w:ascii="仿宋_GB2312" w:hAnsi="仿宋" w:eastAsia="仿宋_GB2312"/>
          <w:w w:val="100"/>
          <w:sz w:val="32"/>
          <w:lang w:eastAsia="zh-CN"/>
        </w:rPr>
      </w:pPr>
      <w:r>
        <w:rPr>
          <w:rFonts w:hint="eastAsia" w:ascii="仿宋_GB2312" w:hAnsi="仿宋" w:eastAsia="仿宋_GB2312"/>
          <w:w w:val="100"/>
          <w:sz w:val="32"/>
          <w:lang w:eastAsia="zh-CN"/>
        </w:rPr>
        <w:t>2.当年预算支出完成率，衡量行政单位当年支出总预算及分项预算完成的程度。计算公式为：</w:t>
      </w:r>
    </w:p>
    <w:p>
      <w:pPr>
        <w:autoSpaceDE/>
        <w:autoSpaceDN/>
        <w:snapToGrid w:val="0"/>
        <w:spacing w:before="0" w:after="0" w:line="240" w:lineRule="auto"/>
        <w:ind w:left="640" w:firstLine="640"/>
        <w:jc w:val="both"/>
        <w:rPr>
          <w:rFonts w:hint="eastAsia" w:ascii="仿宋_GB2312" w:hAnsi="仿宋" w:eastAsia="仿宋_GB2312"/>
          <w:w w:val="100"/>
          <w:sz w:val="32"/>
          <w:lang w:eastAsia="zh-CN"/>
        </w:rPr>
      </w:pPr>
      <w:r>
        <w:rPr>
          <w:rFonts w:hint="eastAsia" w:ascii="仿宋_GB2312" w:hAnsi="仿宋" w:eastAsia="仿宋_GB2312"/>
          <w:w w:val="100"/>
          <w:sz w:val="32"/>
          <w:lang w:eastAsia="zh-CN"/>
        </w:rPr>
        <w:t>当年预算支出完成率＝年终执行数÷（年初预算数±年中预算调整数）×100%</w:t>
      </w:r>
    </w:p>
    <w:p>
      <w:pPr>
        <w:autoSpaceDE/>
        <w:autoSpaceDN/>
        <w:snapToGrid w:val="0"/>
        <w:spacing w:before="0" w:after="0" w:line="240" w:lineRule="auto"/>
        <w:ind w:left="640" w:firstLine="640"/>
        <w:jc w:val="both"/>
        <w:rPr>
          <w:rFonts w:hint="eastAsia" w:ascii="仿宋_GB2312" w:hAnsi="仿宋" w:eastAsia="仿宋_GB2312"/>
          <w:w w:val="100"/>
          <w:sz w:val="32"/>
          <w:lang w:eastAsia="zh-CN"/>
        </w:rPr>
      </w:pPr>
      <w:r>
        <w:rPr>
          <w:rFonts w:hint="eastAsia" w:ascii="仿宋_GB2312" w:hAnsi="仿宋" w:eastAsia="仿宋_GB2312"/>
          <w:w w:val="100"/>
          <w:sz w:val="32"/>
          <w:lang w:eastAsia="zh-CN"/>
        </w:rPr>
        <w:t>年终执行数不含上年结转和结余支出数。</w:t>
      </w:r>
    </w:p>
    <w:p>
      <w:pPr>
        <w:autoSpaceDE/>
        <w:autoSpaceDN/>
        <w:snapToGrid w:val="0"/>
        <w:spacing w:before="0" w:after="0" w:line="240" w:lineRule="auto"/>
        <w:ind w:left="640" w:firstLine="640"/>
        <w:jc w:val="both"/>
        <w:rPr>
          <w:rFonts w:hint="eastAsia" w:ascii="仿宋_GB2312" w:hAnsi="仿宋" w:eastAsia="仿宋_GB2312"/>
          <w:w w:val="100"/>
          <w:sz w:val="32"/>
          <w:lang w:eastAsia="zh-CN"/>
        </w:rPr>
      </w:pPr>
      <w:r>
        <w:rPr>
          <w:rFonts w:hint="eastAsia" w:ascii="仿宋_GB2312" w:hAnsi="仿宋" w:eastAsia="仿宋_GB2312"/>
          <w:w w:val="100"/>
          <w:sz w:val="32"/>
          <w:lang w:eastAsia="zh-CN"/>
        </w:rPr>
        <w:t>3.人均开支，衡量行政单位人均年消耗经费水平。计算公式为：</w:t>
      </w:r>
    </w:p>
    <w:p>
      <w:pPr>
        <w:autoSpaceDE/>
        <w:autoSpaceDN/>
        <w:snapToGrid w:val="0"/>
        <w:spacing w:before="0" w:after="0" w:line="240" w:lineRule="auto"/>
        <w:ind w:left="640" w:firstLine="640"/>
        <w:jc w:val="both"/>
        <w:rPr>
          <w:rFonts w:hint="eastAsia" w:ascii="仿宋_GB2312" w:hAnsi="仿宋" w:eastAsia="仿宋_GB2312"/>
          <w:w w:val="100"/>
          <w:sz w:val="32"/>
          <w:lang w:eastAsia="zh-CN"/>
        </w:rPr>
      </w:pPr>
      <w:r>
        <w:rPr>
          <w:rFonts w:hint="eastAsia" w:ascii="仿宋_GB2312" w:hAnsi="仿宋" w:eastAsia="仿宋_GB2312"/>
          <w:w w:val="100"/>
          <w:sz w:val="32"/>
          <w:lang w:eastAsia="zh-CN"/>
        </w:rPr>
        <w:t>人均开支＝本期支出数÷本期平均在职人员数×100%</w:t>
      </w:r>
    </w:p>
    <w:p>
      <w:pPr>
        <w:autoSpaceDE/>
        <w:autoSpaceDN/>
        <w:snapToGrid w:val="0"/>
        <w:spacing w:before="0" w:after="0" w:line="240" w:lineRule="auto"/>
        <w:ind w:left="640" w:firstLine="640"/>
        <w:jc w:val="both"/>
        <w:rPr>
          <w:rFonts w:hint="eastAsia" w:ascii="仿宋_GB2312" w:hAnsi="仿宋" w:eastAsia="仿宋_GB2312"/>
          <w:w w:val="100"/>
          <w:sz w:val="32"/>
          <w:lang w:eastAsia="zh-CN"/>
        </w:rPr>
      </w:pPr>
      <w:r>
        <w:rPr>
          <w:rFonts w:hint="eastAsia" w:ascii="仿宋_GB2312" w:hAnsi="仿宋" w:eastAsia="仿宋_GB2312"/>
          <w:w w:val="100"/>
          <w:sz w:val="32"/>
          <w:lang w:eastAsia="zh-CN"/>
        </w:rPr>
        <w:t>4.项目支出占总支出的比率，衡量行政单位的支出结构。计算公式为：</w:t>
      </w:r>
    </w:p>
    <w:p>
      <w:pPr>
        <w:autoSpaceDE/>
        <w:autoSpaceDN/>
        <w:snapToGrid w:val="0"/>
        <w:spacing w:before="0" w:after="0" w:line="240" w:lineRule="auto"/>
        <w:ind w:left="640" w:firstLine="640"/>
        <w:jc w:val="both"/>
        <w:rPr>
          <w:rFonts w:hint="eastAsia" w:ascii="仿宋_GB2312" w:hAnsi="仿宋" w:eastAsia="仿宋_GB2312"/>
          <w:w w:val="100"/>
          <w:sz w:val="32"/>
          <w:lang w:eastAsia="zh-CN"/>
        </w:rPr>
      </w:pPr>
      <w:r>
        <w:rPr>
          <w:rFonts w:hint="eastAsia" w:ascii="仿宋_GB2312" w:hAnsi="仿宋" w:eastAsia="仿宋_GB2312"/>
          <w:w w:val="100"/>
          <w:sz w:val="32"/>
          <w:lang w:eastAsia="zh-CN"/>
        </w:rPr>
        <w:t>项目支出比率=本期项目支出数÷本期支出总数×100%</w:t>
      </w:r>
    </w:p>
    <w:p>
      <w:pPr>
        <w:autoSpaceDE/>
        <w:autoSpaceDN/>
        <w:snapToGrid w:val="0"/>
        <w:spacing w:before="0" w:after="0" w:line="240" w:lineRule="auto"/>
        <w:ind w:left="640" w:firstLine="640"/>
        <w:jc w:val="both"/>
        <w:rPr>
          <w:rFonts w:hint="eastAsia" w:ascii="仿宋_GB2312" w:hAnsi="仿宋" w:eastAsia="仿宋_GB2312"/>
          <w:w w:val="100"/>
          <w:sz w:val="32"/>
          <w:lang w:eastAsia="zh-CN"/>
        </w:rPr>
      </w:pPr>
      <w:r>
        <w:rPr>
          <w:rFonts w:hint="eastAsia" w:ascii="仿宋_GB2312" w:hAnsi="仿宋" w:eastAsia="仿宋_GB2312"/>
          <w:w w:val="100"/>
          <w:sz w:val="32"/>
          <w:lang w:eastAsia="zh-CN"/>
        </w:rPr>
        <w:t>5.人员支出、公用支出占总支出的比率，衡量行政单位的支出结构。计算公式为：</w:t>
      </w:r>
    </w:p>
    <w:p>
      <w:pPr>
        <w:autoSpaceDE/>
        <w:autoSpaceDN/>
        <w:snapToGrid w:val="0"/>
        <w:spacing w:before="0" w:after="0" w:line="240" w:lineRule="auto"/>
        <w:ind w:left="640" w:firstLine="640"/>
        <w:jc w:val="both"/>
        <w:rPr>
          <w:rFonts w:hint="eastAsia" w:ascii="仿宋_GB2312" w:hAnsi="仿宋" w:eastAsia="仿宋_GB2312"/>
          <w:w w:val="100"/>
          <w:sz w:val="32"/>
          <w:lang w:eastAsia="zh-CN"/>
        </w:rPr>
      </w:pPr>
      <w:r>
        <w:rPr>
          <w:rFonts w:hint="eastAsia" w:ascii="仿宋_GB2312" w:hAnsi="仿宋" w:eastAsia="仿宋_GB2312"/>
          <w:w w:val="100"/>
          <w:sz w:val="32"/>
          <w:lang w:eastAsia="zh-CN"/>
        </w:rPr>
        <w:t>人员支出比率=本期人员支出数÷本期支出总数×100%</w:t>
      </w:r>
    </w:p>
    <w:p>
      <w:pPr>
        <w:autoSpaceDE/>
        <w:autoSpaceDN/>
        <w:snapToGrid w:val="0"/>
        <w:spacing w:before="0" w:after="0" w:line="240" w:lineRule="auto"/>
        <w:ind w:left="640" w:firstLine="640"/>
        <w:jc w:val="both"/>
        <w:rPr>
          <w:rFonts w:hint="eastAsia" w:ascii="仿宋_GB2312" w:hAnsi="仿宋" w:eastAsia="仿宋_GB2312"/>
          <w:w w:val="100"/>
          <w:sz w:val="32"/>
          <w:lang w:eastAsia="zh-CN"/>
        </w:rPr>
      </w:pPr>
      <w:r>
        <w:rPr>
          <w:rFonts w:hint="eastAsia" w:ascii="仿宋_GB2312" w:hAnsi="仿宋" w:eastAsia="仿宋_GB2312"/>
          <w:w w:val="100"/>
          <w:sz w:val="32"/>
          <w:lang w:eastAsia="zh-CN"/>
        </w:rPr>
        <w:t>公用支出比率=本期公用支出数÷本期支出总数×100%</w:t>
      </w:r>
    </w:p>
    <w:p>
      <w:pPr>
        <w:autoSpaceDE/>
        <w:autoSpaceDN/>
        <w:snapToGrid w:val="0"/>
        <w:spacing w:before="0" w:after="0" w:line="240" w:lineRule="auto"/>
        <w:ind w:left="640" w:firstLine="640"/>
        <w:jc w:val="both"/>
        <w:rPr>
          <w:rFonts w:hint="eastAsia" w:ascii="仿宋_GB2312" w:hAnsi="仿宋" w:eastAsia="仿宋_GB2312"/>
          <w:w w:val="100"/>
          <w:sz w:val="32"/>
          <w:lang w:eastAsia="zh-CN"/>
        </w:rPr>
      </w:pPr>
      <w:r>
        <w:rPr>
          <w:rFonts w:hint="eastAsia" w:ascii="仿宋_GB2312" w:hAnsi="仿宋" w:eastAsia="仿宋_GB2312"/>
          <w:w w:val="100"/>
          <w:sz w:val="32"/>
          <w:lang w:eastAsia="zh-CN"/>
        </w:rPr>
        <w:t>6.人均办公使用面积，衡量行政单位办公用房配备情况。计算公式为：</w:t>
      </w:r>
    </w:p>
    <w:p>
      <w:pPr>
        <w:autoSpaceDE/>
        <w:autoSpaceDN/>
        <w:snapToGrid w:val="0"/>
        <w:spacing w:before="0" w:after="0" w:line="240" w:lineRule="auto"/>
        <w:ind w:left="640" w:firstLine="640"/>
        <w:jc w:val="both"/>
        <w:rPr>
          <w:rFonts w:hint="eastAsia" w:ascii="仿宋_GB2312" w:hAnsi="仿宋" w:eastAsia="仿宋_GB2312"/>
          <w:w w:val="100"/>
          <w:sz w:val="32"/>
          <w:lang w:eastAsia="zh-CN"/>
        </w:rPr>
      </w:pPr>
      <w:r>
        <w:rPr>
          <w:rFonts w:hint="eastAsia" w:ascii="仿宋_GB2312" w:hAnsi="仿宋" w:eastAsia="仿宋_GB2312"/>
          <w:w w:val="100"/>
          <w:sz w:val="32"/>
          <w:lang w:eastAsia="zh-CN"/>
        </w:rPr>
        <w:t>人均办公使用面积=本期末单位办公用房使用面积÷本期末在职人员数</w:t>
      </w:r>
    </w:p>
    <w:p>
      <w:pPr>
        <w:autoSpaceDE/>
        <w:autoSpaceDN/>
        <w:snapToGrid w:val="0"/>
        <w:spacing w:before="0" w:after="0" w:line="240" w:lineRule="auto"/>
        <w:ind w:left="640" w:firstLine="640"/>
        <w:jc w:val="both"/>
        <w:rPr>
          <w:rFonts w:hint="eastAsia" w:ascii="仿宋_GB2312" w:hAnsi="仿宋" w:eastAsia="仿宋_GB2312"/>
          <w:w w:val="100"/>
          <w:sz w:val="32"/>
          <w:lang w:eastAsia="zh-CN"/>
        </w:rPr>
      </w:pPr>
      <w:r>
        <w:rPr>
          <w:rFonts w:hint="eastAsia" w:ascii="仿宋_GB2312" w:hAnsi="仿宋" w:eastAsia="仿宋_GB2312"/>
          <w:w w:val="100"/>
          <w:sz w:val="32"/>
          <w:lang w:eastAsia="zh-CN"/>
        </w:rPr>
        <w:t>7.人车比例，衡量行政单位公务用车配备情况。计算公式为：</w:t>
      </w:r>
    </w:p>
    <w:p>
      <w:pPr>
        <w:autoSpaceDE/>
        <w:autoSpaceDN/>
        <w:snapToGrid w:val="0"/>
        <w:spacing w:before="0" w:after="0" w:line="240" w:lineRule="auto"/>
        <w:ind w:left="640" w:firstLine="640"/>
        <w:jc w:val="both"/>
        <w:rPr>
          <w:rFonts w:hint="eastAsia" w:ascii="仿宋_GB2312" w:hAnsi="仿宋" w:eastAsia="仿宋_GB2312"/>
          <w:w w:val="100"/>
          <w:sz w:val="32"/>
          <w:lang w:eastAsia="zh-CN"/>
        </w:rPr>
      </w:pPr>
      <w:r>
        <w:rPr>
          <w:rFonts w:hint="eastAsia" w:ascii="仿宋_GB2312" w:hAnsi="仿宋" w:eastAsia="仿宋_GB2312"/>
          <w:w w:val="100"/>
          <w:sz w:val="32"/>
          <w:lang w:eastAsia="zh-CN"/>
        </w:rPr>
        <w:t>人车比例=本期末在职人员数÷本期末公务用车实有数:1</w:t>
      </w:r>
    </w:p>
    <w:p>
      <w:pPr>
        <w:autoSpaceDE/>
        <w:autoSpaceDN/>
        <w:snapToGrid w:val="0"/>
        <w:spacing w:before="0" w:after="0" w:line="240" w:lineRule="auto"/>
        <w:ind w:left="640" w:firstLine="640"/>
        <w:jc w:val="both"/>
        <w:rPr>
          <w:rFonts w:hint="eastAsia" w:ascii="仿宋_GB2312" w:hAnsi="仿宋" w:eastAsia="仿宋_GB2312"/>
          <w:w w:val="100"/>
          <w:sz w:val="32"/>
          <w:lang w:eastAsia="zh-CN"/>
        </w:rPr>
      </w:pPr>
    </w:p>
    <w:p>
      <w:pPr>
        <w:autoSpaceDE/>
        <w:autoSpaceDN/>
        <w:snapToGrid w:val="0"/>
        <w:spacing w:before="0" w:after="0" w:line="240" w:lineRule="auto"/>
        <w:ind w:left="640" w:firstLine="640"/>
        <w:jc w:val="both"/>
        <w:rPr>
          <w:rFonts w:hint="eastAsia" w:ascii="黑体" w:hAnsi="黑体" w:eastAsia="黑体"/>
          <w:w w:val="100"/>
          <w:sz w:val="32"/>
          <w:lang w:eastAsia="zh-CN"/>
        </w:rPr>
      </w:pPr>
      <w:bookmarkStart w:id="4" w:name="YS060202"/>
      <w:r>
        <w:rPr>
          <w:rFonts w:hint="eastAsia" w:ascii="黑体" w:hAnsi="黑体" w:eastAsia="黑体"/>
          <w:w w:val="100"/>
          <w:sz w:val="32"/>
          <w:lang w:eastAsia="zh-CN"/>
        </w:rPr>
        <w:t>二、事业单位财务分析指标</w:t>
      </w:r>
      <w:bookmarkEnd w:id="4"/>
    </w:p>
    <w:p>
      <w:pPr>
        <w:autoSpaceDE/>
        <w:autoSpaceDN/>
        <w:snapToGrid w:val="0"/>
        <w:spacing w:before="0" w:after="0" w:line="240" w:lineRule="auto"/>
        <w:ind w:left="640" w:firstLine="640"/>
        <w:jc w:val="both"/>
        <w:rPr>
          <w:rFonts w:hint="eastAsia" w:ascii="仿宋_GB2312" w:hAnsi="仿宋" w:eastAsia="仿宋_GB2312"/>
          <w:w w:val="100"/>
          <w:sz w:val="32"/>
          <w:lang w:eastAsia="zh-CN"/>
        </w:rPr>
      </w:pPr>
      <w:r>
        <w:rPr>
          <w:rFonts w:hint="eastAsia" w:ascii="仿宋_GB2312" w:hAnsi="仿宋" w:eastAsia="仿宋_GB2312"/>
          <w:w w:val="100"/>
          <w:sz w:val="32"/>
          <w:lang w:eastAsia="zh-CN"/>
        </w:rPr>
        <w:t>1.预算收入和支出完成率，衡量事业单位收入和支出总预算及分项预算完成的程度。计算公式为：</w:t>
      </w:r>
    </w:p>
    <w:p>
      <w:pPr>
        <w:autoSpaceDE/>
        <w:autoSpaceDN/>
        <w:snapToGrid w:val="0"/>
        <w:spacing w:before="0" w:after="0" w:line="240" w:lineRule="auto"/>
        <w:ind w:left="640" w:firstLine="640"/>
        <w:jc w:val="both"/>
        <w:rPr>
          <w:rFonts w:hint="eastAsia" w:ascii="仿宋_GB2312" w:hAnsi="仿宋" w:eastAsia="仿宋_GB2312"/>
          <w:w w:val="100"/>
          <w:sz w:val="32"/>
          <w:lang w:eastAsia="zh-CN"/>
        </w:rPr>
      </w:pPr>
      <w:r>
        <w:rPr>
          <w:rFonts w:hint="eastAsia" w:ascii="仿宋_GB2312" w:hAnsi="仿宋" w:eastAsia="仿宋_GB2312"/>
          <w:w w:val="100"/>
          <w:sz w:val="32"/>
          <w:lang w:eastAsia="zh-CN"/>
        </w:rPr>
        <w:t>预算收入完成率＝年终执行数÷（年初预算数±年中预算调整数）×100%</w:t>
      </w:r>
    </w:p>
    <w:p>
      <w:pPr>
        <w:autoSpaceDE/>
        <w:autoSpaceDN/>
        <w:snapToGrid w:val="0"/>
        <w:spacing w:before="0" w:after="0" w:line="240" w:lineRule="auto"/>
        <w:ind w:left="640" w:firstLine="640"/>
        <w:jc w:val="both"/>
        <w:rPr>
          <w:rFonts w:hint="eastAsia" w:ascii="仿宋_GB2312" w:hAnsi="仿宋" w:eastAsia="仿宋_GB2312"/>
          <w:w w:val="100"/>
          <w:sz w:val="32"/>
          <w:lang w:eastAsia="zh-CN"/>
        </w:rPr>
      </w:pPr>
      <w:r>
        <w:rPr>
          <w:rFonts w:hint="eastAsia" w:ascii="仿宋_GB2312" w:hAnsi="仿宋" w:eastAsia="仿宋_GB2312"/>
          <w:w w:val="100"/>
          <w:sz w:val="32"/>
          <w:lang w:eastAsia="zh-CN"/>
        </w:rPr>
        <w:t>年终执行数不含上年结转和结余收入数</w:t>
      </w:r>
    </w:p>
    <w:p>
      <w:pPr>
        <w:autoSpaceDE/>
        <w:autoSpaceDN/>
        <w:snapToGrid w:val="0"/>
        <w:spacing w:before="0" w:after="0" w:line="240" w:lineRule="auto"/>
        <w:ind w:left="640" w:firstLine="640"/>
        <w:jc w:val="both"/>
        <w:rPr>
          <w:rFonts w:hint="eastAsia" w:ascii="仿宋_GB2312" w:hAnsi="仿宋" w:eastAsia="仿宋_GB2312"/>
          <w:w w:val="100"/>
          <w:sz w:val="32"/>
          <w:lang w:eastAsia="zh-CN"/>
        </w:rPr>
      </w:pPr>
      <w:r>
        <w:rPr>
          <w:rFonts w:hint="eastAsia" w:ascii="仿宋_GB2312" w:hAnsi="仿宋" w:eastAsia="仿宋_GB2312"/>
          <w:w w:val="100"/>
          <w:sz w:val="32"/>
          <w:lang w:eastAsia="zh-CN"/>
        </w:rPr>
        <w:t>预算支出完成率＝年终执行数÷（年初预算数±年中预算调整数）×100%</w:t>
      </w:r>
    </w:p>
    <w:p>
      <w:pPr>
        <w:autoSpaceDE/>
        <w:autoSpaceDN/>
        <w:snapToGrid w:val="0"/>
        <w:spacing w:before="0" w:after="0" w:line="240" w:lineRule="auto"/>
        <w:ind w:left="640" w:firstLine="640"/>
        <w:jc w:val="both"/>
        <w:rPr>
          <w:rFonts w:hint="eastAsia" w:ascii="仿宋_GB2312" w:hAnsi="仿宋" w:eastAsia="仿宋_GB2312"/>
          <w:w w:val="100"/>
          <w:sz w:val="32"/>
          <w:lang w:eastAsia="zh-CN"/>
        </w:rPr>
      </w:pPr>
      <w:r>
        <w:rPr>
          <w:rFonts w:hint="eastAsia" w:ascii="仿宋_GB2312" w:hAnsi="仿宋" w:eastAsia="仿宋_GB2312"/>
          <w:w w:val="100"/>
          <w:sz w:val="32"/>
          <w:lang w:eastAsia="zh-CN"/>
        </w:rPr>
        <w:t>年终执行数不含上年结转和结余支出数</w:t>
      </w:r>
    </w:p>
    <w:p>
      <w:pPr>
        <w:autoSpaceDE/>
        <w:autoSpaceDN/>
        <w:snapToGrid w:val="0"/>
        <w:spacing w:before="0" w:after="0" w:line="240" w:lineRule="auto"/>
        <w:ind w:left="640" w:firstLine="640"/>
        <w:jc w:val="both"/>
        <w:rPr>
          <w:rFonts w:hint="eastAsia" w:ascii="仿宋_GB2312" w:hAnsi="仿宋" w:eastAsia="仿宋_GB2312"/>
          <w:w w:val="100"/>
          <w:sz w:val="32"/>
          <w:lang w:eastAsia="zh-CN"/>
        </w:rPr>
      </w:pPr>
      <w:r>
        <w:rPr>
          <w:rFonts w:hint="eastAsia" w:ascii="仿宋_GB2312" w:hAnsi="仿宋" w:eastAsia="仿宋_GB2312"/>
          <w:w w:val="100"/>
          <w:sz w:val="32"/>
          <w:lang w:eastAsia="zh-CN"/>
        </w:rPr>
        <w:t>2.人员支出、公用支出占事业支出的比率，衡量事业单位事业支出结构。计算公式为：</w:t>
      </w:r>
    </w:p>
    <w:p>
      <w:pPr>
        <w:autoSpaceDE/>
        <w:autoSpaceDN/>
        <w:snapToGrid w:val="0"/>
        <w:spacing w:before="0" w:after="0" w:line="240" w:lineRule="auto"/>
        <w:ind w:left="640" w:firstLine="640"/>
        <w:jc w:val="both"/>
        <w:rPr>
          <w:rFonts w:hint="eastAsia" w:ascii="仿宋_GB2312" w:hAnsi="仿宋" w:eastAsia="仿宋_GB2312"/>
          <w:w w:val="100"/>
          <w:sz w:val="32"/>
          <w:lang w:eastAsia="zh-CN"/>
        </w:rPr>
      </w:pPr>
      <w:r>
        <w:rPr>
          <w:rFonts w:hint="eastAsia" w:ascii="仿宋_GB2312" w:hAnsi="仿宋" w:eastAsia="仿宋_GB2312"/>
          <w:w w:val="100"/>
          <w:sz w:val="32"/>
          <w:lang w:eastAsia="zh-CN"/>
        </w:rPr>
        <w:t>人员支出比率＝人员支出÷事业支出×100%</w:t>
      </w:r>
    </w:p>
    <w:p>
      <w:pPr>
        <w:autoSpaceDE/>
        <w:autoSpaceDN/>
        <w:snapToGrid w:val="0"/>
        <w:spacing w:before="0" w:after="0" w:line="240" w:lineRule="auto"/>
        <w:ind w:left="640" w:firstLine="640"/>
        <w:jc w:val="both"/>
        <w:rPr>
          <w:rFonts w:hint="eastAsia" w:ascii="仿宋_GB2312" w:hAnsi="仿宋" w:eastAsia="仿宋_GB2312"/>
          <w:w w:val="100"/>
          <w:sz w:val="32"/>
          <w:lang w:eastAsia="zh-CN"/>
        </w:rPr>
      </w:pPr>
      <w:r>
        <w:rPr>
          <w:rFonts w:hint="eastAsia" w:ascii="仿宋_GB2312" w:hAnsi="仿宋" w:eastAsia="仿宋_GB2312"/>
          <w:w w:val="100"/>
          <w:sz w:val="32"/>
          <w:lang w:eastAsia="zh-CN"/>
        </w:rPr>
        <w:t>公用支出比率＝公用支出÷事业支出×100%</w:t>
      </w:r>
    </w:p>
    <w:p>
      <w:pPr>
        <w:autoSpaceDE/>
        <w:autoSpaceDN/>
        <w:snapToGrid w:val="0"/>
        <w:spacing w:before="0" w:after="0" w:line="240" w:lineRule="auto"/>
        <w:ind w:left="640" w:firstLine="640"/>
        <w:jc w:val="both"/>
        <w:rPr>
          <w:rFonts w:hint="eastAsia" w:ascii="仿宋_GB2312" w:hAnsi="仿宋" w:eastAsia="仿宋_GB2312"/>
          <w:w w:val="100"/>
          <w:sz w:val="32"/>
          <w:lang w:eastAsia="zh-CN"/>
        </w:rPr>
      </w:pPr>
      <w:r>
        <w:rPr>
          <w:rFonts w:hint="eastAsia" w:ascii="仿宋_GB2312" w:hAnsi="仿宋" w:eastAsia="仿宋_GB2312"/>
          <w:w w:val="100"/>
          <w:sz w:val="32"/>
          <w:lang w:eastAsia="zh-CN"/>
        </w:rPr>
        <w:t>3.人均基本支出，衡量事业单位按照实际在编人数平均的基本支出水平。计算公式为：</w:t>
      </w:r>
    </w:p>
    <w:p>
      <w:pPr>
        <w:autoSpaceDE/>
        <w:autoSpaceDN/>
        <w:snapToGrid w:val="0"/>
        <w:spacing w:before="0" w:after="0" w:line="240" w:lineRule="auto"/>
        <w:ind w:left="640" w:firstLine="640"/>
        <w:jc w:val="both"/>
        <w:rPr>
          <w:rFonts w:hint="eastAsia" w:ascii="仿宋_GB2312" w:hAnsi="仿宋" w:eastAsia="仿宋_GB2312"/>
          <w:b/>
          <w:w w:val="100"/>
          <w:sz w:val="32"/>
          <w:lang w:eastAsia="zh-CN"/>
        </w:rPr>
      </w:pPr>
      <w:r>
        <w:rPr>
          <w:rFonts w:hint="eastAsia" w:ascii="仿宋_GB2312" w:hAnsi="仿宋" w:eastAsia="仿宋_GB2312"/>
          <w:w w:val="100"/>
          <w:sz w:val="32"/>
          <w:lang w:eastAsia="zh-CN"/>
        </w:rPr>
        <w:t>人均基本支出＝（基本支出-离退休人员支出）÷实际在编人数</w:t>
      </w:r>
    </w:p>
    <w:p>
      <w:pPr>
        <w:autoSpaceDE/>
        <w:autoSpaceDN/>
        <w:snapToGrid w:val="0"/>
        <w:spacing w:before="0" w:after="0" w:line="240" w:lineRule="auto"/>
        <w:ind w:left="640" w:firstLine="640"/>
        <w:jc w:val="both"/>
        <w:rPr>
          <w:rFonts w:hint="eastAsia" w:ascii="仿宋_GB2312" w:hAnsi="仿宋" w:eastAsia="仿宋_GB2312"/>
          <w:w w:val="100"/>
          <w:sz w:val="32"/>
          <w:lang w:eastAsia="zh-CN"/>
        </w:rPr>
      </w:pPr>
    </w:p>
    <w:p>
      <w:pPr>
        <w:autoSpaceDE/>
        <w:autoSpaceDN/>
        <w:snapToGrid w:val="0"/>
        <w:spacing w:before="0" w:after="0" w:line="240" w:lineRule="auto"/>
        <w:ind w:left="640" w:firstLine="640"/>
        <w:jc w:val="both"/>
        <w:rPr>
          <w:rFonts w:hint="eastAsia" w:ascii="仿宋_GB2312" w:hAnsi="仿宋" w:eastAsia="仿宋_GB2312"/>
          <w:w w:val="100"/>
          <w:sz w:val="32"/>
          <w:lang w:eastAsia="zh-CN"/>
        </w:rPr>
      </w:pPr>
      <w:r>
        <w:rPr>
          <w:rFonts w:hint="eastAsia" w:ascii="仿宋_GB2312" w:hAnsi="仿宋" w:eastAsia="仿宋_GB2312"/>
          <w:w w:val="100"/>
          <w:sz w:val="32"/>
          <w:lang w:eastAsia="zh-CN"/>
        </w:rPr>
        <w:t>此外，行业事业单位还可根据相关财务制度规定和分析需要增加相关分析指标，如：</w:t>
      </w:r>
    </w:p>
    <w:p>
      <w:pPr>
        <w:autoSpaceDE/>
        <w:autoSpaceDN/>
        <w:snapToGrid/>
        <w:spacing w:before="0" w:after="0" w:line="240" w:lineRule="auto"/>
        <w:ind w:left="707" w:firstLine="707"/>
        <w:jc w:val="both"/>
        <w:rPr>
          <w:rFonts w:hint="eastAsia" w:ascii="仿宋_GB2312" w:hAnsi="仿宋" w:eastAsia="仿宋_GB2312"/>
          <w:w w:val="100"/>
          <w:sz w:val="32"/>
          <w:lang w:eastAsia="zh-CN"/>
        </w:rPr>
      </w:pPr>
      <w:r>
        <w:rPr>
          <w:rFonts w:hint="eastAsia" w:ascii="仿宋_GB2312" w:hAnsi="仿宋" w:eastAsia="仿宋_GB2312"/>
          <w:w w:val="100"/>
          <w:sz w:val="32"/>
          <w:lang w:eastAsia="zh-CN"/>
        </w:rPr>
        <w:t>1.财政拨款依存度, 衡量部门（单位）对财政拨款的依赖程度。</w:t>
      </w:r>
    </w:p>
    <w:p>
      <w:pPr>
        <w:widowControl/>
        <w:autoSpaceDE/>
        <w:autoSpaceDN/>
        <w:snapToGrid/>
        <w:spacing w:before="0" w:after="0" w:line="240" w:lineRule="auto"/>
        <w:ind w:left="640" w:firstLine="640"/>
        <w:jc w:val="both"/>
        <w:rPr>
          <w:rFonts w:hint="eastAsia" w:ascii="仿宋_GB2312" w:hAnsi="仿宋" w:eastAsia="仿宋_GB2312"/>
          <w:w w:val="100"/>
          <w:sz w:val="32"/>
          <w:lang w:eastAsia="zh-CN"/>
        </w:rPr>
      </w:pPr>
      <w:r>
        <w:rPr>
          <w:rFonts w:hint="eastAsia" w:ascii="仿宋_GB2312" w:hAnsi="仿宋" w:eastAsia="仿宋_GB2312"/>
          <w:w w:val="100"/>
          <w:sz w:val="32"/>
          <w:lang w:eastAsia="zh-CN"/>
        </w:rPr>
        <w:t>财政拨款依存度＝财政拨款收入÷收入总额×100%</w:t>
      </w:r>
    </w:p>
    <w:p>
      <w:pPr>
        <w:tabs>
          <w:tab w:val="left" w:pos="2005"/>
        </w:tabs>
        <w:bidi w:val="0"/>
        <w:spacing w:line="240" w:lineRule="auto"/>
        <w:ind w:left="0" w:firstLine="0"/>
        <w:jc w:val="left"/>
        <w:rPr>
          <w:rFonts w:hint="default"/>
          <w:lang w:val="en-US" w:eastAsia="zh-CN"/>
        </w:rPr>
      </w:pPr>
      <w:r>
        <w:rPr>
          <w:rFonts w:hint="eastAsia"/>
          <w:lang w:val="en-US" w:eastAsia="zh-CN"/>
        </w:rPr>
        <w:tab/>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Segoe UI"/>
    <w:panose1 w:val="020F0502020204030204"/>
    <w:charset w:val="00"/>
    <w:family w:val="swiss"/>
    <w:pitch w:val="default"/>
    <w:sig w:usb0="00000000" w:usb1="00000000" w:usb2="00000001" w:usb3="00000000" w:csb0="0000019F"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Arial">
    <w:panose1 w:val="020B0604020202020204"/>
    <w:charset w:val="00"/>
    <w:family w:val=""/>
    <w:pitch w:val="default"/>
    <w:sig w:usb0="E0002EFF" w:usb1="C000785B" w:usb2="00000009" w:usb3="00000000" w:csb0="400001FF" w:csb1="FFFF0000"/>
  </w:font>
  <w:font w:name="楷体">
    <w:panose1 w:val="02010609060101010101"/>
    <w:charset w:val="86"/>
    <w:family w:val="auto"/>
    <w:pitch w:val="default"/>
    <w:sig w:usb0="800002BF" w:usb1="38CF7CFA" w:usb2="00000016" w:usb3="00000000" w:csb0="00040001" w:csb1="00000000"/>
  </w:font>
  <w:font w:name="Segoe UI">
    <w:panose1 w:val="020B0502040204020203"/>
    <w:charset w:val="00"/>
    <w:family w:val="auto"/>
    <w:pitch w:val="default"/>
    <w:sig w:usb0="E4002EFF" w:usb1="C000E47F"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4FB1B9C"/>
    <w:multiLevelType w:val="singleLevel"/>
    <w:tmpl w:val="84FB1B9C"/>
    <w:lvl w:ilvl="0" w:tentative="0">
      <w:start w:val="1"/>
      <w:numFmt w:val="decimal"/>
      <w:suff w:val="nothing"/>
      <w:lvlText w:val="（%1）"/>
      <w:lvlJc w:val="left"/>
    </w:lvl>
  </w:abstractNum>
  <w:abstractNum w:abstractNumId="1">
    <w:nsid w:val="13F7BF7B"/>
    <w:multiLevelType w:val="singleLevel"/>
    <w:tmpl w:val="13F7BF7B"/>
    <w:lvl w:ilvl="0" w:tentative="0">
      <w:start w:val="5"/>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F387114"/>
    <w:rsid w:val="0C934AE7"/>
    <w:rsid w:val="12C9246D"/>
    <w:rsid w:val="148B3635"/>
    <w:rsid w:val="181F4CBD"/>
    <w:rsid w:val="1B48292D"/>
    <w:rsid w:val="1D757F91"/>
    <w:rsid w:val="1E9E1615"/>
    <w:rsid w:val="22F072DF"/>
    <w:rsid w:val="23C20A9D"/>
    <w:rsid w:val="240F5E1C"/>
    <w:rsid w:val="267C0F74"/>
    <w:rsid w:val="288572FA"/>
    <w:rsid w:val="29AE011F"/>
    <w:rsid w:val="2CE34998"/>
    <w:rsid w:val="332C362C"/>
    <w:rsid w:val="352D7EE1"/>
    <w:rsid w:val="354B10C8"/>
    <w:rsid w:val="3B287A88"/>
    <w:rsid w:val="3E7E3E57"/>
    <w:rsid w:val="3FF748C7"/>
    <w:rsid w:val="41803247"/>
    <w:rsid w:val="47AF00A2"/>
    <w:rsid w:val="49120A18"/>
    <w:rsid w:val="4F387114"/>
    <w:rsid w:val="50B01C6D"/>
    <w:rsid w:val="52E44D15"/>
    <w:rsid w:val="53A37D6C"/>
    <w:rsid w:val="54CE5419"/>
    <w:rsid w:val="639F1417"/>
    <w:rsid w:val="66254B45"/>
    <w:rsid w:val="6AC5764B"/>
    <w:rsid w:val="6B2F7422"/>
    <w:rsid w:val="6B581458"/>
    <w:rsid w:val="6E2F2EE9"/>
    <w:rsid w:val="70A25617"/>
    <w:rsid w:val="75500BB5"/>
    <w:rsid w:val="772B3F4A"/>
    <w:rsid w:val="7A5F5B8F"/>
    <w:rsid w:val="7BB81D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autoSpaceDE/>
      <w:autoSpaceDN/>
      <w:spacing w:before="0" w:after="0" w:line="240" w:lineRule="auto"/>
      <w:ind w:left="0" w:firstLine="3584"/>
      <w:jc w:val="both"/>
    </w:pPr>
    <w:rPr>
      <w:rFonts w:ascii="Times New Roman" w:hAnsi="Times New Roman" w:eastAsia="宋体" w:cs="Times New Roman"/>
    </w:rPr>
  </w:style>
  <w:style w:type="character" w:default="1" w:styleId="3">
    <w:name w:val="Default Paragraph Font"/>
    <w:semiHidden/>
    <w:uiPriority w:val="0"/>
  </w:style>
  <w:style w:type="table" w:default="1" w:styleId="2">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chart" Target="charts/chart4.xml"/><Relationship Id="rId6" Type="http://schemas.openxmlformats.org/officeDocument/2006/relationships/chart" Target="charts/chart3.xml"/><Relationship Id="rId5" Type="http://schemas.openxmlformats.org/officeDocument/2006/relationships/chart" Target="charts/chart2.xml"/><Relationship Id="rId4" Type="http://schemas.openxmlformats.org/officeDocument/2006/relationships/chart" Target="charts/chart1.xml"/><Relationship Id="rId3" Type="http://schemas.openxmlformats.org/officeDocument/2006/relationships/theme" Target="theme/theme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4.png"/><Relationship Id="rId10" Type="http://schemas.openxmlformats.org/officeDocument/2006/relationships/image" Target="media/image3.png"/><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_rels/chart2.xml.rels><?xml version="1.0" encoding="UTF-8" standalone="yes"?>
<Relationships xmlns="http://schemas.openxmlformats.org/package/2006/relationships"><Relationship Id="rId4" Type="http://schemas.microsoft.com/office/2011/relationships/chartColorStyle" Target="colors3.xml"/><Relationship Id="rId3" Type="http://schemas.microsoft.com/office/2011/relationships/chartStyle" Target="style3.xml"/><Relationship Id="rId2" Type="http://schemas.openxmlformats.org/officeDocument/2006/relationships/themeOverride" Target="../theme/themeOverride1.xml"/><Relationship Id="rId1" Type="http://schemas.openxmlformats.org/officeDocument/2006/relationships/oleObject" Target="&#24037;&#20316;&#31807;1" TargetMode="External"/></Relationships>
</file>

<file path=word/charts/_rels/chart3.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oleObject" Target="&#24037;&#20316;&#31807;1" TargetMode="External"/></Relationships>
</file>

<file path=word/charts/_rels/chart4.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24037;&#20316;&#31807;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lineChart>
        <c:grouping val="standard"/>
        <c:varyColors val="0"/>
        <c:ser>
          <c:idx val="1"/>
          <c:order val="0"/>
          <c:tx>
            <c:strRef>
              <c:f>Sheet1!$B$1</c:f>
              <c:strCache>
                <c:ptCount val="1"/>
                <c:pt idx="0">
                  <c:v>万元</c:v>
                </c:pt>
              </c:strCache>
            </c:strRef>
          </c:tx>
          <c:spPr>
            <a:ln w="28575" cap="rnd">
              <a:solidFill>
                <a:schemeClr val="accent2"/>
              </a:solidFill>
              <a:round/>
            </a:ln>
            <a:effectLst/>
          </c:spPr>
          <c:marker>
            <c:symbol val="none"/>
          </c:marker>
          <c:dLbls>
            <c:delete val="1"/>
          </c:dLbls>
          <c:cat>
            <c:strRef>
              <c:f>Sheet1!$A$2:$A$4</c:f>
              <c:strCache>
                <c:ptCount val="3"/>
                <c:pt idx="0">
                  <c:v>上年度</c:v>
                </c:pt>
                <c:pt idx="1">
                  <c:v>本年度</c:v>
                </c:pt>
                <c:pt idx="2">
                  <c:v>年初预算</c:v>
                </c:pt>
              </c:strCache>
            </c:strRef>
          </c:cat>
          <c:val>
            <c:numRef>
              <c:f>Sheet1!$B$2:$B$4</c:f>
              <c:numCache>
                <c:formatCode>General</c:formatCode>
                <c:ptCount val="3"/>
                <c:pt idx="0">
                  <c:v>2471.08</c:v>
                </c:pt>
                <c:pt idx="1">
                  <c:v>1661.93</c:v>
                </c:pt>
                <c:pt idx="2">
                  <c:v>707.5</c:v>
                </c:pt>
              </c:numCache>
            </c:numRef>
          </c:val>
          <c:smooth val="0"/>
        </c:ser>
        <c:dLbls>
          <c:showLegendKey val="0"/>
          <c:showVal val="0"/>
          <c:showCatName val="0"/>
          <c:showSerName val="0"/>
          <c:showPercent val="0"/>
          <c:showBubbleSize val="0"/>
        </c:dLbls>
        <c:marker val="0"/>
        <c:smooth val="0"/>
        <c:axId val="322163499"/>
        <c:axId val="593512815"/>
      </c:lineChart>
      <c:catAx>
        <c:axId val="322163499"/>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593512815"/>
        <c:crosses val="autoZero"/>
        <c:auto val="1"/>
        <c:lblAlgn val="ctr"/>
        <c:lblOffset val="100"/>
        <c:noMultiLvlLbl val="0"/>
      </c:catAx>
      <c:valAx>
        <c:axId val="59351281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322163499"/>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0" vertOverflow="ellipsis" vert="horz" wrap="square" anchor="ctr" anchorCtr="1" forceAA="0"/>
          <a:lstStyle/>
          <a:p>
            <a:pPr>
              <a:defRPr lang="zh-CN" sz="1400" b="1" i="0" u="none" strike="noStrike" kern="1200" spc="0" baseline="0">
                <a:solidFill>
                  <a:srgbClr val="595959">
                    <a:lumMod val="65000"/>
                    <a:lumOff val="35000"/>
                  </a:srgb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r>
              <a:t>收入占比图</a:t>
            </a:r>
          </a:p>
        </c:rich>
      </c:tx>
      <c:layout>
        <c:manualLayout>
          <c:xMode val="edge"/>
          <c:yMode val="edge"/>
          <c:x val="0.417163591530523"/>
          <c:y val="0.025"/>
        </c:manualLayout>
      </c:layout>
      <c:overlay val="0"/>
      <c:spPr>
        <a:noFill/>
        <a:ln>
          <a:noFill/>
        </a:ln>
        <a:effectLst/>
      </c:spPr>
    </c:title>
    <c:autoTitleDeleted val="0"/>
    <c:plotArea>
      <c:layout>
        <c:manualLayout>
          <c:layoutTarget val="inner"/>
          <c:xMode val="edge"/>
          <c:yMode val="edge"/>
          <c:x val="0.300187115744453"/>
          <c:y val="0.243581156508149"/>
          <c:w val="0.412857524726009"/>
          <c:h val="0.689662871176602"/>
        </c:manualLayout>
      </c:layout>
      <c:pieChart>
        <c:varyColors val="1"/>
        <c:ser>
          <c:idx val="0"/>
          <c:order val="0"/>
          <c:spPr>
            <a:solidFill>
              <a:srgbClr val="90CAC7"/>
            </a:solidFill>
            <a:ln w="25400">
              <a:solidFill>
                <a:srgbClr val="FFFFFF"/>
              </a:solidFill>
            </a:ln>
            <a:effectLst/>
          </c:spPr>
          <c:explosion val="0"/>
          <c:dPt>
            <c:idx val="0"/>
            <c:bubble3D val="0"/>
            <c:spPr>
              <a:solidFill>
                <a:srgbClr val="FFBD4C"/>
              </a:solidFill>
              <a:ln w="25400">
                <a:solidFill>
                  <a:srgbClr val="FFFFFF"/>
                </a:solidFill>
              </a:ln>
              <a:effectLst/>
            </c:spPr>
          </c:dPt>
          <c:dPt>
            <c:idx val="1"/>
            <c:bubble3D val="0"/>
            <c:spPr>
              <a:solidFill>
                <a:srgbClr val="90CAC7"/>
              </a:solidFill>
              <a:ln w="25400">
                <a:solidFill>
                  <a:srgbClr val="FFFFFF"/>
                </a:solidFill>
              </a:ln>
              <a:effectLst/>
            </c:spPr>
          </c:dPt>
          <c:dLbls>
            <c:dLbl>
              <c:idx val="0"/>
              <c:layout/>
              <c:tx>
                <c:rich>
                  <a:bodyPr rot="0" spcFirstLastPara="0" vertOverflow="ellipsis" vert="horz" wrap="square" lIns="38100" tIns="19050" rIns="38100" bIns="19050" anchor="ctr" anchorCtr="1"/>
                  <a:lstStyle/>
                  <a:p>
                    <a:pPr defTabSz="914400">
                      <a:defRPr lang="zh-CN" sz="1000" b="1" i="0" u="none" strike="noStrike" kern="1200" baseline="0">
                        <a:solidFill>
                          <a:srgbClr val="FFFFFF"/>
                        </a:solidFill>
                        <a:latin typeface="Arial" panose="020B0604020202020204" pitchFamily="7" charset="0"/>
                        <a:ea typeface="Arial" panose="020B0604020202020204" pitchFamily="7" charset="0"/>
                        <a:cs typeface="Arial" panose="020B0604020202020204" pitchFamily="7" charset="0"/>
                        <a:sym typeface="Arial" panose="020B0604020202020204" pitchFamily="7" charset="0"/>
                      </a:defRPr>
                    </a:pPr>
                    <a:r>
                      <a:rPr lang="en-US" altLang="zh-CN"/>
                      <a:t>98</a:t>
                    </a:r>
                    <a:r>
                      <a:t>%</a:t>
                    </a:r>
                  </a:p>
                </c:rich>
              </c:tx>
              <c:dLblPos val="inEnd"/>
              <c:showLegendKey val="0"/>
              <c:showVal val="0"/>
              <c:showCatName val="0"/>
              <c:showSerName val="0"/>
              <c:showPercent val="1"/>
              <c:showBubbleSize val="0"/>
              <c:extLst>
                <c:ext xmlns:c15="http://schemas.microsoft.com/office/drawing/2012/chart" uri="{CE6537A1-D6FC-4f65-9D91-7224C49458BB}"/>
              </c:extLst>
            </c:dLbl>
            <c:dLbl>
              <c:idx val="1"/>
              <c:layout/>
              <c:tx>
                <c:rich>
                  <a:bodyPr rot="0" spcFirstLastPara="0" vertOverflow="ellipsis" vert="horz" wrap="square" lIns="38100" tIns="19050" rIns="38100" bIns="19050" anchor="ctr" anchorCtr="1"/>
                  <a:lstStyle/>
                  <a:p>
                    <a:pPr defTabSz="914400">
                      <a:defRPr lang="zh-CN" sz="1000" b="1" i="0" u="none" strike="noStrike" kern="1200" baseline="0">
                        <a:solidFill>
                          <a:srgbClr val="FFFFFF"/>
                        </a:solidFill>
                        <a:latin typeface="Arial" panose="020B0604020202020204" pitchFamily="7" charset="0"/>
                        <a:ea typeface="Arial" panose="020B0604020202020204" pitchFamily="7" charset="0"/>
                        <a:cs typeface="Arial" panose="020B0604020202020204" pitchFamily="7" charset="0"/>
                        <a:sym typeface="Arial" panose="020B0604020202020204" pitchFamily="7" charset="0"/>
                      </a:defRPr>
                    </a:pPr>
                    <a:r>
                      <a:rPr lang="en-US" altLang="zh-CN"/>
                      <a:t>2</a:t>
                    </a:r>
                    <a:r>
                      <a:t>%</a:t>
                    </a:r>
                  </a:p>
                </c:rich>
              </c:tx>
              <c:dLblPos val="inEnd"/>
              <c:showLegendKey val="0"/>
              <c:showVal val="0"/>
              <c:showCatName val="0"/>
              <c:showSerName val="0"/>
              <c:showPercent val="1"/>
              <c:showBubbleSize val="0"/>
              <c:extLst>
                <c:ext xmlns:c15="http://schemas.microsoft.com/office/drawing/2012/chart" uri="{CE6537A1-D6FC-4f65-9D91-7224C49458BB}"/>
              </c:extLst>
            </c:dLbl>
            <c:numFmt formatCode="General" sourceLinked="1"/>
            <c:spPr>
              <a:noFill/>
              <a:ln>
                <a:noFill/>
              </a:ln>
              <a:effectLst/>
            </c:spPr>
            <c:txPr>
              <a:bodyPr rot="0" spcFirstLastPara="0" vertOverflow="ellipsis" vert="horz" wrap="square" lIns="38100" tIns="19050" rIns="38100" bIns="19050" anchor="ctr" anchorCtr="1" forceAA="0"/>
              <a:lstStyle/>
              <a:p>
                <a:pPr>
                  <a:defRPr lang="zh-CN" sz="1000" b="1" i="0" u="none" strike="noStrike" kern="1200" baseline="0">
                    <a:solidFill>
                      <a:srgbClr val="FFFFFF"/>
                    </a:solidFill>
                    <a:latin typeface="Arial" panose="020B0604020202020204" pitchFamily="7" charset="0"/>
                    <a:ea typeface="Arial" panose="020B0604020202020204" pitchFamily="7" charset="0"/>
                    <a:cs typeface="Arial" panose="020B0604020202020204" pitchFamily="7" charset="0"/>
                    <a:sym typeface="Arial" panose="020B0604020202020204" pitchFamily="7" charset="0"/>
                  </a:defRPr>
                </a:pPr>
              </a:p>
            </c:txPr>
            <c:dLblPos val="inEnd"/>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rgbClr val="A6A6A6">
                          <a:lumMod val="35000"/>
                          <a:lumOff val="65000"/>
                        </a:srgbClr>
                      </a:solidFill>
                      <a:round/>
                    </a:ln>
                    <a:effectLst/>
                  </c:spPr>
                </c15:leaderLines>
              </c:ext>
            </c:extLst>
          </c:dLbls>
          <c:cat>
            <c:strRef>
              <c:f>[工作簿1]Sheet1!$H$98:$H$99</c:f>
              <c:strCache>
                <c:ptCount val="2"/>
                <c:pt idx="0">
                  <c:v>一、一般公共预算财政拨款收入</c:v>
                </c:pt>
                <c:pt idx="1">
                  <c:v>二、政府性基金预算财政拨款收入</c:v>
                </c:pt>
              </c:strCache>
            </c:strRef>
          </c:cat>
          <c:val>
            <c:numRef>
              <c:f>[工作簿1]Sheet1!$I$98:$I$99</c:f>
              <c:numCache>
                <c:formatCode>0.00%</c:formatCode>
                <c:ptCount val="2"/>
                <c:pt idx="0">
                  <c:v>0.987859559382942</c:v>
                </c:pt>
                <c:pt idx="1">
                  <c:v>0.0121404406170581</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forceAA="0"/>
        <a:lstStyle/>
        <a:p>
          <a:pPr>
            <a:defRPr lang="zh-CN" sz="800" b="0" i="0" u="none" strike="noStrike" kern="1200" baseline="0">
              <a:solidFill>
                <a:srgbClr val="595959">
                  <a:lumMod val="65000"/>
                  <a:lumOff val="35000"/>
                </a:srgb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legend>
    <c:plotVisOnly val="1"/>
    <c:dispBlanksAs val="gap"/>
    <c:showDLblsOverMax val="0"/>
  </c:chart>
  <c:spPr>
    <a:solidFill>
      <a:srgbClr val="FFFFFF"/>
    </a:solidFill>
    <a:ln w="9525" cap="flat" cmpd="sng" algn="ctr">
      <a:solidFill>
        <a:srgbClr val="D9D9D9">
          <a:lumMod val="15000"/>
          <a:lumOff val="85000"/>
        </a:srgbClr>
      </a:solidFill>
      <a:round/>
    </a:ln>
    <a:effectLst>
      <a:outerShdw blurRad="63500" dist="37357" dir="2700000" sx="0" sy="0" rotWithShape="0">
        <a:scrgbClr r="0" g="0" b="0"/>
      </a:outerShdw>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rPr b="1">
                <a:solidFill>
                  <a:srgbClr val="0000FF"/>
                </a:solidFill>
              </a:rPr>
              <a:t>支出占比图</a:t>
            </a:r>
            <a:endParaRPr b="1">
              <a:solidFill>
                <a:srgbClr val="0000FF"/>
              </a:solidFill>
            </a:endParaRPr>
          </a:p>
        </c:rich>
      </c:tx>
      <c:layout/>
      <c:overlay val="0"/>
      <c:spPr>
        <a:noFill/>
        <a:ln>
          <a:noFill/>
        </a:ln>
        <a:effectLst/>
      </c:spPr>
    </c:title>
    <c:autoTitleDeleted val="0"/>
    <c:plotArea>
      <c:layout/>
      <c:pieChart>
        <c:varyColors val="1"/>
        <c:ser>
          <c:idx val="0"/>
          <c:order val="0"/>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Pt>
            <c:idx val="4"/>
            <c:bubble3D val="0"/>
            <c:spPr>
              <a:solidFill>
                <a:schemeClr val="accent5"/>
              </a:solidFill>
              <a:ln w="19050">
                <a:solidFill>
                  <a:schemeClr val="lt1"/>
                </a:solidFill>
              </a:ln>
              <a:effectLst/>
            </c:spPr>
          </c:dPt>
          <c:dPt>
            <c:idx val="5"/>
            <c:bubble3D val="0"/>
            <c:spPr>
              <a:solidFill>
                <a:schemeClr val="accent6"/>
              </a:solidFill>
              <a:ln w="19050">
                <a:solidFill>
                  <a:schemeClr val="lt1"/>
                </a:solidFill>
              </a:ln>
              <a:effectLst/>
            </c:spPr>
          </c:dPt>
          <c:dPt>
            <c:idx val="6"/>
            <c:bubble3D val="0"/>
            <c:spPr>
              <a:solidFill>
                <a:schemeClr val="accent1">
                  <a:lumMod val="60000"/>
                </a:schemeClr>
              </a:solidFill>
              <a:ln w="19050">
                <a:solidFill>
                  <a:schemeClr val="lt1"/>
                </a:solidFill>
              </a:ln>
              <a:effectLst/>
            </c:spPr>
          </c:dPt>
          <c:dPt>
            <c:idx val="7"/>
            <c:bubble3D val="0"/>
            <c:spPr>
              <a:solidFill>
                <a:schemeClr val="accent2">
                  <a:lumMod val="60000"/>
                </a:schemeClr>
              </a:solidFill>
              <a:ln w="19050">
                <a:solidFill>
                  <a:schemeClr val="lt1"/>
                </a:solidFill>
              </a:ln>
              <a:effectLst/>
            </c:spPr>
          </c:dPt>
          <c:dPt>
            <c:idx val="8"/>
            <c:bubble3D val="0"/>
            <c:spPr>
              <a:solidFill>
                <a:schemeClr val="accent3">
                  <a:lumMod val="60000"/>
                </a:schemeClr>
              </a:solidFill>
              <a:ln w="19050">
                <a:solidFill>
                  <a:schemeClr val="lt1"/>
                </a:solidFill>
              </a:ln>
              <a:effectLst/>
            </c:spPr>
          </c:dPt>
          <c:dPt>
            <c:idx val="9"/>
            <c:bubble3D val="0"/>
            <c:spPr>
              <a:solidFill>
                <a:schemeClr val="accent4">
                  <a:lumMod val="60000"/>
                </a:schemeClr>
              </a:solidFill>
              <a:ln w="19050">
                <a:solidFill>
                  <a:schemeClr val="lt1"/>
                </a:solidFill>
              </a:ln>
              <a:effectLst/>
            </c:spPr>
          </c:dPt>
          <c:dPt>
            <c:idx val="10"/>
            <c:bubble3D val="0"/>
            <c:spPr>
              <a:solidFill>
                <a:schemeClr val="accent5">
                  <a:lumMod val="60000"/>
                </a:schemeClr>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[工作簿1]Sheet1!$A$4:$A$14</c:f>
              <c:strCache>
                <c:ptCount val="11"/>
                <c:pt idx="0">
                  <c:v>一、一般公共服务支出</c:v>
                </c:pt>
                <c:pt idx="1">
                  <c:v>七、文化旅游体育与传媒支出</c:v>
                </c:pt>
                <c:pt idx="3">
                  <c:v>八、社会保障和就业支出</c:v>
                </c:pt>
                <c:pt idx="4">
                  <c:v>九、卫生健康支出</c:v>
                </c:pt>
                <c:pt idx="5">
                  <c:v>十一、城乡社区支出</c:v>
                </c:pt>
                <c:pt idx="6">
                  <c:v>十二、农林水支出</c:v>
                </c:pt>
                <c:pt idx="7">
                  <c:v>十九、住房保障支出</c:v>
                </c:pt>
                <c:pt idx="8">
                  <c:v>二十一、灾害防治及应急管理支出</c:v>
                </c:pt>
                <c:pt idx="9">
                  <c:v>二十二、其他支出</c:v>
                </c:pt>
                <c:pt idx="10">
                  <c:v>二十六、抗疫特别国债安排的支出</c:v>
                </c:pt>
              </c:strCache>
            </c:strRef>
          </c:cat>
          <c:val>
            <c:numRef>
              <c:f>[工作簿1]Sheet1!$B$4:$B$14</c:f>
              <c:numCache>
                <c:formatCode>General</c:formatCode>
                <c:ptCount val="11"/>
                <c:pt idx="0">
                  <c:v>4565263.31</c:v>
                </c:pt>
                <c:pt idx="1">
                  <c:v>183396.79</c:v>
                </c:pt>
                <c:pt idx="3">
                  <c:v>1122947.33</c:v>
                </c:pt>
                <c:pt idx="4">
                  <c:v>385269.19</c:v>
                </c:pt>
                <c:pt idx="5">
                  <c:v>603908.05</c:v>
                </c:pt>
                <c:pt idx="6">
                  <c:v>3759739.35</c:v>
                </c:pt>
                <c:pt idx="7">
                  <c:v>430983.6</c:v>
                </c:pt>
                <c:pt idx="8">
                  <c:v>0</c:v>
                </c:pt>
                <c:pt idx="9">
                  <c:v>510000</c:v>
                </c:pt>
                <c:pt idx="10">
                  <c:v>325086.99</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收入支出与上年度对比情况</a:t>
            </a:r>
          </a:p>
        </c:rich>
      </c:tx>
      <c:layout/>
      <c:overlay val="0"/>
      <c:spPr>
        <a:noFill/>
        <a:ln>
          <a:noFill/>
        </a:ln>
        <a:effectLst/>
      </c:spPr>
    </c:title>
    <c:autoTitleDeleted val="0"/>
    <c:plotArea>
      <c:layout/>
      <c:lineChart>
        <c:grouping val="standard"/>
        <c:varyColors val="0"/>
        <c:ser>
          <c:idx val="0"/>
          <c:order val="0"/>
          <c:tx>
            <c:strRef>
              <c:f>[工作簿1]Sheet2!$B$1</c:f>
              <c:strCache>
                <c:ptCount val="1"/>
                <c:pt idx="0">
                  <c:v>上年度</c:v>
                </c:pt>
              </c:strCache>
            </c:strRef>
          </c:tx>
          <c:spPr>
            <a:ln w="28575" cap="rnd">
              <a:solidFill>
                <a:schemeClr val="accent1"/>
              </a:solidFill>
              <a:round/>
            </a:ln>
            <a:effectLst/>
          </c:spPr>
          <c:marker>
            <c:symbol val="none"/>
          </c:marker>
          <c:dLbls>
            <c:delete val="1"/>
          </c:dLbls>
          <c:cat>
            <c:strRef>
              <c:f>[工作簿1]Sheet2!$A$2:$A$14</c:f>
              <c:strCache>
                <c:ptCount val="13"/>
                <c:pt idx="0">
                  <c:v>一、一般公共预算财政拨款收入</c:v>
                </c:pt>
                <c:pt idx="1">
                  <c:v>二、政府性基金预算财政拨款收入</c:v>
                </c:pt>
                <c:pt idx="2">
                  <c:v>一、一般公共服务支出</c:v>
                </c:pt>
                <c:pt idx="3">
                  <c:v>七、文化旅游体育与传媒支出</c:v>
                </c:pt>
                <c:pt idx="5">
                  <c:v>八、社会保障和就业支出</c:v>
                </c:pt>
                <c:pt idx="6">
                  <c:v>九、卫生健康支出</c:v>
                </c:pt>
                <c:pt idx="7">
                  <c:v>十一、城乡社区支出</c:v>
                </c:pt>
                <c:pt idx="8">
                  <c:v>十二、农林水支出</c:v>
                </c:pt>
                <c:pt idx="9">
                  <c:v>十九、住房保障支出</c:v>
                </c:pt>
                <c:pt idx="10">
                  <c:v>二十一、灾害防治及应急管理支出</c:v>
                </c:pt>
                <c:pt idx="11">
                  <c:v>二十二、其他支出</c:v>
                </c:pt>
                <c:pt idx="12">
                  <c:v>二十六、抗疫特别国债安排的支出</c:v>
                </c:pt>
              </c:strCache>
            </c:strRef>
          </c:cat>
          <c:val>
            <c:numRef>
              <c:f>[工作簿1]Sheet2!$B$2:$B$14</c:f>
              <c:numCache>
                <c:formatCode>General</c:formatCode>
                <c:ptCount val="13"/>
                <c:pt idx="0">
                  <c:v>24410844.04</c:v>
                </c:pt>
                <c:pt idx="1">
                  <c:v>300000</c:v>
                </c:pt>
                <c:pt idx="2">
                  <c:v>3240096.26</c:v>
                </c:pt>
                <c:pt idx="3">
                  <c:v>149548</c:v>
                </c:pt>
                <c:pt idx="5">
                  <c:v>1375670.28</c:v>
                </c:pt>
                <c:pt idx="6">
                  <c:v>353391.52</c:v>
                </c:pt>
                <c:pt idx="7">
                  <c:v>471649.82</c:v>
                </c:pt>
                <c:pt idx="8">
                  <c:v>3806159</c:v>
                </c:pt>
                <c:pt idx="9">
                  <c:v>397466.4</c:v>
                </c:pt>
                <c:pt idx="10">
                  <c:v>100000</c:v>
                </c:pt>
                <c:pt idx="11">
                  <c:v>11046862.76</c:v>
                </c:pt>
                <c:pt idx="12">
                  <c:v>0</c:v>
                </c:pt>
              </c:numCache>
            </c:numRef>
          </c:val>
          <c:smooth val="0"/>
        </c:ser>
        <c:ser>
          <c:idx val="1"/>
          <c:order val="1"/>
          <c:tx>
            <c:strRef>
              <c:f>[工作簿1]Sheet2!$C$1</c:f>
              <c:strCache>
                <c:ptCount val="1"/>
                <c:pt idx="0">
                  <c:v>本年度</c:v>
                </c:pt>
              </c:strCache>
            </c:strRef>
          </c:tx>
          <c:spPr>
            <a:ln w="28575" cap="rnd">
              <a:solidFill>
                <a:schemeClr val="accent2"/>
              </a:solidFill>
              <a:round/>
            </a:ln>
            <a:effectLst/>
          </c:spPr>
          <c:marker>
            <c:symbol val="none"/>
          </c:marker>
          <c:dLbls>
            <c:delete val="1"/>
          </c:dLbls>
          <c:cat>
            <c:strRef>
              <c:f>[工作簿1]Sheet2!$A$2:$A$14</c:f>
              <c:strCache>
                <c:ptCount val="13"/>
                <c:pt idx="0">
                  <c:v>一、一般公共预算财政拨款收入</c:v>
                </c:pt>
                <c:pt idx="1">
                  <c:v>二、政府性基金预算财政拨款收入</c:v>
                </c:pt>
                <c:pt idx="2">
                  <c:v>一、一般公共服务支出</c:v>
                </c:pt>
                <c:pt idx="3">
                  <c:v>七、文化旅游体育与传媒支出</c:v>
                </c:pt>
                <c:pt idx="5">
                  <c:v>八、社会保障和就业支出</c:v>
                </c:pt>
                <c:pt idx="6">
                  <c:v>九、卫生健康支出</c:v>
                </c:pt>
                <c:pt idx="7">
                  <c:v>十一、城乡社区支出</c:v>
                </c:pt>
                <c:pt idx="8">
                  <c:v>十二、农林水支出</c:v>
                </c:pt>
                <c:pt idx="9">
                  <c:v>十九、住房保障支出</c:v>
                </c:pt>
                <c:pt idx="10">
                  <c:v>二十一、灾害防治及应急管理支出</c:v>
                </c:pt>
                <c:pt idx="11">
                  <c:v>二十二、其他支出</c:v>
                </c:pt>
                <c:pt idx="12">
                  <c:v>二十六、抗疫特别国债安排的支出</c:v>
                </c:pt>
              </c:strCache>
            </c:strRef>
          </c:cat>
          <c:val>
            <c:numRef>
              <c:f>[工作簿1]Sheet2!$C$2:$C$14</c:f>
              <c:numCache>
                <c:formatCode>General</c:formatCode>
                <c:ptCount val="13"/>
                <c:pt idx="0">
                  <c:v>16149300.62</c:v>
                </c:pt>
                <c:pt idx="1">
                  <c:v>470000</c:v>
                </c:pt>
                <c:pt idx="2">
                  <c:v>4565263.31</c:v>
                </c:pt>
                <c:pt idx="3">
                  <c:v>183396.79</c:v>
                </c:pt>
                <c:pt idx="5">
                  <c:v>1122947.33</c:v>
                </c:pt>
                <c:pt idx="6">
                  <c:v>385269.19</c:v>
                </c:pt>
                <c:pt idx="7">
                  <c:v>603908.05</c:v>
                </c:pt>
                <c:pt idx="8">
                  <c:v>3759739.35</c:v>
                </c:pt>
                <c:pt idx="9">
                  <c:v>430983.6</c:v>
                </c:pt>
                <c:pt idx="10">
                  <c:v>0</c:v>
                </c:pt>
                <c:pt idx="11">
                  <c:v>510000</c:v>
                </c:pt>
                <c:pt idx="12">
                  <c:v>325086.99</c:v>
                </c:pt>
              </c:numCache>
            </c:numRef>
          </c:val>
          <c:smooth val="0"/>
        </c:ser>
        <c:dLbls>
          <c:showLegendKey val="0"/>
          <c:showVal val="0"/>
          <c:showCatName val="0"/>
          <c:showSerName val="0"/>
          <c:showPercent val="0"/>
          <c:showBubbleSize val="0"/>
        </c:dLbls>
        <c:marker val="0"/>
        <c:smooth val="0"/>
        <c:axId val="709995360"/>
        <c:axId val="911663312"/>
      </c:lineChart>
      <c:catAx>
        <c:axId val="709995360"/>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911663312"/>
        <c:crosses val="autoZero"/>
        <c:auto val="1"/>
        <c:lblAlgn val="ctr"/>
        <c:lblOffset val="100"/>
        <c:noMultiLvlLbl val="0"/>
      </c:catAx>
      <c:valAx>
        <c:axId val="9116633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709995360"/>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rgbClr val="4F81BD"/>
  <a:srgbClr val="C0504D"/>
  <a:srgbClr val="9BBB59"/>
  <a:srgbClr val="8064A2"/>
  <a:srgbClr val="4BACC6"/>
  <a:srgbClr val="F7964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rgbClr val="595959">
        <a:lumMod val="65000"/>
        <a:lumOff val="35000"/>
      </a:srgbClr>
    </cs:fontRef>
    <cs:defRPr sz="1000" kern="1200"/>
  </cs:axisTitle>
  <cs:categoryAxis>
    <cs:lnRef idx="0"/>
    <cs:fillRef idx="0"/>
    <cs:effectRef idx="0"/>
    <cs:fontRef idx="minor">
      <a:srgbClr val="595959">
        <a:lumMod val="65000"/>
        <a:lumOff val="35000"/>
      </a:srgbClr>
    </cs:fontRef>
    <cs:spPr>
      <a:ln w="9525" cap="flat" cmpd="sng" algn="ctr">
        <a:solidFill>
          <a:srgbClr val="D9D9D9">
            <a:lumMod val="15000"/>
            <a:lumOff val="85000"/>
          </a:srgbClr>
        </a:solidFill>
        <a:round/>
      </a:ln>
    </cs:spPr>
    <cs:defRPr sz="900" kern="1200"/>
  </cs:categoryAxis>
  <cs:chartArea mods="allowNoFillOverride allowNoLineOverride">
    <cs:lnRef idx="0"/>
    <cs:fillRef idx="0"/>
    <cs:effectRef idx="0"/>
    <cs:fontRef idx="minor">
      <a:srgbClr val="000000"/>
    </cs:fontRef>
    <cs:spPr>
      <a:solidFill>
        <a:srgbClr val="FFFFFF"/>
      </a:solidFill>
      <a:ln w="9525" cap="flat" cmpd="sng" algn="ctr">
        <a:solidFill>
          <a:srgbClr val="D9D9D9">
            <a:lumMod val="15000"/>
            <a:lumOff val="85000"/>
          </a:srgbClr>
        </a:solidFill>
        <a:round/>
      </a:ln>
    </cs:spPr>
    <cs:defRPr sz="1000" kern="1200"/>
  </cs:chartArea>
  <cs:dataLabel>
    <cs:lnRef idx="0"/>
    <cs:fillRef idx="0"/>
    <cs:effectRef idx="0"/>
    <cs:fontRef idx="minor">
      <a:srgbClr val="404040">
        <a:lumMod val="75000"/>
        <a:lumOff val="25000"/>
      </a:srgbClr>
    </cs:fontRef>
    <cs:defRPr sz="900" kern="1200"/>
  </cs:dataLabel>
  <cs:dataLabelCallout>
    <cs:lnRef idx="0"/>
    <cs:fillRef idx="0"/>
    <cs:effectRef idx="0"/>
    <cs:fontRef idx="minor">
      <a:srgbClr val="595959">
        <a:lumMod val="65000"/>
        <a:lumOff val="35000"/>
      </a:srgbClr>
    </cs:fontRef>
    <cs:spPr>
      <a:solidFill>
        <a:srgbClr val="FFFFFF"/>
      </a:solidFill>
      <a:ln>
        <a:solidFill>
          <a:srgbClr val="BFBFBF">
            <a:lumMod val="25000"/>
            <a:lumOff val="75000"/>
          </a:srgb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rgbClr val="000000"/>
    </cs:fontRef>
  </cs:dataPoint>
  <cs:dataPoint3D>
    <cs:lnRef idx="0"/>
    <cs:fillRef idx="1">
      <cs:styleClr val="auto"/>
    </cs:fillRef>
    <cs:effectRef idx="0"/>
    <cs:fontRef idx="minor">
      <a:srgbClr val="000000"/>
    </cs:fontRef>
  </cs:dataPoint3D>
  <cs:dataPointLine>
    <cs:lnRef idx="0">
      <cs:styleClr val="auto"/>
    </cs:lnRef>
    <cs:fillRef idx="1"/>
    <cs:effectRef idx="0"/>
    <cs:fontRef idx="minor">
      <a:srgbClr val="000000"/>
    </cs:fontRef>
    <cs:spPr>
      <a:ln w="28575" cap="rnd">
        <a:solidFill>
          <a:srgbClr val="FFFFFF"/>
        </a:solidFill>
        <a:round/>
      </a:ln>
    </cs:spPr>
  </cs:dataPointLine>
  <cs:dataPointMarker>
    <cs:lnRef idx="0">
      <cs:styleClr val="auto"/>
    </cs:lnRef>
    <cs:fillRef idx="1">
      <cs:styleClr val="auto"/>
    </cs:fillRef>
    <cs:effectRef idx="0"/>
    <cs:fontRef idx="minor">
      <a:srgbClr val="000000"/>
    </cs:fontRef>
    <cs:spPr>
      <a:ln w="9525">
        <a:solidFill>
          <a:srgbClr val="FFFFFF"/>
        </a:solidFill>
      </a:ln>
    </cs:spPr>
  </cs:dataPointMarker>
  <cs:dataPointMarkerLayout symbol="circle" size="5"/>
  <cs:dataPointWireframe>
    <cs:lnRef idx="0">
      <cs:styleClr val="auto"/>
    </cs:lnRef>
    <cs:fillRef idx="1"/>
    <cs:effectRef idx="0"/>
    <cs:fontRef idx="minor">
      <a:srgbClr val="000000"/>
    </cs:fontRef>
    <cs:spPr>
      <a:ln w="9525" cap="rnd">
        <a:solidFill>
          <a:srgbClr val="FFFFFF"/>
        </a:solidFill>
        <a:round/>
      </a:ln>
    </cs:spPr>
  </cs:dataPointWireframe>
  <cs:dataTable>
    <cs:lnRef idx="0"/>
    <cs:fillRef idx="0"/>
    <cs:effectRef idx="0"/>
    <cs:fontRef idx="minor">
      <a:srgbClr val="595959">
        <a:lumMod val="65000"/>
        <a:lumOff val="35000"/>
      </a:srgbClr>
    </cs:fontRef>
    <cs:spPr>
      <a:noFill/>
      <a:ln w="9525" cap="flat" cmpd="sng" algn="ctr">
        <a:solidFill>
          <a:srgbClr val="D9D9D9">
            <a:lumMod val="15000"/>
            <a:lumOff val="85000"/>
          </a:srgbClr>
        </a:solidFill>
        <a:round/>
      </a:ln>
    </cs:spPr>
    <cs:defRPr sz="900" kern="1200"/>
  </cs:dataTable>
  <cs:downBar>
    <cs:lnRef idx="0"/>
    <cs:fillRef idx="0"/>
    <cs:effectRef idx="0"/>
    <cs:fontRef idx="minor">
      <a:srgbClr val="000000"/>
    </cs:fontRef>
    <cs:spPr>
      <a:solidFill>
        <a:srgbClr val="595959">
          <a:lumMod val="65000"/>
          <a:lumOff val="35000"/>
        </a:srgbClr>
      </a:solidFill>
      <a:ln w="9525">
        <a:solidFill>
          <a:srgbClr val="595959">
            <a:lumMod val="65000"/>
            <a:lumOff val="35000"/>
          </a:srgbClr>
        </a:solidFill>
      </a:ln>
    </cs:spPr>
  </cs:downBar>
  <cs:dropLine>
    <cs:lnRef idx="0"/>
    <cs:fillRef idx="0"/>
    <cs:effectRef idx="0"/>
    <cs:fontRef idx="minor">
      <a:srgbClr val="000000"/>
    </cs:fontRef>
    <cs:spPr>
      <a:ln w="9525" cap="flat" cmpd="sng" algn="ctr">
        <a:solidFill>
          <a:srgbClr val="A6A6A6">
            <a:lumMod val="35000"/>
            <a:lumOff val="65000"/>
          </a:srgbClr>
        </a:solidFill>
        <a:round/>
      </a:ln>
    </cs:spPr>
  </cs:dropLine>
  <cs:errorBar>
    <cs:lnRef idx="0"/>
    <cs:fillRef idx="0"/>
    <cs:effectRef idx="0"/>
    <cs:fontRef idx="minor">
      <a:srgbClr val="000000"/>
    </cs:fontRef>
    <cs:spPr>
      <a:ln w="9525" cap="flat" cmpd="sng" algn="ctr">
        <a:solidFill>
          <a:srgbClr val="595959">
            <a:lumMod val="65000"/>
            <a:lumOff val="35000"/>
          </a:srgbClr>
        </a:solidFill>
        <a:round/>
      </a:ln>
    </cs:spPr>
  </cs:errorBar>
  <cs:floor>
    <cs:lnRef idx="0"/>
    <cs:fillRef idx="0"/>
    <cs:effectRef idx="0"/>
    <cs:fontRef idx="minor">
      <a:srgbClr val="000000"/>
    </cs:fontRef>
    <cs:spPr>
      <a:noFill/>
      <a:ln>
        <a:noFill/>
      </a:ln>
    </cs:spPr>
  </cs:floor>
  <cs:gridlineMajor>
    <cs:lnRef idx="0"/>
    <cs:fillRef idx="0"/>
    <cs:effectRef idx="0"/>
    <cs:fontRef idx="minor">
      <a:srgbClr val="000000"/>
    </cs:fontRef>
    <cs:spPr>
      <a:ln w="9525" cap="flat" cmpd="sng" algn="ctr">
        <a:solidFill>
          <a:srgbClr val="D9D9D9">
            <a:lumMod val="15000"/>
            <a:lumOff val="85000"/>
          </a:srgbClr>
        </a:solidFill>
        <a:round/>
      </a:ln>
    </cs:spPr>
  </cs:gridlineMajor>
  <cs:gridlineMinor>
    <cs:lnRef idx="0"/>
    <cs:fillRef idx="0"/>
    <cs:effectRef idx="0"/>
    <cs:fontRef idx="minor">
      <a:srgbClr val="000000"/>
    </cs:fontRef>
    <cs:spPr>
      <a:ln w="9525" cap="flat" cmpd="sng" algn="ctr">
        <a:solidFill>
          <a:srgbClr val="F2F2F2">
            <a:lumMod val="5000"/>
            <a:lumOff val="95000"/>
          </a:srgbClr>
        </a:solidFill>
        <a:round/>
      </a:ln>
    </cs:spPr>
  </cs:gridlineMinor>
  <cs:hiLoLine>
    <cs:lnRef idx="0"/>
    <cs:fillRef idx="0"/>
    <cs:effectRef idx="0"/>
    <cs:fontRef idx="minor">
      <a:srgbClr val="000000"/>
    </cs:fontRef>
    <cs:spPr>
      <a:ln w="9525" cap="flat" cmpd="sng" algn="ctr">
        <a:solidFill>
          <a:srgbClr val="404040">
            <a:lumMod val="75000"/>
            <a:lumOff val="25000"/>
          </a:srgbClr>
        </a:solidFill>
        <a:round/>
      </a:ln>
    </cs:spPr>
  </cs:hiLoLine>
  <cs:leaderLine>
    <cs:lnRef idx="0"/>
    <cs:fillRef idx="0"/>
    <cs:effectRef idx="0"/>
    <cs:fontRef idx="minor">
      <a:srgbClr val="000000"/>
    </cs:fontRef>
    <cs:spPr>
      <a:ln w="9525" cap="flat" cmpd="sng" algn="ctr">
        <a:solidFill>
          <a:srgbClr val="A6A6A6">
            <a:lumMod val="35000"/>
            <a:lumOff val="65000"/>
          </a:srgbClr>
        </a:solidFill>
        <a:round/>
      </a:ln>
    </cs:spPr>
  </cs:leaderLine>
  <cs:legend>
    <cs:lnRef idx="0"/>
    <cs:fillRef idx="0"/>
    <cs:effectRef idx="0"/>
    <cs:fontRef idx="minor">
      <a:srgbClr val="595959">
        <a:lumMod val="65000"/>
        <a:lumOff val="35000"/>
      </a:srgbClr>
    </cs:fontRef>
    <cs:defRPr sz="900" kern="1200"/>
  </cs:legend>
  <cs:plotArea mods="allowNoFillOverride allowNoLineOverride">
    <cs:lnRef idx="0"/>
    <cs:fillRef idx="0"/>
    <cs:effectRef idx="0"/>
    <cs:fontRef idx="minor">
      <a:srgbClr val="000000"/>
    </cs:fontRef>
  </cs:plotArea>
  <cs:plotArea3D mods="allowNoFillOverride allowNoLineOverride">
    <cs:lnRef idx="0"/>
    <cs:fillRef idx="0"/>
    <cs:effectRef idx="0"/>
    <cs:fontRef idx="minor">
      <a:srgbClr val="000000"/>
    </cs:fontRef>
  </cs:plotArea3D>
  <cs:seriesAxis>
    <cs:lnRef idx="0"/>
    <cs:fillRef idx="0"/>
    <cs:effectRef idx="0"/>
    <cs:fontRef idx="minor">
      <a:srgbClr val="595959">
        <a:lumMod val="65000"/>
        <a:lumOff val="35000"/>
      </a:srgbClr>
    </cs:fontRef>
    <cs:defRPr sz="900" kern="1200"/>
  </cs:seriesAxis>
  <cs:seriesLine>
    <cs:lnRef idx="0"/>
    <cs:fillRef idx="0"/>
    <cs:effectRef idx="0"/>
    <cs:fontRef idx="minor">
      <a:srgbClr val="000000"/>
    </cs:fontRef>
    <cs:spPr>
      <a:ln w="9525" cap="flat" cmpd="sng" algn="ctr">
        <a:solidFill>
          <a:srgbClr val="A6A6A6">
            <a:lumMod val="35000"/>
            <a:lumOff val="65000"/>
          </a:srgbClr>
        </a:solidFill>
        <a:round/>
      </a:ln>
    </cs:spPr>
  </cs:seriesLine>
  <cs:title>
    <cs:lnRef idx="0"/>
    <cs:fillRef idx="0"/>
    <cs:effectRef idx="0"/>
    <cs:fontRef idx="minor">
      <a:srgbClr val="595959">
        <a:lumMod val="65000"/>
        <a:lumOff val="35000"/>
      </a:srgbClr>
    </cs:fontRef>
    <cs:defRPr sz="1400" b="0" kern="1200" spc="0" baseline="0"/>
  </cs:title>
  <cs:trendline>
    <cs:lnRef idx="0">
      <cs:styleClr val="auto"/>
    </cs:lnRef>
    <cs:fillRef idx="0"/>
    <cs:effectRef idx="0"/>
    <cs:fontRef idx="minor">
      <a:srgbClr val="000000"/>
    </cs:fontRef>
    <cs:spPr>
      <a:ln w="19050" cap="rnd">
        <a:solidFill>
          <a:srgbClr val="FFFFFF"/>
        </a:solidFill>
        <a:prstDash val="sysDot"/>
      </a:ln>
    </cs:spPr>
  </cs:trendline>
  <cs:trendlineLabel>
    <cs:lnRef idx="0"/>
    <cs:fillRef idx="0"/>
    <cs:effectRef idx="0"/>
    <cs:fontRef idx="minor">
      <a:srgbClr val="595959">
        <a:lumMod val="65000"/>
        <a:lumOff val="35000"/>
      </a:srgbClr>
    </cs:fontRef>
    <cs:defRPr sz="900" kern="1200"/>
  </cs:trendlineLabel>
  <cs:upBar>
    <cs:lnRef idx="0"/>
    <cs:fillRef idx="0"/>
    <cs:effectRef idx="0"/>
    <cs:fontRef idx="minor">
      <a:srgbClr val="000000"/>
    </cs:fontRef>
    <cs:spPr>
      <a:solidFill>
        <a:srgbClr val="FFFFFF"/>
      </a:solidFill>
      <a:ln w="9525">
        <a:solidFill>
          <a:srgbClr val="D9D9D9">
            <a:lumMod val="15000"/>
            <a:lumOff val="85000"/>
          </a:srgbClr>
        </a:solidFill>
      </a:ln>
    </cs:spPr>
  </cs:upBar>
  <cs:valueAxis>
    <cs:lnRef idx="0"/>
    <cs:fillRef idx="0"/>
    <cs:effectRef idx="0"/>
    <cs:fontRef idx="minor">
      <a:srgbClr val="595959">
        <a:lumMod val="65000"/>
        <a:lumOff val="35000"/>
      </a:srgbClr>
    </cs:fontRef>
    <cs:defRPr sz="900" kern="1200"/>
  </cs:valueAxis>
  <cs:wall>
    <cs:lnRef idx="0"/>
    <cs:fillRef idx="0"/>
    <cs:effectRef idx="0"/>
    <cs:fontRef idx="minor">
      <a:srgbClr val="000000"/>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rgbClr val="FFFFFF"/>
      </a:solidFill>
      <a:gradFill rotWithShape="1">
        <a:gsLst>
          <a:gs pos="0">
            <a:srgbClr val="FFFFFF">
              <a:tint val="50000"/>
              <a:satMod val="300000"/>
            </a:srgbClr>
          </a:gs>
          <a:gs pos="35000">
            <a:srgbClr val="FFFFFF">
              <a:tint val="37000"/>
              <a:satMod val="300000"/>
            </a:srgbClr>
          </a:gs>
          <a:gs pos="100000">
            <a:srgbClr val="FFFFFF">
              <a:tint val="15000"/>
              <a:satMod val="350000"/>
            </a:srgbClr>
          </a:gs>
        </a:gsLst>
        <a:lin ang="16200000" scaled="1"/>
      </a:gradFill>
      <a:gradFill rotWithShape="1">
        <a:gsLst>
          <a:gs pos="0">
            <a:srgbClr val="BDBDBD">
              <a:shade val="51000"/>
              <a:satMod val="130000"/>
            </a:srgbClr>
          </a:gs>
          <a:gs pos="80000">
            <a:srgbClr val="F7F7F7">
              <a:shade val="93000"/>
              <a:satMod val="130000"/>
            </a:srgbClr>
          </a:gs>
          <a:gs pos="100000">
            <a:srgbClr val="F8F8F8">
              <a:shade val="94000"/>
              <a:satMod val="135000"/>
            </a:srgbClr>
          </a:gs>
        </a:gsLst>
        <a:lin ang="16200000" scaled="0"/>
      </a:gradFill>
    </a:fillStyleLst>
    <a:lnStyleLst>
      <a:ln w="9525" cap="flat" cmpd="sng" algn="ctr">
        <a:solidFill>
          <a:srgbClr val="F9F9F9">
            <a:shade val="95000"/>
            <a:satMod val="105000"/>
          </a:srgbClr>
        </a:solidFill>
        <a:prstDash val="solid"/>
      </a:ln>
      <a:ln w="25400" cap="flat" cmpd="sng" algn="ctr">
        <a:solidFill>
          <a:srgbClr val="FFFFFF"/>
        </a:solidFill>
        <a:prstDash val="solid"/>
      </a:ln>
      <a:ln w="38100" cap="flat" cmpd="sng" algn="ctr">
        <a:solidFill>
          <a:srgbClr val="FFFFFF"/>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rgbClr val="FFFFFF"/>
      </a:solidFill>
      <a:gradFill rotWithShape="1">
        <a:gsLst>
          <a:gs pos="0">
            <a:srgbClr val="FFFFFF">
              <a:tint val="40000"/>
              <a:satMod val="350000"/>
            </a:srgbClr>
          </a:gs>
          <a:gs pos="40000">
            <a:srgbClr val="FEFEFE">
              <a:tint val="45000"/>
              <a:shade val="99000"/>
              <a:satMod val="350000"/>
            </a:srgbClr>
          </a:gs>
          <a:gs pos="100000">
            <a:srgbClr val="7C7C7C">
              <a:shade val="20000"/>
              <a:satMod val="255000"/>
            </a:srgbClr>
          </a:gs>
        </a:gsLst>
        <a:path path="circle">
          <a:fillToRect l="50000" t="-80000" r="50000" b="180000"/>
        </a:path>
      </a:gradFill>
      <a:gradFill rotWithShape="1">
        <a:gsLst>
          <a:gs pos="0">
            <a:srgbClr val="FFFFFF">
              <a:tint val="80000"/>
              <a:satMod val="300000"/>
            </a:srgbClr>
          </a:gs>
          <a:gs pos="100000">
            <a:srgbClr val="959595">
              <a:shade val="30000"/>
              <a:satMod val="200000"/>
            </a:srgb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Office_11.1.0.9021_F1E327BC-269C-435d-A152-05C5408002CA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2021-01-14T02:08:00Z</dcterms:created>
  <dc:creator>Administrator</dc:creator>
  <cp:lastModifiedBy>Administrator</cp:lastModifiedBy>
  <dcterms:modified xsi:type="dcterms:W3CDTF">2021-01-14T04:49:56Z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2052-11.1.0.9021</vt:lpwstr>
  </property>
</Properties>
</file>