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20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  <w:t>20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年莫旗地方财政预算公开说明</w:t>
      </w:r>
    </w:p>
    <w:p>
      <w:pPr>
        <w:rPr>
          <w:rFonts w:hint="eastAsia" w:ascii="仿宋" w:hAnsi="仿宋" w:eastAsia="仿宋" w:cs="仿宋"/>
          <w:sz w:val="32"/>
          <w:szCs w:val="32"/>
        </w:rPr>
      </w:pP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按照《中华人民共和国预算法》及地方政府预算公开相关要求，现就20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年莫旗地方政府预算公开相关内容说明如下：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一、20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年本级一般公共预算收入情况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根据</w:t>
      </w:r>
      <w:r>
        <w:rPr>
          <w:rFonts w:hint="eastAsia" w:ascii="仿宋" w:hAnsi="仿宋" w:eastAsia="仿宋" w:cs="仿宋"/>
          <w:sz w:val="32"/>
          <w:szCs w:val="32"/>
        </w:rPr>
        <w:t>莫旗实际，综合分析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收支增减因素</w:t>
      </w:r>
      <w:r>
        <w:rPr>
          <w:rFonts w:hint="eastAsia" w:ascii="仿宋" w:hAnsi="仿宋" w:eastAsia="仿宋" w:cs="仿宋"/>
          <w:sz w:val="32"/>
          <w:szCs w:val="32"/>
        </w:rPr>
        <w:t>，经测算，20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年旗本级一般公共预算收入2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673</w:t>
      </w:r>
      <w:r>
        <w:rPr>
          <w:rFonts w:hint="eastAsia" w:ascii="仿宋" w:hAnsi="仿宋" w:eastAsia="仿宋" w:cs="仿宋"/>
          <w:sz w:val="32"/>
          <w:szCs w:val="32"/>
        </w:rPr>
        <w:t>万元，其中：税收收入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178</w:t>
      </w:r>
      <w:r>
        <w:rPr>
          <w:rFonts w:hint="eastAsia" w:ascii="仿宋" w:hAnsi="仿宋" w:eastAsia="仿宋" w:cs="仿宋"/>
          <w:sz w:val="32"/>
          <w:szCs w:val="32"/>
        </w:rPr>
        <w:t>万元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较201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</w:t>
      </w:r>
      <w:r>
        <w:rPr>
          <w:rFonts w:hint="eastAsia" w:ascii="仿宋" w:hAnsi="仿宋" w:eastAsia="仿宋" w:cs="仿宋"/>
          <w:sz w:val="32"/>
          <w:szCs w:val="32"/>
        </w:rPr>
        <w:t>年决算数减少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320</w:t>
      </w:r>
      <w:r>
        <w:rPr>
          <w:rFonts w:hint="eastAsia" w:ascii="仿宋" w:hAnsi="仿宋" w:eastAsia="仿宋" w:cs="仿宋"/>
          <w:sz w:val="32"/>
          <w:szCs w:val="32"/>
        </w:rPr>
        <w:t>万元，下降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12.57</w:t>
      </w:r>
      <w:r>
        <w:rPr>
          <w:rFonts w:hint="eastAsia" w:ascii="仿宋" w:hAnsi="仿宋" w:eastAsia="仿宋" w:cs="仿宋"/>
          <w:sz w:val="32"/>
          <w:szCs w:val="32"/>
        </w:rPr>
        <w:t>%，下降的主要原因是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2019年加大陈欠税款的催收力度</w:t>
      </w:r>
      <w:r>
        <w:rPr>
          <w:rFonts w:hint="eastAsia" w:ascii="仿宋" w:hAnsi="仿宋" w:eastAsia="仿宋" w:cs="仿宋"/>
          <w:sz w:val="32"/>
          <w:szCs w:val="32"/>
        </w:rPr>
        <w:t>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2019年决算基数增高；</w:t>
      </w:r>
      <w:r>
        <w:rPr>
          <w:rFonts w:hint="eastAsia" w:ascii="仿宋" w:hAnsi="仿宋" w:eastAsia="仿宋" w:cs="仿宋"/>
          <w:sz w:val="32"/>
          <w:szCs w:val="32"/>
        </w:rPr>
        <w:t>非税收入1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495</w:t>
      </w:r>
      <w:r>
        <w:rPr>
          <w:rFonts w:hint="eastAsia" w:ascii="仿宋" w:hAnsi="仿宋" w:eastAsia="仿宋" w:cs="仿宋"/>
          <w:sz w:val="32"/>
          <w:szCs w:val="32"/>
        </w:rPr>
        <w:t>万元，较201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</w:t>
      </w:r>
      <w:r>
        <w:rPr>
          <w:rFonts w:hint="eastAsia" w:ascii="仿宋" w:hAnsi="仿宋" w:eastAsia="仿宋" w:cs="仿宋"/>
          <w:sz w:val="32"/>
          <w:szCs w:val="32"/>
        </w:rPr>
        <w:t>年决算数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减少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942</w:t>
      </w:r>
      <w:r>
        <w:rPr>
          <w:rFonts w:hint="eastAsia" w:ascii="仿宋" w:hAnsi="仿宋" w:eastAsia="仿宋" w:cs="仿宋"/>
          <w:sz w:val="32"/>
          <w:szCs w:val="32"/>
        </w:rPr>
        <w:t>万元，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降低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43.75</w:t>
      </w:r>
      <w:r>
        <w:rPr>
          <w:rFonts w:hint="eastAsia" w:ascii="仿宋" w:hAnsi="仿宋" w:eastAsia="仿宋" w:cs="仿宋"/>
          <w:sz w:val="32"/>
          <w:szCs w:val="32"/>
        </w:rPr>
        <w:t>%，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降低</w:t>
      </w:r>
      <w:r>
        <w:rPr>
          <w:rFonts w:hint="eastAsia" w:ascii="仿宋" w:hAnsi="仿宋" w:eastAsia="仿宋" w:cs="仿宋"/>
          <w:sz w:val="32"/>
          <w:szCs w:val="32"/>
        </w:rPr>
        <w:t>的主要原因是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存量资源资产在2019年度基本盘活完毕，</w:t>
      </w:r>
      <w:r>
        <w:rPr>
          <w:rFonts w:hint="eastAsia" w:ascii="仿宋" w:hAnsi="仿宋" w:eastAsia="仿宋" w:cs="仿宋"/>
          <w:sz w:val="32"/>
          <w:szCs w:val="32"/>
        </w:rPr>
        <w:t>一次性非税收入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锐减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二、转移性支付情况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年，年初预算转移性收入1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58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701</w:t>
      </w:r>
      <w:r>
        <w:rPr>
          <w:rFonts w:hint="eastAsia" w:ascii="仿宋" w:hAnsi="仿宋" w:eastAsia="仿宋" w:cs="仿宋"/>
          <w:sz w:val="32"/>
          <w:szCs w:val="32"/>
        </w:rPr>
        <w:t>万元，其中：一般性转移支付收入1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49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052</w:t>
      </w:r>
      <w:r>
        <w:rPr>
          <w:rFonts w:hint="eastAsia" w:ascii="仿宋" w:hAnsi="仿宋" w:eastAsia="仿宋" w:cs="仿宋"/>
          <w:sz w:val="32"/>
          <w:szCs w:val="32"/>
        </w:rPr>
        <w:t>万元，专项转移支付收入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427</w:t>
      </w:r>
      <w:r>
        <w:rPr>
          <w:rFonts w:hint="eastAsia" w:ascii="仿宋" w:hAnsi="仿宋" w:eastAsia="仿宋" w:cs="仿宋"/>
          <w:sz w:val="32"/>
          <w:szCs w:val="32"/>
        </w:rPr>
        <w:t>万元，结转上年专项转移支付收入4,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515</w:t>
      </w:r>
      <w:r>
        <w:rPr>
          <w:rFonts w:hint="eastAsia" w:ascii="仿宋" w:hAnsi="仿宋" w:eastAsia="仿宋" w:cs="仿宋"/>
          <w:sz w:val="32"/>
          <w:szCs w:val="32"/>
        </w:rPr>
        <w:t>万元，税收返还性收入4,707万元。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一般公共预算支出按资金来源划分，年初预算财力安排1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74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799</w:t>
      </w:r>
      <w:r>
        <w:rPr>
          <w:rFonts w:hint="eastAsia" w:ascii="仿宋" w:hAnsi="仿宋" w:eastAsia="仿宋" w:cs="仿宋"/>
          <w:sz w:val="32"/>
          <w:szCs w:val="32"/>
        </w:rPr>
        <w:t>万元，专项转移支付收入安排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427</w:t>
      </w:r>
      <w:r>
        <w:rPr>
          <w:rFonts w:hint="eastAsia" w:ascii="仿宋" w:hAnsi="仿宋" w:eastAsia="仿宋" w:cs="仿宋"/>
          <w:sz w:val="32"/>
          <w:szCs w:val="32"/>
        </w:rPr>
        <w:t>万元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，动用上年结余安排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515万元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三、政府性基金预算收支情况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年，旗本级政府性基金预算收入1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,8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22</w:t>
      </w:r>
      <w:r>
        <w:rPr>
          <w:rFonts w:hint="eastAsia" w:ascii="仿宋" w:hAnsi="仿宋" w:eastAsia="仿宋" w:cs="仿宋"/>
          <w:sz w:val="32"/>
          <w:szCs w:val="32"/>
        </w:rPr>
        <w:t>万元，结转上年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基金</w:t>
      </w:r>
      <w:r>
        <w:rPr>
          <w:rFonts w:hint="eastAsia" w:ascii="仿宋" w:hAnsi="仿宋" w:eastAsia="仿宋" w:cs="仿宋"/>
          <w:sz w:val="32"/>
          <w:szCs w:val="32"/>
        </w:rPr>
        <w:t>转移支付收入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万元，政府性基金预算支出1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842</w:t>
      </w:r>
      <w:r>
        <w:rPr>
          <w:rFonts w:hint="eastAsia" w:ascii="仿宋" w:hAnsi="仿宋" w:eastAsia="仿宋" w:cs="仿宋"/>
          <w:sz w:val="32"/>
          <w:szCs w:val="32"/>
        </w:rPr>
        <w:t>万元。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四、社保基金预算收入情况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年，旗本级社保基金预算收入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</w:rPr>
        <w:t>8,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472</w:t>
      </w:r>
      <w:r>
        <w:rPr>
          <w:rFonts w:hint="eastAsia" w:ascii="仿宋" w:hAnsi="仿宋" w:eastAsia="仿宋" w:cs="仿宋"/>
          <w:sz w:val="32"/>
          <w:szCs w:val="32"/>
        </w:rPr>
        <w:t>万元，社保基金支出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</w:rPr>
        <w:t>8,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472</w:t>
      </w:r>
      <w:r>
        <w:rPr>
          <w:rFonts w:hint="eastAsia" w:ascii="仿宋" w:hAnsi="仿宋" w:eastAsia="仿宋" w:cs="仿宋"/>
          <w:sz w:val="32"/>
          <w:szCs w:val="32"/>
        </w:rPr>
        <w:t>万元。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五、国有资金经营收支预算情况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年，旗本级国有资金经营收支预算0万元。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六、地方政府举借债务情况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highlight w:val="yellow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截至20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19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年底，上级下达莫旗政府性债务限额160,741.80万元，其中一般债务限额155,017.80万元，专项债务限额5,724.00万元。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截至201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</w:t>
      </w:r>
      <w:r>
        <w:rPr>
          <w:rFonts w:hint="eastAsia" w:ascii="仿宋" w:hAnsi="仿宋" w:eastAsia="仿宋" w:cs="仿宋"/>
          <w:sz w:val="32"/>
          <w:szCs w:val="32"/>
        </w:rPr>
        <w:t>年底，莫旗地方政府性债务余额1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27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557</w:t>
      </w:r>
      <w:r>
        <w:rPr>
          <w:rFonts w:hint="eastAsia" w:ascii="仿宋" w:hAnsi="仿宋" w:eastAsia="仿宋" w:cs="仿宋"/>
          <w:sz w:val="32"/>
          <w:szCs w:val="32"/>
        </w:rPr>
        <w:t>万元，其中一般债务1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22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986</w:t>
      </w:r>
      <w:r>
        <w:rPr>
          <w:rFonts w:hint="eastAsia" w:ascii="仿宋" w:hAnsi="仿宋" w:eastAsia="仿宋" w:cs="仿宋"/>
          <w:sz w:val="32"/>
          <w:szCs w:val="32"/>
        </w:rPr>
        <w:t>万元；专项债务4,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571</w:t>
      </w:r>
      <w:r>
        <w:rPr>
          <w:rFonts w:hint="eastAsia" w:ascii="仿宋" w:hAnsi="仿宋" w:eastAsia="仿宋" w:cs="仿宋"/>
          <w:sz w:val="32"/>
          <w:szCs w:val="32"/>
        </w:rPr>
        <w:t>万元。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20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19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年度，自治区发行地方政府债券下达莫旗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22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,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361.80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万元（新增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15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,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211.80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万元、再融资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7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,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150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万元），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全部为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一般债券。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20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19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年度，莫旗偿还到期政府性债务本金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7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,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150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万元，到期利息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,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999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万元。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202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0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年度，莫旗到期政府性债务本息2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,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062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万元，其中本金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,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633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万元，利息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,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429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万元，拟申请再融资债券偿还到期债券本金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,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633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万元，年初预算安排资金偿还到期债券利息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,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429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万元。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202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0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年度，莫旗拟申请发行地方政府债券15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,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8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16万元，包括：一般债券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44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,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714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万元、专项债券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107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,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102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万元，已逐级上报自治区，截止报告日，上级未下达202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0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年度限额，待上级下达限额后，再进行预算调整。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七、莫旗本级一般公共预算“三公”经费预算安排情况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年，莫旗本级一般公共预算“三公”经费预算安排1,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122</w:t>
      </w:r>
      <w:r>
        <w:rPr>
          <w:rFonts w:hint="eastAsia" w:ascii="仿宋" w:hAnsi="仿宋" w:eastAsia="仿宋" w:cs="仿宋"/>
          <w:sz w:val="32"/>
          <w:szCs w:val="32"/>
        </w:rPr>
        <w:t>万元，较20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19</w:t>
      </w:r>
      <w:r>
        <w:rPr>
          <w:rFonts w:hint="eastAsia" w:ascii="仿宋" w:hAnsi="仿宋" w:eastAsia="仿宋" w:cs="仿宋"/>
          <w:sz w:val="32"/>
          <w:szCs w:val="32"/>
        </w:rPr>
        <w:t>年预算减少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478</w:t>
      </w:r>
      <w:r>
        <w:rPr>
          <w:rFonts w:hint="eastAsia" w:ascii="仿宋" w:hAnsi="仿宋" w:eastAsia="仿宋" w:cs="仿宋"/>
          <w:sz w:val="32"/>
          <w:szCs w:val="32"/>
        </w:rPr>
        <w:t>万元，下降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29.88</w:t>
      </w:r>
      <w:r>
        <w:rPr>
          <w:rFonts w:hint="eastAsia" w:ascii="仿宋" w:hAnsi="仿宋" w:eastAsia="仿宋" w:cs="仿宋"/>
          <w:sz w:val="32"/>
          <w:szCs w:val="32"/>
        </w:rPr>
        <w:t>%。其中：1、因公出国（境）费用0万元；2、公务接待费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262</w:t>
      </w:r>
      <w:r>
        <w:rPr>
          <w:rFonts w:hint="eastAsia" w:ascii="仿宋" w:hAnsi="仿宋" w:eastAsia="仿宋" w:cs="仿宋"/>
          <w:sz w:val="32"/>
          <w:szCs w:val="32"/>
        </w:rPr>
        <w:t>万元；3、公务用车购置及运行费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860</w:t>
      </w:r>
      <w:r>
        <w:rPr>
          <w:rFonts w:hint="eastAsia" w:ascii="仿宋" w:hAnsi="仿宋" w:eastAsia="仿宋" w:cs="仿宋"/>
          <w:sz w:val="32"/>
          <w:szCs w:val="32"/>
        </w:rPr>
        <w:t>万元（其中：公务用车购置及运行维护费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860</w:t>
      </w:r>
      <w:r>
        <w:rPr>
          <w:rFonts w:hint="eastAsia" w:ascii="仿宋" w:hAnsi="仿宋" w:eastAsia="仿宋" w:cs="仿宋"/>
          <w:sz w:val="32"/>
          <w:szCs w:val="32"/>
        </w:rPr>
        <w:t>万元，公务用车购置费0万元）。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八、政府采购预算情况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年，政府采购预算安排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2615</w:t>
      </w:r>
      <w:r>
        <w:rPr>
          <w:rFonts w:hint="eastAsia" w:ascii="仿宋" w:hAnsi="仿宋" w:eastAsia="仿宋" w:cs="仿宋"/>
          <w:sz w:val="32"/>
          <w:szCs w:val="32"/>
        </w:rPr>
        <w:t>万元，用于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全旗取暖费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九、财政扶贫资金安排及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eastAsia="zh-CN"/>
        </w:rPr>
        <w:t>分配情况</w:t>
      </w:r>
    </w:p>
    <w:p>
      <w:p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年初预算共计安排专项扶贫资金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8452万元，已分配到项目主管部门，按级次划分：中央专项扶贫资金2602万元，中央少数民族发展资金3750万元；旗本级安排2100万元。按部门划分：扶贫办4702万元；民委3750万元。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十、重点项目绩效目标说明</w:t>
      </w:r>
    </w:p>
    <w:p>
      <w:pPr>
        <w:numPr>
          <w:ilvl w:val="0"/>
          <w:numId w:val="0"/>
        </w:num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因财力有限，年初预算未安排重点项目，所以无重点项目绩效目标。</w:t>
      </w:r>
    </w:p>
    <w:p>
      <w:p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附：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《莫旗财政专项扶贫资金管理办法》（莫财字[2017]264号）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此说明。</w:t>
      </w:r>
    </w:p>
    <w:p>
      <w:pPr>
        <w:ind w:firstLine="4800" w:firstLineChars="15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23</w:t>
      </w:r>
      <w:r>
        <w:rPr>
          <w:rFonts w:hint="eastAsia" w:ascii="仿宋" w:hAnsi="仿宋" w:eastAsia="仿宋" w:cs="仿宋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622A50"/>
    <w:rsid w:val="2E3946EF"/>
    <w:rsid w:val="4342383B"/>
    <w:rsid w:val="43622A50"/>
    <w:rsid w:val="4C890B8C"/>
    <w:rsid w:val="4C9C32AA"/>
    <w:rsid w:val="5E9D60B4"/>
    <w:rsid w:val="74C94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Office_11.1.0.7875_F1E327BC-269C-435d-A152-05C5408002CA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2020-04-15T01:26:00Z</dcterms:created>
  <dc:creator>李晶岩</dc:creator>
  <cp:lastModifiedBy>张广宪</cp:lastModifiedBy>
  <dcterms:modified xsi:type="dcterms:W3CDTF">2021-05-19T07:50:00Z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2052-11.1.0.7875</vt:lpwstr>
  </property>
  <property fmtid="{D5CDD505-2E9C-101B-9397-08002B2CF9AE}" pid="3" name="ICV">
    <vt:lpwstr>493FB2E67E464F1985DF8932E4E4731A</vt:lpwstr>
  </property>
</Properties>
</file>