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center"/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sz w:val="36"/>
          <w:szCs w:val="36"/>
          <w:shd w:val="clear" w:fill="FFFFFF"/>
        </w:rPr>
      </w:pPr>
      <w:r>
        <w:rPr>
          <w:rFonts w:hint="eastAsia" w:cs="宋体"/>
          <w:b/>
          <w:i w:val="0"/>
          <w:caps w:val="0"/>
          <w:color w:val="000000"/>
          <w:spacing w:val="0"/>
          <w:sz w:val="36"/>
          <w:szCs w:val="36"/>
          <w:shd w:val="clear" w:fill="FFFFFF"/>
          <w:lang w:eastAsia="zh-CN"/>
        </w:rPr>
        <w:t>莫旗人社局</w:t>
      </w:r>
      <w:r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sz w:val="36"/>
          <w:szCs w:val="36"/>
          <w:shd w:val="clear" w:fill="FFFFFF"/>
        </w:rPr>
        <w:t>201</w:t>
      </w:r>
      <w:r>
        <w:rPr>
          <w:rFonts w:hint="eastAsia" w:cs="宋体"/>
          <w:b/>
          <w:i w:val="0"/>
          <w:caps w:val="0"/>
          <w:color w:val="000000"/>
          <w:spacing w:val="0"/>
          <w:sz w:val="36"/>
          <w:szCs w:val="36"/>
          <w:shd w:val="clear" w:fill="FFFFFF"/>
          <w:lang w:val="en-US" w:eastAsia="zh-CN"/>
        </w:rPr>
        <w:t>9</w:t>
      </w:r>
      <w:r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sz w:val="36"/>
          <w:szCs w:val="36"/>
          <w:shd w:val="clear" w:fill="FFFFFF"/>
        </w:rPr>
        <w:t>年度政府信息公开年度报告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leftChars="0" w:right="0" w:rightChars="0"/>
        <w:jc w:val="both"/>
        <w:textAlignment w:val="auto"/>
        <w:outlineLvl w:val="9"/>
        <w:rPr>
          <w:rFonts w:hint="eastAsia" w:ascii="宋体" w:hAnsi="宋体" w:eastAsia="宋体" w:cs="宋体"/>
          <w:i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 xml:space="preserve">  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leftChars="0" w:right="0" w:rightChars="0"/>
        <w:jc w:val="both"/>
        <w:textAlignment w:val="auto"/>
        <w:outlineLvl w:val="9"/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30"/>
          <w:szCs w:val="30"/>
          <w:shd w:val="clear" w:fill="FFFFFF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</w:rPr>
        <w:t>根据《中华人民共和国政府信息公开条例》(以下简称《条例》)的规定,现公布莫旗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  <w:t>人社局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</w:rPr>
        <w:t>201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9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</w:rPr>
        <w:t>年度政府信息公开工作年度报告。本报告中所列数据统计期限从201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9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</w:rPr>
        <w:t>年1月1日到12月31日止。如对本报告有疑问，可与莫旗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  <w:t>人社局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</w:rPr>
        <w:t>联系（地址：莫力达瓦旗政府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</w:rPr>
        <w:t>号楼，邮编：162850，联系电话：0470-46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86195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</w:rPr>
        <w:t>）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leftChars="0" w:right="0" w:rightChars="0"/>
        <w:jc w:val="both"/>
        <w:textAlignment w:val="auto"/>
        <w:outlineLvl w:val="9"/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sz w:val="24"/>
          <w:szCs w:val="24"/>
        </w:rPr>
        <w:t>一、总体情况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leftChars="0" w:right="0" w:rightChars="0"/>
        <w:jc w:val="both"/>
        <w:textAlignment w:val="auto"/>
        <w:outlineLvl w:val="9"/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</w:rPr>
        <w:t>201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9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</w:rPr>
        <w:t>年，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  <w:t>人社局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</w:rPr>
        <w:t>紧紧围绕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  <w:t>旗政务服务局、莫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</w:rPr>
        <w:t>旗委、政府的中心工作，大力推进信息公开工作，不断规范信息内容，创新工作形式，提高工作水平，有力地促进了各项工作的开展，认真贯彻落实《中华人民共和国政府信息公开条例》，突出重点、有序推进，把公开透明原则贯穿于整个工作过程，以公正便民、勤政廉政为基本要求，及时、准确地向社会公开政府信息，依法保障了人民群众的知情权、参与权和监督权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leftChars="0" w:right="0" w:rightChars="0"/>
        <w:jc w:val="both"/>
        <w:textAlignment w:val="auto"/>
        <w:outlineLvl w:val="9"/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</w:rPr>
      </w:pPr>
      <w:r>
        <w:rPr>
          <w:rStyle w:val="6"/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 xml:space="preserve">  　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</w:rPr>
        <w:t>我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  <w:t>局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</w:rPr>
        <w:t>认真贯彻落实国家、自治区、呼伦贝尔市关于全面推进政务公开工作的有关文件精神，着力推进决策、执行、管理、服务和结果公开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  <w:t>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sz w:val="24"/>
          <w:szCs w:val="24"/>
        </w:rPr>
      </w:pPr>
      <w:r>
        <w:rPr>
          <w:rStyle w:val="6"/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 xml:space="preserve">  </w:t>
      </w:r>
      <w:r>
        <w:rPr>
          <w:rFonts w:hint="eastAsia" w:ascii="黑体" w:hAnsi="黑体" w:eastAsia="黑体" w:cs="黑体"/>
          <w:b/>
          <w:i w:val="0"/>
          <w:caps w:val="0"/>
          <w:color w:val="000000"/>
          <w:spacing w:val="0"/>
          <w:sz w:val="30"/>
          <w:szCs w:val="30"/>
          <w:lang w:val="en-US" w:eastAsia="zh-CN"/>
        </w:rPr>
        <w:t xml:space="preserve">  </w:t>
      </w:r>
      <w:bookmarkStart w:id="0" w:name="_GoBack"/>
      <w:bookmarkEnd w:id="0"/>
      <w:r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sz w:val="24"/>
          <w:szCs w:val="24"/>
        </w:rPr>
        <w:t>二、主动公开政府信息情况</w:t>
      </w:r>
    </w:p>
    <w:tbl>
      <w:tblPr>
        <w:tblStyle w:val="4"/>
        <w:tblW w:w="8140" w:type="dxa"/>
        <w:jc w:val="center"/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113"/>
        <w:gridCol w:w="1875"/>
        <w:gridCol w:w="6"/>
        <w:gridCol w:w="1265"/>
        <w:gridCol w:w="1881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95" w:hRule="atLeast"/>
          <w:jc w:val="center"/>
        </w:trPr>
        <w:tc>
          <w:tcPr>
            <w:tcW w:w="814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第二十条第（一）项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82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187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本年新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asciiTheme="minorHAnsi" w:hAnsiTheme="minorHAnsi" w:eastAsiaTheme="minorEastAsia" w:cstheme="minorBidi"/>
                <w:color w:val="000000"/>
                <w:kern w:val="0"/>
                <w:sz w:val="20"/>
                <w:szCs w:val="20"/>
                <w:lang w:val="en-US" w:eastAsia="zh-CN" w:bidi="ar"/>
              </w:rPr>
              <w:t>制作数量</w:t>
            </w:r>
          </w:p>
        </w:tc>
        <w:tc>
          <w:tcPr>
            <w:tcW w:w="1271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本年新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asciiTheme="minorHAnsi" w:hAnsiTheme="minorHAnsi" w:eastAsiaTheme="minorEastAsia" w:cstheme="minorBidi"/>
                <w:color w:val="000000"/>
                <w:kern w:val="0"/>
                <w:sz w:val="20"/>
                <w:szCs w:val="20"/>
                <w:lang w:val="en-US" w:eastAsia="zh-CN" w:bidi="ar"/>
              </w:rPr>
              <w:t>公开数量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对外公开总数量</w:t>
            </w:r>
          </w:p>
        </w:tc>
      </w:tr>
      <w:tr>
        <w:tblPrEx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3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规章</w:t>
            </w:r>
          </w:p>
        </w:tc>
        <w:tc>
          <w:tcPr>
            <w:tcW w:w="18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　　0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 0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　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1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规范性文件</w:t>
            </w:r>
          </w:p>
        </w:tc>
        <w:tc>
          <w:tcPr>
            <w:tcW w:w="18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　  0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 xml:space="preserve"> 0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　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  <w:jc w:val="center"/>
        </w:trPr>
        <w:tc>
          <w:tcPr>
            <w:tcW w:w="8140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第二十条第（五）项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4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187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上一年项目数量</w:t>
            </w:r>
          </w:p>
        </w:tc>
        <w:tc>
          <w:tcPr>
            <w:tcW w:w="1271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本年增/减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处理决定数量</w:t>
            </w:r>
          </w:p>
        </w:tc>
      </w:tr>
      <w:tr>
        <w:tblPrEx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8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行政许可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　1</w:t>
            </w:r>
          </w:p>
        </w:tc>
        <w:tc>
          <w:tcPr>
            <w:tcW w:w="12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　3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3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0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其他对外管理服务事项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　0</w:t>
            </w:r>
          </w:p>
        </w:tc>
        <w:tc>
          <w:tcPr>
            <w:tcW w:w="12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　0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　0</w:t>
            </w:r>
          </w:p>
        </w:tc>
      </w:tr>
      <w:tr>
        <w:tblPrEx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6" w:hRule="atLeast"/>
          <w:jc w:val="center"/>
        </w:trPr>
        <w:tc>
          <w:tcPr>
            <w:tcW w:w="8140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第二十条第（六）项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4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187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上一年项目数量</w:t>
            </w:r>
          </w:p>
        </w:tc>
        <w:tc>
          <w:tcPr>
            <w:tcW w:w="1271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本年增/减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处理决定数量</w:t>
            </w:r>
          </w:p>
        </w:tc>
      </w:tr>
      <w:tr>
        <w:tblPrEx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0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行政处罚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　0</w:t>
            </w:r>
          </w:p>
        </w:tc>
        <w:tc>
          <w:tcPr>
            <w:tcW w:w="12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　0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　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9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行政强制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　0</w:t>
            </w:r>
          </w:p>
        </w:tc>
        <w:tc>
          <w:tcPr>
            <w:tcW w:w="12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　0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　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4" w:hRule="atLeast"/>
          <w:jc w:val="center"/>
        </w:trPr>
        <w:tc>
          <w:tcPr>
            <w:tcW w:w="8140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第二十条第（八）项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上一年项目数量</w:t>
            </w:r>
          </w:p>
        </w:tc>
        <w:tc>
          <w:tcPr>
            <w:tcW w:w="3146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000000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本年增/减</w:t>
            </w:r>
          </w:p>
        </w:tc>
      </w:tr>
      <w:tr>
        <w:tblPrEx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1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行政事业性收费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　0</w:t>
            </w:r>
          </w:p>
        </w:tc>
        <w:tc>
          <w:tcPr>
            <w:tcW w:w="3146" w:type="dxa"/>
            <w:gridSpan w:val="2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0 </w:t>
            </w:r>
          </w:p>
        </w:tc>
      </w:tr>
      <w:tr>
        <w:tblPrEx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6" w:hRule="atLeast"/>
          <w:jc w:val="center"/>
        </w:trPr>
        <w:tc>
          <w:tcPr>
            <w:tcW w:w="8140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第二十条第（九）项</w:t>
            </w:r>
          </w:p>
        </w:tc>
      </w:tr>
      <w:tr>
        <w:tblPrEx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5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采购项目数量</w:t>
            </w:r>
          </w:p>
        </w:tc>
        <w:tc>
          <w:tcPr>
            <w:tcW w:w="3146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000000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采购总金额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39" w:hRule="atLeast"/>
          <w:jc w:val="center"/>
        </w:trPr>
        <w:tc>
          <w:tcPr>
            <w:tcW w:w="31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政府集中采购</w:t>
            </w:r>
          </w:p>
        </w:tc>
        <w:tc>
          <w:tcPr>
            <w:tcW w:w="188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　  1</w:t>
            </w:r>
          </w:p>
        </w:tc>
        <w:tc>
          <w:tcPr>
            <w:tcW w:w="3146" w:type="dxa"/>
            <w:gridSpan w:val="2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eastAsia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32800元</w:t>
            </w:r>
          </w:p>
        </w:tc>
      </w:tr>
    </w:tbl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jc w:val="both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/>
        <w:ind w:left="0" w:right="0" w:firstLine="420"/>
        <w:jc w:val="both"/>
        <w:rPr>
          <w:rFonts w:hint="eastAsia" w:asciiTheme="minorEastAsia" w:hAnsiTheme="minorEastAsia" w:eastAsiaTheme="minorEastAsia" w:cstheme="minorEastAsia"/>
          <w:b/>
          <w:bCs w:val="0"/>
          <w:i w:val="0"/>
          <w:caps w:val="0"/>
          <w:color w:val="00000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 w:val="0"/>
          <w:i w:val="0"/>
          <w:caps w:val="0"/>
          <w:color w:val="000000"/>
          <w:spacing w:val="0"/>
          <w:sz w:val="24"/>
          <w:szCs w:val="24"/>
        </w:rPr>
        <w:t>三、收到和处理政府信息公开申请情况</w:t>
      </w:r>
    </w:p>
    <w:tbl>
      <w:tblPr>
        <w:tblStyle w:val="4"/>
        <w:tblW w:w="9071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18"/>
        <w:gridCol w:w="855"/>
        <w:gridCol w:w="2130"/>
        <w:gridCol w:w="825"/>
        <w:gridCol w:w="765"/>
        <w:gridCol w:w="765"/>
        <w:gridCol w:w="825"/>
        <w:gridCol w:w="990"/>
        <w:gridCol w:w="720"/>
        <w:gridCol w:w="578"/>
      </w:tblGrid>
      <w:tr>
        <w:tblPrEx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603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（本列数据的勾稽关系为：第一项加第二项之和，等于第三项加第四项之和）</w:t>
            </w:r>
          </w:p>
        </w:tc>
        <w:tc>
          <w:tcPr>
            <w:tcW w:w="5468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申请人情况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603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825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自然人</w:t>
            </w:r>
          </w:p>
        </w:tc>
        <w:tc>
          <w:tcPr>
            <w:tcW w:w="4065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法人或其他组织</w:t>
            </w:r>
          </w:p>
        </w:tc>
        <w:tc>
          <w:tcPr>
            <w:tcW w:w="578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603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825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商业企业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科研机构</w:t>
            </w:r>
          </w:p>
        </w:tc>
        <w:tc>
          <w:tcPr>
            <w:tcW w:w="82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社会公益组织</w:t>
            </w:r>
          </w:p>
        </w:tc>
        <w:tc>
          <w:tcPr>
            <w:tcW w:w="99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法律服务机构</w:t>
            </w:r>
          </w:p>
        </w:tc>
        <w:tc>
          <w:tcPr>
            <w:tcW w:w="72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</w:tc>
        <w:tc>
          <w:tcPr>
            <w:tcW w:w="578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603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Calibri" w:hAnsi="Calibri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Calibri" w:hAnsi="Calibri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603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Calibri" w:hAnsi="Calibri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18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三、本年度办理结果</w:t>
            </w:r>
          </w:p>
        </w:tc>
        <w:tc>
          <w:tcPr>
            <w:tcW w:w="298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ascii="楷体" w:hAnsi="楷体" w:eastAsia="楷体" w:cs="楷体"/>
                <w:color w:val="000000"/>
                <w:kern w:val="0"/>
                <w:sz w:val="20"/>
                <w:szCs w:val="20"/>
                <w:lang w:val="en-US" w:eastAsia="zh-CN" w:bidi="ar"/>
              </w:rPr>
              <w:t>（一）予以公开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57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298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default" w:ascii="楷体" w:hAnsi="楷体" w:eastAsia="楷体" w:cs="楷体"/>
                <w:color w:val="000000"/>
                <w:kern w:val="0"/>
                <w:sz w:val="20"/>
                <w:szCs w:val="20"/>
                <w:lang w:val="en-US" w:eastAsia="zh-CN" w:bidi="ar"/>
              </w:rPr>
              <w:t>（二）部分公开（区分处理的，只计这一情形，不计其他情形）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default" w:ascii="楷体" w:hAnsi="楷体" w:eastAsia="楷体" w:cs="楷体"/>
                <w:color w:val="000000"/>
                <w:kern w:val="0"/>
                <w:sz w:val="20"/>
                <w:szCs w:val="20"/>
                <w:lang w:val="en-US" w:eastAsia="zh-CN" w:bidi="ar"/>
              </w:rPr>
              <w:t>（三）不予公开</w:t>
            </w:r>
          </w:p>
        </w:tc>
        <w:tc>
          <w:tcPr>
            <w:tcW w:w="21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default" w:ascii="楷体" w:hAnsi="楷体" w:eastAsia="楷体" w:cs="楷体"/>
                <w:color w:val="000000"/>
                <w:kern w:val="0"/>
                <w:sz w:val="20"/>
                <w:szCs w:val="20"/>
                <w:lang w:val="en-US" w:eastAsia="zh-CN" w:bidi="ar"/>
              </w:rPr>
              <w:t>1.属于国家秘密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57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default" w:ascii="楷体" w:hAnsi="楷体" w:eastAsia="楷体" w:cs="楷体"/>
                <w:color w:val="000000"/>
                <w:kern w:val="0"/>
                <w:sz w:val="20"/>
                <w:szCs w:val="20"/>
                <w:lang w:val="en-US" w:eastAsia="zh-CN" w:bidi="ar"/>
              </w:rPr>
              <w:t>2.其他法律行政法规禁止公开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default" w:ascii="楷体" w:hAnsi="楷体" w:eastAsia="楷体" w:cs="楷体"/>
                <w:color w:val="000000"/>
                <w:kern w:val="0"/>
                <w:sz w:val="20"/>
                <w:szCs w:val="20"/>
                <w:lang w:val="en-US" w:eastAsia="zh-CN" w:bidi="ar"/>
              </w:rPr>
              <w:t>3.危及“三安全一稳定”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default" w:ascii="楷体" w:hAnsi="楷体" w:eastAsia="楷体" w:cs="楷体"/>
                <w:color w:val="000000"/>
                <w:kern w:val="0"/>
                <w:sz w:val="20"/>
                <w:szCs w:val="20"/>
                <w:lang w:val="en-US" w:eastAsia="zh-CN" w:bidi="ar"/>
              </w:rPr>
              <w:t>4.保护第三方合法权益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default" w:ascii="楷体" w:hAnsi="楷体" w:eastAsia="楷体" w:cs="楷体"/>
                <w:color w:val="000000"/>
                <w:kern w:val="0"/>
                <w:sz w:val="20"/>
                <w:szCs w:val="20"/>
                <w:lang w:val="en-US" w:eastAsia="zh-CN" w:bidi="ar"/>
              </w:rPr>
              <w:t>5.属于三类内部事务信息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default" w:ascii="楷体" w:hAnsi="楷体" w:eastAsia="楷体" w:cs="楷体"/>
                <w:color w:val="000000"/>
                <w:kern w:val="0"/>
                <w:sz w:val="20"/>
                <w:szCs w:val="20"/>
                <w:lang w:val="en-US" w:eastAsia="zh-CN" w:bidi="ar"/>
              </w:rPr>
              <w:t>6.属于四类过程性信息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default" w:ascii="楷体" w:hAnsi="楷体" w:eastAsia="楷体" w:cs="楷体"/>
                <w:color w:val="000000"/>
                <w:kern w:val="0"/>
                <w:sz w:val="20"/>
                <w:szCs w:val="20"/>
                <w:lang w:val="en-US" w:eastAsia="zh-CN" w:bidi="ar"/>
              </w:rPr>
              <w:t>7.属于行政执法案卷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default" w:ascii="楷体" w:hAnsi="楷体" w:eastAsia="楷体" w:cs="楷体"/>
                <w:color w:val="000000"/>
                <w:kern w:val="0"/>
                <w:sz w:val="20"/>
                <w:szCs w:val="20"/>
                <w:lang w:val="en-US" w:eastAsia="zh-CN" w:bidi="ar"/>
              </w:rPr>
              <w:t>8.属于行政查询事项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default" w:ascii="楷体" w:hAnsi="楷体" w:eastAsia="楷体" w:cs="楷体"/>
                <w:color w:val="000000"/>
                <w:kern w:val="0"/>
                <w:sz w:val="20"/>
                <w:szCs w:val="20"/>
                <w:lang w:val="en-US" w:eastAsia="zh-CN" w:bidi="ar"/>
              </w:rPr>
              <w:t>（四）无法提供</w:t>
            </w:r>
          </w:p>
        </w:tc>
        <w:tc>
          <w:tcPr>
            <w:tcW w:w="21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default" w:ascii="楷体" w:hAnsi="楷体" w:eastAsia="楷体" w:cs="楷体"/>
                <w:color w:val="000000"/>
                <w:kern w:val="0"/>
                <w:sz w:val="20"/>
                <w:szCs w:val="20"/>
                <w:lang w:val="en-US" w:eastAsia="zh-CN" w:bidi="ar"/>
              </w:rPr>
              <w:t>1.本机关不掌握相关政府信息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Calibri" w:hAnsi="Calibri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Calibri" w:hAnsi="Calibri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default" w:ascii="楷体" w:hAnsi="楷体" w:eastAsia="楷体" w:cs="楷体"/>
                <w:color w:val="000000"/>
                <w:kern w:val="0"/>
                <w:sz w:val="20"/>
                <w:szCs w:val="20"/>
                <w:lang w:val="en-US" w:eastAsia="zh-CN" w:bidi="ar"/>
              </w:rPr>
              <w:t>2.没有现成信息需要另行制作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default" w:ascii="楷体" w:hAnsi="楷体" w:eastAsia="楷体" w:cs="楷体"/>
                <w:color w:val="000000"/>
                <w:kern w:val="0"/>
                <w:sz w:val="20"/>
                <w:szCs w:val="20"/>
                <w:lang w:val="en-US" w:eastAsia="zh-CN" w:bidi="ar"/>
              </w:rPr>
              <w:t>3.补正后申请内容仍不明确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855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default" w:ascii="楷体" w:hAnsi="楷体" w:eastAsia="楷体" w:cs="楷体"/>
                <w:color w:val="000000"/>
                <w:kern w:val="0"/>
                <w:sz w:val="20"/>
                <w:szCs w:val="20"/>
                <w:lang w:val="en-US" w:eastAsia="zh-CN" w:bidi="ar"/>
              </w:rPr>
              <w:t>（五）不予处理</w:t>
            </w:r>
          </w:p>
        </w:tc>
        <w:tc>
          <w:tcPr>
            <w:tcW w:w="21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default" w:ascii="楷体" w:hAnsi="楷体" w:eastAsia="楷体" w:cs="楷体"/>
                <w:color w:val="000000"/>
                <w:kern w:val="0"/>
                <w:sz w:val="20"/>
                <w:szCs w:val="20"/>
                <w:lang w:val="en-US" w:eastAsia="zh-CN" w:bidi="ar"/>
              </w:rPr>
              <w:t>1.信访举报投诉类申请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default" w:ascii="楷体" w:hAnsi="楷体" w:eastAsia="楷体" w:cs="楷体"/>
                <w:color w:val="000000"/>
                <w:kern w:val="0"/>
                <w:sz w:val="20"/>
                <w:szCs w:val="20"/>
                <w:lang w:val="en-US" w:eastAsia="zh-CN" w:bidi="ar"/>
              </w:rPr>
              <w:t>2.重复申请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default" w:ascii="楷体" w:hAnsi="楷体" w:eastAsia="楷体" w:cs="楷体"/>
                <w:color w:val="000000"/>
                <w:kern w:val="0"/>
                <w:sz w:val="20"/>
                <w:szCs w:val="20"/>
                <w:lang w:val="en-US" w:eastAsia="zh-CN" w:bidi="ar"/>
              </w:rPr>
              <w:t>3.要求提供公开出版物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default" w:ascii="楷体" w:hAnsi="楷体" w:eastAsia="楷体" w:cs="楷体"/>
                <w:color w:val="000000"/>
                <w:kern w:val="0"/>
                <w:sz w:val="20"/>
                <w:szCs w:val="20"/>
                <w:lang w:val="en-US" w:eastAsia="zh-CN" w:bidi="ar"/>
              </w:rPr>
              <w:t>4.无正当理由大量反复申请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855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default" w:ascii="楷体" w:hAnsi="楷体" w:eastAsia="楷体" w:cs="楷体"/>
                <w:color w:val="000000"/>
                <w:kern w:val="0"/>
                <w:sz w:val="20"/>
                <w:szCs w:val="20"/>
                <w:lang w:val="en-US" w:eastAsia="zh-CN" w:bidi="ar"/>
              </w:rPr>
              <w:t>5.要求行政机关确认或重新出具已获取信息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298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default" w:ascii="楷体" w:hAnsi="楷体" w:eastAsia="楷体" w:cs="楷体"/>
                <w:color w:val="000000"/>
                <w:kern w:val="0"/>
                <w:sz w:val="20"/>
                <w:szCs w:val="20"/>
                <w:lang w:val="en-US" w:eastAsia="zh-CN" w:bidi="ar"/>
              </w:rPr>
              <w:t>（六）其他处理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298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default" w:ascii="楷体" w:hAnsi="楷体" w:eastAsia="楷体" w:cs="楷体"/>
                <w:color w:val="000000"/>
                <w:kern w:val="0"/>
                <w:sz w:val="20"/>
                <w:szCs w:val="20"/>
                <w:lang w:val="en-US" w:eastAsia="zh-CN" w:bidi="ar"/>
              </w:rPr>
              <w:t>（七）总计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Calibri" w:hAnsi="Calibri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eastAsiaTheme="minor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603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四、结转下年度继续办理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eastAsia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0</w:t>
            </w:r>
          </w:p>
        </w:tc>
      </w:tr>
    </w:tbl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jc w:val="both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jc w:val="both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sz w:val="24"/>
          <w:szCs w:val="24"/>
        </w:rPr>
        <w:t>四、政府信息公开行政复议、行政诉讼情况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jc w:val="both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</w:rPr>
      </w:pPr>
    </w:p>
    <w:tbl>
      <w:tblPr>
        <w:tblStyle w:val="4"/>
        <w:tblW w:w="9071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04"/>
        <w:gridCol w:w="604"/>
        <w:gridCol w:w="604"/>
        <w:gridCol w:w="604"/>
        <w:gridCol w:w="658"/>
        <w:gridCol w:w="550"/>
        <w:gridCol w:w="605"/>
        <w:gridCol w:w="605"/>
        <w:gridCol w:w="605"/>
        <w:gridCol w:w="605"/>
        <w:gridCol w:w="605"/>
        <w:gridCol w:w="605"/>
        <w:gridCol w:w="605"/>
        <w:gridCol w:w="606"/>
        <w:gridCol w:w="606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074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行政复议</w:t>
            </w:r>
          </w:p>
        </w:tc>
        <w:tc>
          <w:tcPr>
            <w:tcW w:w="5997" w:type="dxa"/>
            <w:gridSpan w:val="10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行政诉讼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04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结果维持</w:t>
            </w:r>
          </w:p>
        </w:tc>
        <w:tc>
          <w:tcPr>
            <w:tcW w:w="60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结果纠正</w:t>
            </w:r>
          </w:p>
        </w:tc>
        <w:tc>
          <w:tcPr>
            <w:tcW w:w="604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其他结果</w:t>
            </w:r>
          </w:p>
        </w:tc>
        <w:tc>
          <w:tcPr>
            <w:tcW w:w="604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尚未审结</w:t>
            </w:r>
          </w:p>
        </w:tc>
        <w:tc>
          <w:tcPr>
            <w:tcW w:w="658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297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未经复议直接起诉</w:t>
            </w:r>
          </w:p>
        </w:tc>
        <w:tc>
          <w:tcPr>
            <w:tcW w:w="3027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复议后起诉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0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60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604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604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658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color w:val="000000"/>
                <w:sz w:val="24"/>
                <w:szCs w:val="24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结果维持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结果纠正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其他结果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尚未审结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结果维持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结果纠正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其他结果</w:t>
            </w:r>
          </w:p>
        </w:tc>
        <w:tc>
          <w:tcPr>
            <w:tcW w:w="60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尚未审结</w:t>
            </w:r>
          </w:p>
        </w:tc>
        <w:tc>
          <w:tcPr>
            <w:tcW w:w="60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0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5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 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 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 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0 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0 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 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 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 0</w:t>
            </w:r>
          </w:p>
        </w:tc>
        <w:tc>
          <w:tcPr>
            <w:tcW w:w="6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 0</w:t>
            </w:r>
          </w:p>
        </w:tc>
        <w:tc>
          <w:tcPr>
            <w:tcW w:w="6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E6F4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eastAsia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color w:val="000000"/>
                <w:sz w:val="24"/>
                <w:szCs w:val="24"/>
                <w:lang w:val="en-US" w:eastAsia="zh-CN"/>
              </w:rPr>
              <w:t>0</w:t>
            </w:r>
          </w:p>
        </w:tc>
      </w:tr>
    </w:tbl>
    <w:p>
      <w:pPr>
        <w:keepNext w:val="0"/>
        <w:keepLines w:val="0"/>
        <w:widowControl/>
        <w:suppressLineNumbers w:val="0"/>
        <w:spacing w:before="0" w:beforeAutospacing="0" w:after="150" w:afterAutospacing="0"/>
        <w:ind w:left="0" w:right="0" w:firstLine="0"/>
        <w:jc w:val="center"/>
        <w:rPr>
          <w:rFonts w:ascii="Segoe UI" w:hAnsi="Segoe UI" w:eastAsia="Segoe UI" w:cs="Segoe UI"/>
          <w:b w:val="0"/>
          <w:i w:val="0"/>
          <w:caps w:val="0"/>
          <w:color w:val="000000"/>
          <w:spacing w:val="0"/>
        </w:rPr>
      </w:pP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leftChars="0" w:right="0" w:rightChars="0" w:firstLine="420"/>
        <w:jc w:val="both"/>
        <w:textAlignment w:val="auto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sz w:val="24"/>
          <w:szCs w:val="24"/>
        </w:rPr>
        <w:t>五、存在的主要问题及改进情况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leftChars="0" w:right="0" w:rightChars="0"/>
        <w:jc w:val="both"/>
        <w:textAlignment w:val="auto"/>
        <w:outlineLvl w:val="9"/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/>
          <w:bCs/>
          <w:i w:val="0"/>
          <w:caps w:val="0"/>
          <w:color w:val="333333"/>
          <w:spacing w:val="0"/>
          <w:sz w:val="24"/>
          <w:szCs w:val="24"/>
          <w:shd w:val="clear" w:fill="FFFFFF"/>
        </w:rPr>
        <w:t>（一）存在的问题。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公开内容不全面，工作动态类信息多，业务类信息少，公开的信息实用性不强；没有专人负责政务公开，专栏未开设，导致信息公开位置不准确。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leftChars="0" w:right="0" w:rightChars="0" w:firstLine="375"/>
        <w:jc w:val="both"/>
        <w:textAlignment w:val="auto"/>
        <w:outlineLvl w:val="9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</w:rPr>
      </w:pPr>
      <w:r>
        <w:rPr>
          <w:rStyle w:val="6"/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</w:rPr>
        <w:t>改进措施。一是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</w:rPr>
        <w:t>加强领导，明确职责，在强化管理上下功夫。首先，要建立健全政务公开工作的领导机构。其次，要明确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  <w:t>各股室公开项目，责任落实到人。再次是加大宣传力度，让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群众多了解公开平台，多了解依申请公开，提高政府信息公开平台在群众中的认知度。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leftChars="0" w:right="0" w:rightChars="0" w:firstLine="420"/>
        <w:jc w:val="both"/>
        <w:textAlignment w:val="auto"/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sz w:val="24"/>
          <w:szCs w:val="24"/>
        </w:rPr>
        <w:t>其他需要报告的事项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right="0" w:rightChars="0"/>
        <w:jc w:val="both"/>
        <w:textAlignment w:val="auto"/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sz w:val="24"/>
          <w:szCs w:val="24"/>
          <w:lang w:val="en-US" w:eastAsia="zh-CN"/>
        </w:rPr>
        <w:t xml:space="preserve">　　　　无。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43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16F009"/>
    <w:multiLevelType w:val="singleLevel"/>
    <w:tmpl w:val="5E16F009"/>
    <w:lvl w:ilvl="0" w:tentative="0">
      <w:start w:val="2"/>
      <w:numFmt w:val="chineseCounting"/>
      <w:suff w:val="nothing"/>
      <w:lvlText w:val="（%1）"/>
      <w:lvlJc w:val="left"/>
    </w:lvl>
  </w:abstractNum>
  <w:abstractNum w:abstractNumId="1">
    <w:nsid w:val="5E16F0AA"/>
    <w:multiLevelType w:val="singleLevel"/>
    <w:tmpl w:val="5E16F0AA"/>
    <w:lvl w:ilvl="0" w:tentative="0">
      <w:start w:val="6"/>
      <w:numFmt w:val="chineseCounting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2DB0035"/>
    <w:rsid w:val="00204CBF"/>
    <w:rsid w:val="00240544"/>
    <w:rsid w:val="004E63DA"/>
    <w:rsid w:val="007F1461"/>
    <w:rsid w:val="00C279F0"/>
    <w:rsid w:val="022A1E8A"/>
    <w:rsid w:val="023F4D50"/>
    <w:rsid w:val="039B4242"/>
    <w:rsid w:val="03CF7DA3"/>
    <w:rsid w:val="04674F34"/>
    <w:rsid w:val="04D52735"/>
    <w:rsid w:val="04D93B85"/>
    <w:rsid w:val="05307121"/>
    <w:rsid w:val="05C31742"/>
    <w:rsid w:val="05F71F24"/>
    <w:rsid w:val="0653524A"/>
    <w:rsid w:val="06C2269F"/>
    <w:rsid w:val="07676906"/>
    <w:rsid w:val="07D272D0"/>
    <w:rsid w:val="0A3055BA"/>
    <w:rsid w:val="0A4B2B57"/>
    <w:rsid w:val="0AFE0828"/>
    <w:rsid w:val="0C453DD3"/>
    <w:rsid w:val="0DFF2730"/>
    <w:rsid w:val="0EF70C79"/>
    <w:rsid w:val="0F540DD2"/>
    <w:rsid w:val="0FCD69DC"/>
    <w:rsid w:val="0FE20BC8"/>
    <w:rsid w:val="10A962A5"/>
    <w:rsid w:val="10D35CDE"/>
    <w:rsid w:val="11092144"/>
    <w:rsid w:val="119446F8"/>
    <w:rsid w:val="11F45973"/>
    <w:rsid w:val="125768AA"/>
    <w:rsid w:val="14115F50"/>
    <w:rsid w:val="14C92DED"/>
    <w:rsid w:val="155A17E3"/>
    <w:rsid w:val="15B11124"/>
    <w:rsid w:val="163F34A9"/>
    <w:rsid w:val="19145905"/>
    <w:rsid w:val="196107A6"/>
    <w:rsid w:val="19F96F95"/>
    <w:rsid w:val="1B525074"/>
    <w:rsid w:val="1BEC6B80"/>
    <w:rsid w:val="1C024F12"/>
    <w:rsid w:val="1C9E74F5"/>
    <w:rsid w:val="1E8F2AC0"/>
    <w:rsid w:val="1F735F48"/>
    <w:rsid w:val="1FE534FB"/>
    <w:rsid w:val="236404C4"/>
    <w:rsid w:val="23BF710E"/>
    <w:rsid w:val="23C916DC"/>
    <w:rsid w:val="23D02B8C"/>
    <w:rsid w:val="24284611"/>
    <w:rsid w:val="245C5C69"/>
    <w:rsid w:val="268A09A2"/>
    <w:rsid w:val="26BE0776"/>
    <w:rsid w:val="281506F8"/>
    <w:rsid w:val="29D95B6A"/>
    <w:rsid w:val="2A7126F5"/>
    <w:rsid w:val="2AA76DE7"/>
    <w:rsid w:val="2CED14EE"/>
    <w:rsid w:val="2D9E2655"/>
    <w:rsid w:val="2EC726C0"/>
    <w:rsid w:val="2F8B5473"/>
    <w:rsid w:val="31334A3F"/>
    <w:rsid w:val="31C26D87"/>
    <w:rsid w:val="32390CAD"/>
    <w:rsid w:val="337C6063"/>
    <w:rsid w:val="349964BE"/>
    <w:rsid w:val="35035235"/>
    <w:rsid w:val="352D3D00"/>
    <w:rsid w:val="35325EAF"/>
    <w:rsid w:val="354F3486"/>
    <w:rsid w:val="361613CD"/>
    <w:rsid w:val="363200C8"/>
    <w:rsid w:val="36EB0AD2"/>
    <w:rsid w:val="37B172C4"/>
    <w:rsid w:val="381E1A2B"/>
    <w:rsid w:val="38CE358D"/>
    <w:rsid w:val="396C38C9"/>
    <w:rsid w:val="39CF554F"/>
    <w:rsid w:val="3BC21034"/>
    <w:rsid w:val="3C7719FF"/>
    <w:rsid w:val="3CC54FE1"/>
    <w:rsid w:val="3E511CE6"/>
    <w:rsid w:val="3E965FD9"/>
    <w:rsid w:val="3EBF026E"/>
    <w:rsid w:val="404F7AD2"/>
    <w:rsid w:val="41291A1F"/>
    <w:rsid w:val="424F2AD8"/>
    <w:rsid w:val="431A78F3"/>
    <w:rsid w:val="441D088F"/>
    <w:rsid w:val="45D70F59"/>
    <w:rsid w:val="46B3270E"/>
    <w:rsid w:val="48990B9A"/>
    <w:rsid w:val="4A463F56"/>
    <w:rsid w:val="4AD35439"/>
    <w:rsid w:val="4AE852DB"/>
    <w:rsid w:val="4B5E5004"/>
    <w:rsid w:val="4BE12854"/>
    <w:rsid w:val="4CC4663C"/>
    <w:rsid w:val="4D2819DA"/>
    <w:rsid w:val="4DD9700E"/>
    <w:rsid w:val="4E7746D4"/>
    <w:rsid w:val="4F125D69"/>
    <w:rsid w:val="4F6A0D03"/>
    <w:rsid w:val="4FC0092C"/>
    <w:rsid w:val="501D4AF2"/>
    <w:rsid w:val="50533445"/>
    <w:rsid w:val="50E45E67"/>
    <w:rsid w:val="50FF2A50"/>
    <w:rsid w:val="511E0E8D"/>
    <w:rsid w:val="518F05A4"/>
    <w:rsid w:val="51ED03D5"/>
    <w:rsid w:val="52C833CA"/>
    <w:rsid w:val="542A1146"/>
    <w:rsid w:val="55CA6E08"/>
    <w:rsid w:val="5722144D"/>
    <w:rsid w:val="576E24C1"/>
    <w:rsid w:val="584D6092"/>
    <w:rsid w:val="59084BDD"/>
    <w:rsid w:val="59D444F8"/>
    <w:rsid w:val="59F15342"/>
    <w:rsid w:val="5A156ADC"/>
    <w:rsid w:val="5A80416D"/>
    <w:rsid w:val="5ABC52EE"/>
    <w:rsid w:val="5B3B0B61"/>
    <w:rsid w:val="5C117945"/>
    <w:rsid w:val="5C493D34"/>
    <w:rsid w:val="5C8B6C9E"/>
    <w:rsid w:val="5CF011B9"/>
    <w:rsid w:val="5F82669F"/>
    <w:rsid w:val="603B4F9B"/>
    <w:rsid w:val="608269AC"/>
    <w:rsid w:val="608544E6"/>
    <w:rsid w:val="60E24E66"/>
    <w:rsid w:val="617156A9"/>
    <w:rsid w:val="62DB0035"/>
    <w:rsid w:val="6355726D"/>
    <w:rsid w:val="65171480"/>
    <w:rsid w:val="65B67C33"/>
    <w:rsid w:val="666430A2"/>
    <w:rsid w:val="66C824A5"/>
    <w:rsid w:val="67750E7B"/>
    <w:rsid w:val="683F3C28"/>
    <w:rsid w:val="68431A38"/>
    <w:rsid w:val="68B60136"/>
    <w:rsid w:val="6B6B2C7F"/>
    <w:rsid w:val="6BCF16C9"/>
    <w:rsid w:val="6BED1A8C"/>
    <w:rsid w:val="6CC91577"/>
    <w:rsid w:val="6D2E70F5"/>
    <w:rsid w:val="6DCC4459"/>
    <w:rsid w:val="6F117418"/>
    <w:rsid w:val="6F535A6B"/>
    <w:rsid w:val="6F871F67"/>
    <w:rsid w:val="70CC2DB8"/>
    <w:rsid w:val="71A571C3"/>
    <w:rsid w:val="71E83B74"/>
    <w:rsid w:val="736E354B"/>
    <w:rsid w:val="73CC785D"/>
    <w:rsid w:val="73DC2E65"/>
    <w:rsid w:val="75D91B32"/>
    <w:rsid w:val="766B589E"/>
    <w:rsid w:val="767B5D31"/>
    <w:rsid w:val="7690141C"/>
    <w:rsid w:val="77210438"/>
    <w:rsid w:val="777E6E5E"/>
    <w:rsid w:val="781F48E0"/>
    <w:rsid w:val="7820287B"/>
    <w:rsid w:val="78530F4F"/>
    <w:rsid w:val="787B7035"/>
    <w:rsid w:val="78BD1DFE"/>
    <w:rsid w:val="78EF3547"/>
    <w:rsid w:val="7BBA3061"/>
    <w:rsid w:val="7BF33210"/>
    <w:rsid w:val="7CED206F"/>
    <w:rsid w:val="7D2851EF"/>
    <w:rsid w:val="7DBD5D0C"/>
    <w:rsid w:val="7E5E745F"/>
    <w:rsid w:val="7E617B08"/>
    <w:rsid w:val="7EE14866"/>
    <w:rsid w:val="7FA1334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yperlink"/>
    <w:basedOn w:val="5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26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2020-01-08T07:09:00Z</dcterms:created>
  <dc:creator>Administrator</dc:creator>
  <cp:lastModifiedBy>Administrator</cp:lastModifiedBy>
  <cp:lastPrinted>2020-01-09T00:46:00Z</cp:lastPrinted>
  <dcterms:modified xsi:type="dcterms:W3CDTF">2020-01-21T03:20:40Z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