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lang w:val="en-US" w:eastAsia="zh-CN"/>
        </w:rPr>
      </w:pPr>
    </w:p>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lang w:val="en-US" w:eastAsia="zh-CN"/>
        </w:rPr>
      </w:pPr>
    </w:p>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lang w:val="en-US" w:eastAsia="zh-CN"/>
        </w:rPr>
      </w:pPr>
    </w:p>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lang w:val="en-US" w:eastAsia="zh-CN"/>
        </w:rPr>
      </w:pPr>
    </w:p>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p>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莫旗住房和城乡建设局 人民防空办公室</w:t>
      </w:r>
    </w:p>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2019年度信息公开工作年度报告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default" w:ascii="Times New Roman" w:hAnsi="Times New Roman" w:eastAsia="宋体" w:cs="Times New Roman"/>
          <w:b w:val="0"/>
          <w:i w:val="0"/>
          <w:caps w:val="0"/>
          <w:color w:val="000000"/>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both"/>
        <w:rPr>
          <w:rFonts w:hint="default" w:ascii="Times New Roman" w:hAnsi="Times New Roman" w:eastAsia="黑体" w:cs="Times New Roman"/>
          <w:b w:val="0"/>
          <w:bCs/>
          <w:i w:val="0"/>
          <w:caps w:val="0"/>
          <w:color w:val="000000"/>
          <w:spacing w:val="0"/>
          <w:sz w:val="32"/>
          <w:szCs w:val="32"/>
        </w:rPr>
      </w:pPr>
    </w:p>
    <w:p>
      <w:pPr>
        <w:pStyle w:val="2"/>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both"/>
        <w:rPr>
          <w:rFonts w:hint="default" w:ascii="Times New Roman" w:hAnsi="Times New Roman" w:eastAsia="黑体" w:cs="Times New Roman"/>
          <w:b w:val="0"/>
          <w:bCs/>
          <w:i w:val="0"/>
          <w:caps w:val="0"/>
          <w:color w:val="000000"/>
          <w:spacing w:val="0"/>
          <w:sz w:val="32"/>
          <w:szCs w:val="32"/>
        </w:rPr>
      </w:pPr>
      <w:r>
        <w:rPr>
          <w:rFonts w:hint="default" w:ascii="Times New Roman" w:hAnsi="Times New Roman" w:eastAsia="黑体" w:cs="Times New Roman"/>
          <w:b w:val="0"/>
          <w:bCs/>
          <w:i w:val="0"/>
          <w:caps w:val="0"/>
          <w:color w:val="000000"/>
          <w:spacing w:val="0"/>
          <w:sz w:val="32"/>
          <w:szCs w:val="32"/>
        </w:rPr>
        <w:t>总体情况</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643" w:firstLineChars="200"/>
        <w:jc w:val="both"/>
        <w:rPr>
          <w:rFonts w:hint="default" w:ascii="Times New Roman" w:hAnsi="Times New Roman" w:eastAsia="仿宋_GB2312" w:cs="Times New Roman"/>
          <w:sz w:val="32"/>
          <w:szCs w:val="32"/>
        </w:rPr>
      </w:pPr>
      <w:r>
        <w:rPr>
          <w:rFonts w:hint="default" w:ascii="Times New Roman" w:hAnsi="Times New Roman" w:eastAsia="楷体_GB2312" w:cs="Times New Roman"/>
          <w:b/>
          <w:bCs/>
          <w:sz w:val="32"/>
          <w:szCs w:val="32"/>
        </w:rPr>
        <w:t>（一）加强领导，</w:t>
      </w:r>
      <w:r>
        <w:rPr>
          <w:rFonts w:hint="default" w:ascii="Times New Roman" w:hAnsi="Times New Roman" w:eastAsia="楷体_GB2312" w:cs="Times New Roman"/>
          <w:b/>
          <w:bCs/>
          <w:sz w:val="32"/>
          <w:szCs w:val="32"/>
          <w:lang w:eastAsia="zh-CN"/>
        </w:rPr>
        <w:t>落</w:t>
      </w:r>
      <w:r>
        <w:rPr>
          <w:rFonts w:hint="default" w:ascii="Times New Roman" w:hAnsi="Times New Roman" w:eastAsia="楷体_GB2312" w:cs="Times New Roman"/>
          <w:b/>
          <w:bCs/>
          <w:sz w:val="32"/>
          <w:szCs w:val="32"/>
        </w:rPr>
        <w:t>实责任。</w:t>
      </w:r>
      <w:r>
        <w:rPr>
          <w:rFonts w:hint="default" w:ascii="Times New Roman" w:hAnsi="Times New Roman" w:eastAsia="仿宋_GB2312" w:cs="Times New Roman"/>
          <w:sz w:val="32"/>
          <w:szCs w:val="32"/>
          <w:lang w:eastAsia="zh-CN"/>
        </w:rPr>
        <w:t>2019</w:t>
      </w:r>
      <w:r>
        <w:rPr>
          <w:rFonts w:hint="default" w:ascii="Times New Roman" w:hAnsi="Times New Roman" w:eastAsia="仿宋_GB2312" w:cs="Times New Roman"/>
          <w:sz w:val="32"/>
          <w:szCs w:val="32"/>
        </w:rPr>
        <w:t>年，我局由局党</w:t>
      </w:r>
      <w:r>
        <w:rPr>
          <w:rFonts w:hint="default" w:ascii="Times New Roman" w:hAnsi="Times New Roman" w:eastAsia="仿宋_GB2312" w:cs="Times New Roman"/>
          <w:sz w:val="32"/>
          <w:szCs w:val="32"/>
          <w:lang w:eastAsia="zh-CN"/>
        </w:rPr>
        <w:t>组</w:t>
      </w:r>
      <w:r>
        <w:rPr>
          <w:rFonts w:hint="default" w:ascii="Times New Roman" w:hAnsi="Times New Roman" w:eastAsia="仿宋_GB2312" w:cs="Times New Roman"/>
          <w:sz w:val="32"/>
          <w:szCs w:val="32"/>
        </w:rPr>
        <w:t>书记、局长</w:t>
      </w:r>
      <w:r>
        <w:rPr>
          <w:rFonts w:hint="default" w:ascii="Times New Roman" w:hAnsi="Times New Roman" w:eastAsia="仿宋_GB2312" w:cs="Times New Roman"/>
          <w:sz w:val="32"/>
          <w:szCs w:val="32"/>
          <w:lang w:eastAsia="zh-CN"/>
        </w:rPr>
        <w:t>（人防办主任）</w:t>
      </w:r>
      <w:r>
        <w:rPr>
          <w:rFonts w:hint="default" w:ascii="Times New Roman" w:hAnsi="Times New Roman" w:eastAsia="仿宋_GB2312" w:cs="Times New Roman"/>
          <w:sz w:val="32"/>
          <w:szCs w:val="32"/>
        </w:rPr>
        <w:t>任组长,全面加强对政务公开和政务服务工作的组织领导和协调督促。在充分发挥领导小组职能作用的基础上，局领导率先垂范，积极推进对政务公开和政务服务工作的组织实施，局党</w:t>
      </w:r>
      <w:r>
        <w:rPr>
          <w:rFonts w:hint="default" w:ascii="Times New Roman" w:hAnsi="Times New Roman" w:eastAsia="仿宋_GB2312" w:cs="Times New Roman"/>
          <w:sz w:val="32"/>
          <w:szCs w:val="32"/>
          <w:lang w:eastAsia="zh-CN"/>
        </w:rPr>
        <w:t>组</w:t>
      </w:r>
      <w:r>
        <w:rPr>
          <w:rFonts w:hint="default" w:ascii="Times New Roman" w:hAnsi="Times New Roman" w:eastAsia="仿宋_GB2312" w:cs="Times New Roman"/>
          <w:sz w:val="32"/>
          <w:szCs w:val="32"/>
        </w:rPr>
        <w:t>召开</w:t>
      </w:r>
      <w:r>
        <w:rPr>
          <w:rFonts w:hint="default" w:ascii="Times New Roman" w:hAnsi="Times New Roman" w:eastAsia="仿宋_GB2312" w:cs="Times New Roman"/>
          <w:sz w:val="32"/>
          <w:szCs w:val="32"/>
          <w:lang w:eastAsia="zh-CN"/>
        </w:rPr>
        <w:t>两</w:t>
      </w:r>
      <w:r>
        <w:rPr>
          <w:rFonts w:hint="default" w:ascii="Times New Roman" w:hAnsi="Times New Roman" w:eastAsia="仿宋_GB2312" w:cs="Times New Roman"/>
          <w:sz w:val="32"/>
          <w:szCs w:val="32"/>
        </w:rPr>
        <w:t>次专题会议研究部署相关工作，各</w:t>
      </w:r>
      <w:r>
        <w:rPr>
          <w:rFonts w:hint="default" w:ascii="Times New Roman" w:hAnsi="Times New Roman" w:eastAsia="仿宋_GB2312" w:cs="Times New Roman"/>
          <w:sz w:val="32"/>
          <w:szCs w:val="32"/>
          <w:lang w:eastAsia="zh-CN"/>
        </w:rPr>
        <w:t>股</w:t>
      </w:r>
      <w:r>
        <w:rPr>
          <w:rFonts w:hint="default" w:ascii="Times New Roman" w:hAnsi="Times New Roman" w:eastAsia="仿宋_GB2312" w:cs="Times New Roman"/>
          <w:sz w:val="32"/>
          <w:szCs w:val="32"/>
        </w:rPr>
        <w:t>室（单位）负责同志分头落实信息公开、网站留言、信访上访、便民服务、依法行政等各项工作，真正形成了“一把手负总责，分管领导组织协调，</w:t>
      </w:r>
      <w:r>
        <w:rPr>
          <w:rFonts w:hint="default" w:ascii="Times New Roman" w:hAnsi="Times New Roman" w:eastAsia="仿宋_GB2312" w:cs="Times New Roman"/>
          <w:sz w:val="32"/>
          <w:szCs w:val="32"/>
          <w:lang w:eastAsia="zh-CN"/>
        </w:rPr>
        <w:t>股</w:t>
      </w:r>
      <w:r>
        <w:rPr>
          <w:rFonts w:hint="default" w:ascii="Times New Roman" w:hAnsi="Times New Roman" w:eastAsia="仿宋_GB2312" w:cs="Times New Roman"/>
          <w:sz w:val="32"/>
          <w:szCs w:val="32"/>
        </w:rPr>
        <w:t>室单位齐抓共管，一级抓一级，层层抓落实”的工作机制，实现了政务公开和政务服务工作“有人过问、有人领导、有人督促、有人落实”的良好局面。</w:t>
      </w:r>
    </w:p>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r>
        <w:rPr>
          <w:rFonts w:hint="default" w:ascii="Times New Roman" w:hAnsi="Times New Roman" w:eastAsia="楷体_GB2312" w:cs="Times New Roman"/>
          <w:b/>
          <w:bCs/>
          <w:sz w:val="32"/>
          <w:szCs w:val="32"/>
        </w:rPr>
        <w:t>（二）健全机制，强化监督。</w:t>
      </w:r>
      <w:r>
        <w:rPr>
          <w:rFonts w:hint="default" w:ascii="Times New Roman" w:hAnsi="Times New Roman" w:eastAsia="仿宋_GB2312" w:cs="Times New Roman"/>
          <w:sz w:val="32"/>
          <w:szCs w:val="32"/>
          <w:lang w:eastAsia="zh-CN"/>
        </w:rPr>
        <w:t>2019</w:t>
      </w:r>
      <w:r>
        <w:rPr>
          <w:rFonts w:hint="default" w:ascii="Times New Roman" w:hAnsi="Times New Roman" w:eastAsia="仿宋_GB2312" w:cs="Times New Roman"/>
          <w:sz w:val="32"/>
          <w:szCs w:val="32"/>
        </w:rPr>
        <w:t>年我</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通过健全制度，完善工作机制，切实提高政务公开和政务服务工作的统一性和规范性，确保了各项工作高效运转。</w:t>
      </w:r>
      <w:r>
        <w:rPr>
          <w:rFonts w:hint="default" w:ascii="Times New Roman" w:hAnsi="Times New Roman" w:eastAsia="仿宋_GB2312" w:cs="Times New Roman"/>
          <w:b/>
          <w:bCs/>
          <w:sz w:val="32"/>
          <w:szCs w:val="32"/>
        </w:rPr>
        <w:t>一是</w:t>
      </w:r>
      <w:r>
        <w:rPr>
          <w:rFonts w:hint="default" w:ascii="Times New Roman" w:hAnsi="Times New Roman" w:eastAsia="仿宋_GB2312" w:cs="Times New Roman"/>
          <w:b/>
          <w:bCs/>
          <w:sz w:val="32"/>
          <w:szCs w:val="32"/>
          <w:lang w:eastAsia="zh-CN"/>
        </w:rPr>
        <w:t>完善</w:t>
      </w:r>
      <w:r>
        <w:rPr>
          <w:rFonts w:hint="default" w:ascii="Times New Roman" w:hAnsi="Times New Roman" w:eastAsia="仿宋_GB2312" w:cs="Times New Roman"/>
          <w:b/>
          <w:bCs/>
          <w:sz w:val="32"/>
          <w:szCs w:val="32"/>
        </w:rPr>
        <w:t>各项制度。</w:t>
      </w:r>
      <w:r>
        <w:rPr>
          <w:rFonts w:hint="default" w:ascii="Times New Roman" w:hAnsi="Times New Roman" w:eastAsia="仿宋_GB2312" w:cs="Times New Roman"/>
          <w:sz w:val="32"/>
          <w:szCs w:val="32"/>
        </w:rPr>
        <w:t>先后完善了</w:t>
      </w:r>
      <w:r>
        <w:rPr>
          <w:rFonts w:hint="default" w:ascii="Times New Roman" w:hAnsi="Times New Roman" w:eastAsia="仿宋_GB2312" w:cs="Times New Roman"/>
          <w:sz w:val="32"/>
          <w:szCs w:val="32"/>
          <w:lang w:eastAsia="zh-CN"/>
        </w:rPr>
        <w:t>莫旗住建规划局、人防办</w:t>
      </w:r>
      <w:r>
        <w:rPr>
          <w:rFonts w:hint="default" w:ascii="Times New Roman" w:hAnsi="Times New Roman" w:eastAsia="仿宋_GB2312" w:cs="Times New Roman"/>
          <w:sz w:val="32"/>
          <w:szCs w:val="32"/>
        </w:rPr>
        <w:t>《重大事项决策</w:t>
      </w:r>
      <w:r>
        <w:rPr>
          <w:rFonts w:hint="default" w:ascii="Times New Roman" w:hAnsi="Times New Roman" w:eastAsia="仿宋_GB2312" w:cs="Times New Roman"/>
          <w:sz w:val="32"/>
          <w:szCs w:val="32"/>
          <w:lang w:eastAsia="zh-CN"/>
        </w:rPr>
        <w:t>程序规定</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《重大事项</w:t>
      </w:r>
      <w:r>
        <w:rPr>
          <w:rFonts w:hint="default" w:ascii="Times New Roman" w:hAnsi="Times New Roman" w:eastAsia="仿宋_GB2312" w:cs="Times New Roman"/>
          <w:sz w:val="32"/>
          <w:szCs w:val="32"/>
          <w:lang w:eastAsia="zh-CN"/>
        </w:rPr>
        <w:t>民主决策制度</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《重大</w:t>
      </w:r>
      <w:r>
        <w:rPr>
          <w:rFonts w:hint="default" w:ascii="Times New Roman" w:hAnsi="Times New Roman" w:eastAsia="仿宋_GB2312" w:cs="Times New Roman"/>
          <w:sz w:val="32"/>
          <w:szCs w:val="32"/>
          <w:lang w:eastAsia="zh-CN"/>
        </w:rPr>
        <w:t>决策听证制度</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《政务信息公开制度》</w:t>
      </w:r>
      <w:r>
        <w:rPr>
          <w:rFonts w:hint="default" w:ascii="Times New Roman" w:hAnsi="Times New Roman" w:eastAsia="仿宋_GB2312" w:cs="Times New Roman"/>
          <w:sz w:val="32"/>
          <w:szCs w:val="32"/>
          <w:lang w:eastAsia="zh-CN"/>
        </w:rPr>
        <w:t>、《行政许可决定公开制度》、</w:t>
      </w:r>
      <w:r>
        <w:rPr>
          <w:rFonts w:hint="default" w:ascii="Times New Roman" w:hAnsi="Times New Roman" w:eastAsia="仿宋_GB2312" w:cs="Times New Roman"/>
          <w:sz w:val="32"/>
          <w:szCs w:val="32"/>
        </w:rPr>
        <w:t>《首问责任制度》</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《“双随机一公开”制度》等制度，从程序到范围，从形式到具体操作，都做出了严格的制度规定。</w:t>
      </w:r>
      <w:r>
        <w:rPr>
          <w:rFonts w:hint="default" w:ascii="Times New Roman" w:hAnsi="Times New Roman" w:eastAsia="仿宋_GB2312" w:cs="Times New Roman"/>
          <w:b/>
          <w:bCs/>
          <w:sz w:val="32"/>
          <w:szCs w:val="32"/>
        </w:rPr>
        <w:t>二是</w:t>
      </w:r>
      <w:r>
        <w:rPr>
          <w:rFonts w:hint="default" w:ascii="Times New Roman" w:hAnsi="Times New Roman" w:eastAsia="仿宋_GB2312" w:cs="Times New Roman"/>
          <w:b/>
          <w:bCs/>
          <w:sz w:val="32"/>
          <w:szCs w:val="32"/>
          <w:lang w:eastAsia="zh-CN"/>
        </w:rPr>
        <w:t>加强</w:t>
      </w:r>
      <w:r>
        <w:rPr>
          <w:rFonts w:hint="default" w:ascii="Times New Roman" w:hAnsi="Times New Roman" w:eastAsia="仿宋_GB2312" w:cs="Times New Roman"/>
          <w:b/>
          <w:bCs/>
          <w:sz w:val="32"/>
          <w:szCs w:val="32"/>
        </w:rPr>
        <w:t>考核问责。</w:t>
      </w:r>
      <w:r>
        <w:rPr>
          <w:rFonts w:hint="default" w:ascii="Times New Roman" w:hAnsi="Times New Roman" w:eastAsia="仿宋_GB2312" w:cs="Times New Roman"/>
          <w:sz w:val="32"/>
          <w:szCs w:val="32"/>
        </w:rPr>
        <w:t>把信息公开工作纳入了年终目标责任考核和党风廉政责任考核体系当中，把考核结果和年终评先选优挂钩，切实发挥了考评鼓励先进、鞭策后进的作用，调动了机关</w:t>
      </w:r>
      <w:r>
        <w:rPr>
          <w:rFonts w:hint="default" w:ascii="Times New Roman" w:hAnsi="Times New Roman" w:eastAsia="仿宋_GB2312" w:cs="Times New Roman"/>
          <w:sz w:val="32"/>
          <w:szCs w:val="32"/>
          <w:lang w:eastAsia="zh-CN"/>
        </w:rPr>
        <w:t>股</w:t>
      </w:r>
      <w:r>
        <w:rPr>
          <w:rFonts w:hint="default" w:ascii="Times New Roman" w:hAnsi="Times New Roman" w:eastAsia="仿宋_GB2312" w:cs="Times New Roman"/>
          <w:sz w:val="32"/>
          <w:szCs w:val="32"/>
        </w:rPr>
        <w:t>室和</w:t>
      </w:r>
      <w:r>
        <w:rPr>
          <w:rFonts w:hint="default" w:ascii="Times New Roman" w:hAnsi="Times New Roman" w:eastAsia="仿宋_GB2312" w:cs="Times New Roman"/>
          <w:sz w:val="32"/>
          <w:szCs w:val="32"/>
          <w:lang w:eastAsia="zh-CN"/>
        </w:rPr>
        <w:t>下设</w:t>
      </w:r>
      <w:r>
        <w:rPr>
          <w:rFonts w:hint="default" w:ascii="Times New Roman" w:hAnsi="Times New Roman" w:eastAsia="仿宋_GB2312" w:cs="Times New Roman"/>
          <w:sz w:val="32"/>
          <w:szCs w:val="32"/>
        </w:rPr>
        <w:t>单位做好信息公开和政务服务的主动性和积极性。</w:t>
      </w:r>
      <w:r>
        <w:rPr>
          <w:rFonts w:hint="default" w:ascii="Times New Roman" w:hAnsi="Times New Roman" w:eastAsia="仿宋_GB2312" w:cs="Times New Roman"/>
          <w:b/>
          <w:bCs/>
          <w:sz w:val="32"/>
          <w:szCs w:val="32"/>
        </w:rPr>
        <w:t>三是加强监督检查。</w:t>
      </w:r>
      <w:r>
        <w:rPr>
          <w:rFonts w:hint="default" w:ascii="Times New Roman" w:hAnsi="Times New Roman" w:eastAsia="仿宋_GB2312" w:cs="Times New Roman"/>
          <w:sz w:val="32"/>
          <w:szCs w:val="32"/>
        </w:rPr>
        <w:t>成立了</w:t>
      </w:r>
      <w:r>
        <w:rPr>
          <w:rFonts w:hint="default" w:ascii="Times New Roman" w:hAnsi="Times New Roman" w:eastAsia="仿宋_GB2312" w:cs="Times New Roman"/>
          <w:sz w:val="32"/>
          <w:szCs w:val="32"/>
          <w:lang w:eastAsia="zh-CN"/>
        </w:rPr>
        <w:t>政务信息公开</w:t>
      </w:r>
      <w:r>
        <w:rPr>
          <w:rFonts w:hint="default" w:ascii="Times New Roman" w:hAnsi="Times New Roman" w:eastAsia="仿宋_GB2312" w:cs="Times New Roman"/>
          <w:sz w:val="32"/>
          <w:szCs w:val="32"/>
        </w:rPr>
        <w:t>专项督察组，局</w:t>
      </w:r>
      <w:r>
        <w:rPr>
          <w:rFonts w:hint="default" w:ascii="Times New Roman" w:hAnsi="Times New Roman" w:eastAsia="仿宋_GB2312" w:cs="Times New Roman"/>
          <w:sz w:val="32"/>
          <w:szCs w:val="32"/>
          <w:lang w:eastAsia="zh-CN"/>
        </w:rPr>
        <w:t>纪检组长</w:t>
      </w:r>
      <w:r>
        <w:rPr>
          <w:rFonts w:hint="default" w:ascii="Times New Roman" w:hAnsi="Times New Roman" w:eastAsia="仿宋_GB2312" w:cs="Times New Roman"/>
          <w:sz w:val="32"/>
          <w:szCs w:val="32"/>
        </w:rPr>
        <w:t>带队，不定期地对各</w:t>
      </w:r>
      <w:r>
        <w:rPr>
          <w:rFonts w:hint="default" w:ascii="Times New Roman" w:hAnsi="Times New Roman" w:eastAsia="仿宋_GB2312" w:cs="Times New Roman"/>
          <w:sz w:val="32"/>
          <w:szCs w:val="32"/>
          <w:lang w:eastAsia="zh-CN"/>
        </w:rPr>
        <w:t>股</w:t>
      </w:r>
      <w:r>
        <w:rPr>
          <w:rFonts w:hint="default" w:ascii="Times New Roman" w:hAnsi="Times New Roman" w:eastAsia="仿宋_GB2312" w:cs="Times New Roman"/>
          <w:sz w:val="32"/>
          <w:szCs w:val="32"/>
        </w:rPr>
        <w:t>室和窗口单位进行抽查、督查，对信息公开和服务工作开展评议。</w:t>
      </w:r>
      <w:r>
        <w:rPr>
          <w:rFonts w:hint="default" w:ascii="Times New Roman" w:hAnsi="Times New Roman" w:eastAsia="仿宋_GB2312" w:cs="Times New Roman"/>
          <w:sz w:val="32"/>
          <w:szCs w:val="32"/>
          <w:lang w:eastAsia="zh-CN"/>
        </w:rPr>
        <w:t>2019</w:t>
      </w:r>
      <w:r>
        <w:rPr>
          <w:rFonts w:hint="default" w:ascii="Times New Roman" w:hAnsi="Times New Roman" w:eastAsia="仿宋_GB2312" w:cs="Times New Roman"/>
          <w:sz w:val="32"/>
          <w:szCs w:val="32"/>
        </w:rPr>
        <w:t>年，全局共开展各类督查检查活动</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次，</w:t>
      </w:r>
      <w:r>
        <w:rPr>
          <w:rFonts w:hint="default" w:ascii="Times New Roman" w:hAnsi="Times New Roman" w:eastAsia="仿宋_GB2312" w:cs="Times New Roman"/>
          <w:sz w:val="32"/>
          <w:szCs w:val="32"/>
          <w:lang w:eastAsia="zh-CN"/>
        </w:rPr>
        <w:t>针对检查发现的问题</w:t>
      </w:r>
      <w:r>
        <w:rPr>
          <w:rFonts w:hint="default" w:ascii="Times New Roman" w:hAnsi="Times New Roman" w:eastAsia="仿宋_GB2312" w:cs="Times New Roman"/>
          <w:sz w:val="32"/>
          <w:szCs w:val="32"/>
        </w:rPr>
        <w:t>，均按照“</w:t>
      </w:r>
      <w:r>
        <w:rPr>
          <w:rFonts w:hint="default" w:ascii="Times New Roman" w:hAnsi="Times New Roman" w:eastAsia="仿宋_GB2312" w:cs="Times New Roman"/>
          <w:sz w:val="32"/>
          <w:szCs w:val="32"/>
          <w:lang w:eastAsia="zh-CN"/>
        </w:rPr>
        <w:t>立行立改</w:t>
      </w:r>
      <w:r>
        <w:rPr>
          <w:rFonts w:hint="default" w:ascii="Times New Roman" w:hAnsi="Times New Roman" w:eastAsia="仿宋_GB2312" w:cs="Times New Roman"/>
          <w:sz w:val="32"/>
          <w:szCs w:val="32"/>
        </w:rPr>
        <w:t>”的原则进行</w:t>
      </w:r>
      <w:r>
        <w:rPr>
          <w:rFonts w:hint="default" w:ascii="Times New Roman" w:hAnsi="Times New Roman" w:eastAsia="仿宋_GB2312" w:cs="Times New Roman"/>
          <w:sz w:val="32"/>
          <w:szCs w:val="32"/>
          <w:lang w:eastAsia="zh-CN"/>
        </w:rPr>
        <w:t>立即</w:t>
      </w:r>
      <w:r>
        <w:rPr>
          <w:rFonts w:hint="default" w:ascii="Times New Roman" w:hAnsi="Times New Roman" w:eastAsia="仿宋_GB2312" w:cs="Times New Roman"/>
          <w:sz w:val="32"/>
          <w:szCs w:val="32"/>
        </w:rPr>
        <w:t>整改。通过以上措施，有力地保证了各项工作的顺利实施。</w:t>
      </w:r>
    </w:p>
    <w:p>
      <w:pPr>
        <w:keepNext w:val="0"/>
        <w:keepLines w:val="0"/>
        <w:pageBreakBefore w:val="0"/>
        <w:widowControl w:val="0"/>
        <w:kinsoku/>
        <w:overflowPunct/>
        <w:topLinePunct w:val="0"/>
        <w:autoSpaceDE/>
        <w:autoSpaceDN/>
        <w:bidi w:val="0"/>
        <w:adjustRightInd/>
        <w:snapToGrid/>
        <w:spacing w:line="560" w:lineRule="exact"/>
        <w:ind w:firstLine="642"/>
        <w:jc w:val="left"/>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sz w:val="32"/>
          <w:szCs w:val="32"/>
        </w:rPr>
        <w:t>（三）创新形式，搭建平台。</w:t>
      </w:r>
      <w:r>
        <w:rPr>
          <w:rFonts w:hint="default" w:ascii="Times New Roman" w:hAnsi="Times New Roman" w:eastAsia="仿宋_GB2312" w:cs="Times New Roman"/>
          <w:sz w:val="32"/>
          <w:szCs w:val="32"/>
          <w:lang w:eastAsia="zh-CN"/>
        </w:rPr>
        <w:t>2019</w:t>
      </w:r>
      <w:r>
        <w:rPr>
          <w:rFonts w:hint="default" w:ascii="Times New Roman" w:hAnsi="Times New Roman" w:eastAsia="仿宋_GB2312" w:cs="Times New Roman"/>
          <w:sz w:val="32"/>
          <w:szCs w:val="32"/>
        </w:rPr>
        <w:t>年我</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通过丰富载体，优化平台，全面提升了政务信息公开工作水平。</w:t>
      </w:r>
      <w:r>
        <w:rPr>
          <w:rFonts w:hint="default" w:ascii="Times New Roman" w:hAnsi="Times New Roman" w:eastAsia="仿宋_GB2312" w:cs="Times New Roman"/>
          <w:b/>
          <w:bCs/>
          <w:sz w:val="32"/>
          <w:szCs w:val="32"/>
        </w:rPr>
        <w:t>一是加强</w:t>
      </w:r>
      <w:r>
        <w:rPr>
          <w:rFonts w:hint="default" w:ascii="Times New Roman" w:hAnsi="Times New Roman" w:eastAsia="仿宋_GB2312" w:cs="Times New Roman"/>
          <w:b/>
          <w:bCs/>
          <w:sz w:val="32"/>
          <w:szCs w:val="32"/>
          <w:lang w:eastAsia="zh-CN"/>
        </w:rPr>
        <w:t>网络公开</w:t>
      </w:r>
      <w:r>
        <w:rPr>
          <w:rFonts w:hint="default" w:ascii="Times New Roman" w:hAnsi="Times New Roman" w:eastAsia="仿宋_GB2312" w:cs="Times New Roman"/>
          <w:b/>
          <w:bCs/>
          <w:sz w:val="32"/>
          <w:szCs w:val="32"/>
        </w:rPr>
        <w:t>。</w:t>
      </w:r>
      <w:r>
        <w:rPr>
          <w:rFonts w:hint="default" w:ascii="Times New Roman" w:hAnsi="Times New Roman" w:eastAsia="仿宋_GB2312" w:cs="Times New Roman"/>
          <w:sz w:val="32"/>
          <w:szCs w:val="32"/>
          <w:lang w:eastAsia="zh-CN"/>
        </w:rPr>
        <w:t>2019</w:t>
      </w:r>
      <w:r>
        <w:rPr>
          <w:rFonts w:hint="default" w:ascii="Times New Roman" w:hAnsi="Times New Roman" w:eastAsia="仿宋_GB2312" w:cs="Times New Roman"/>
          <w:sz w:val="32"/>
          <w:szCs w:val="32"/>
        </w:rPr>
        <w:t>年，我局</w:t>
      </w:r>
      <w:r>
        <w:rPr>
          <w:rFonts w:hint="default" w:ascii="Times New Roman" w:hAnsi="Times New Roman" w:eastAsia="仿宋_GB2312" w:cs="Times New Roman"/>
          <w:sz w:val="32"/>
          <w:szCs w:val="32"/>
          <w:lang w:eastAsia="zh-CN"/>
        </w:rPr>
        <w:t>积极向旗人民政府、市住建委、市规划局、市人防办、旗委宣传部等上级部门邮箱和旗政府门户网、党建网报送工作信息，其中旗政府门户网站采纳</w:t>
      </w:r>
      <w:r>
        <w:rPr>
          <w:rFonts w:hint="default" w:ascii="Times New Roman" w:hAnsi="Times New Roman" w:eastAsia="仿宋_GB2312" w:cs="Times New Roman"/>
          <w:sz w:val="32"/>
          <w:szCs w:val="32"/>
          <w:lang w:val="en-US" w:eastAsia="zh-CN"/>
        </w:rPr>
        <w:t>10余条、莫力达瓦党建网采纳6条、向市人防办上报信息32条，</w:t>
      </w:r>
      <w:r>
        <w:rPr>
          <w:rFonts w:hint="default" w:ascii="Times New Roman" w:hAnsi="Times New Roman" w:eastAsia="仿宋_GB2312" w:cs="Times New Roman"/>
          <w:sz w:val="32"/>
          <w:szCs w:val="32"/>
        </w:rPr>
        <w:t>信息公开的方式更加科学合理、政务服务的途径更加便捷高效。</w:t>
      </w:r>
      <w:r>
        <w:rPr>
          <w:rFonts w:hint="default" w:ascii="Times New Roman" w:hAnsi="Times New Roman" w:eastAsia="仿宋_GB2312" w:cs="Times New Roman"/>
          <w:b/>
          <w:bCs/>
          <w:sz w:val="32"/>
          <w:szCs w:val="32"/>
        </w:rPr>
        <w:t>二是</w:t>
      </w:r>
      <w:r>
        <w:rPr>
          <w:rFonts w:hint="default" w:ascii="Times New Roman" w:hAnsi="Times New Roman" w:eastAsia="仿宋_GB2312" w:cs="Times New Roman"/>
          <w:b/>
          <w:bCs/>
          <w:sz w:val="32"/>
          <w:szCs w:val="32"/>
          <w:lang w:eastAsia="zh-CN"/>
        </w:rPr>
        <w:t>启用新媒体</w:t>
      </w:r>
      <w:r>
        <w:rPr>
          <w:rFonts w:hint="default" w:ascii="Times New Roman" w:hAnsi="Times New Roman" w:eastAsia="仿宋_GB2312" w:cs="Times New Roman"/>
          <w:b/>
          <w:bCs/>
          <w:sz w:val="32"/>
          <w:szCs w:val="32"/>
        </w:rPr>
        <w:t>平台。</w:t>
      </w:r>
      <w:r>
        <w:rPr>
          <w:rFonts w:hint="default" w:ascii="Times New Roman" w:hAnsi="Times New Roman" w:eastAsia="仿宋_GB2312" w:cs="Times New Roman"/>
          <w:sz w:val="32"/>
          <w:szCs w:val="32"/>
          <w:lang w:val="en-US" w:eastAsia="zh-CN"/>
        </w:rPr>
        <w:t>2019年通过微信公众号发布信息13条、通过美篇账号发布信息18条</w:t>
      </w:r>
      <w:r>
        <w:rPr>
          <w:rFonts w:hint="default" w:ascii="Times New Roman" w:hAnsi="Times New Roman" w:eastAsia="仿宋_GB2312" w:cs="Times New Roman"/>
          <w:sz w:val="32"/>
          <w:szCs w:val="32"/>
        </w:rPr>
        <w:t>。</w:t>
      </w:r>
      <w:r>
        <w:rPr>
          <w:rFonts w:hint="default" w:ascii="Times New Roman" w:hAnsi="Times New Roman" w:eastAsia="仿宋_GB2312" w:cs="Times New Roman"/>
          <w:b/>
          <w:bCs/>
          <w:sz w:val="32"/>
          <w:szCs w:val="32"/>
        </w:rPr>
        <w:t>三是利用传统媒体。</w:t>
      </w:r>
      <w:r>
        <w:rPr>
          <w:rFonts w:hint="default" w:ascii="Times New Roman" w:hAnsi="Times New Roman" w:eastAsia="仿宋_GB2312" w:cs="Times New Roman"/>
          <w:sz w:val="32"/>
          <w:szCs w:val="32"/>
        </w:rPr>
        <w:t>对民生方面牵动面大、涉及范围广、群众关注度高的政务事项，在</w:t>
      </w:r>
      <w:r>
        <w:rPr>
          <w:rFonts w:hint="default" w:ascii="Times New Roman" w:hAnsi="Times New Roman" w:eastAsia="仿宋_GB2312" w:cs="Times New Roman"/>
          <w:sz w:val="32"/>
          <w:szCs w:val="32"/>
          <w:lang w:eastAsia="zh-CN"/>
        </w:rPr>
        <w:t>莫力达瓦</w:t>
      </w:r>
      <w:r>
        <w:rPr>
          <w:rFonts w:hint="default" w:ascii="Times New Roman" w:hAnsi="Times New Roman" w:eastAsia="仿宋_GB2312" w:cs="Times New Roman"/>
          <w:sz w:val="32"/>
          <w:szCs w:val="32"/>
        </w:rPr>
        <w:t>新闻和</w:t>
      </w:r>
      <w:r>
        <w:rPr>
          <w:rFonts w:hint="default" w:ascii="Times New Roman" w:hAnsi="Times New Roman" w:eastAsia="仿宋_GB2312" w:cs="Times New Roman"/>
          <w:sz w:val="32"/>
          <w:szCs w:val="32"/>
          <w:lang w:eastAsia="zh-CN"/>
        </w:rPr>
        <w:t>莫力达瓦</w:t>
      </w:r>
      <w:r>
        <w:rPr>
          <w:rFonts w:hint="default" w:ascii="Times New Roman" w:hAnsi="Times New Roman" w:eastAsia="仿宋_GB2312" w:cs="Times New Roman"/>
          <w:sz w:val="32"/>
          <w:szCs w:val="32"/>
        </w:rPr>
        <w:t>报上实行重点公开。</w:t>
      </w:r>
      <w:r>
        <w:rPr>
          <w:rFonts w:hint="default" w:ascii="Times New Roman" w:hAnsi="Times New Roman" w:eastAsia="仿宋_GB2312" w:cs="Times New Roman"/>
          <w:b/>
          <w:bCs/>
          <w:sz w:val="32"/>
          <w:szCs w:val="32"/>
        </w:rPr>
        <w:t>四是</w:t>
      </w:r>
      <w:r>
        <w:rPr>
          <w:rFonts w:hint="default" w:ascii="Times New Roman" w:hAnsi="Times New Roman" w:eastAsia="仿宋_GB2312" w:cs="Times New Roman"/>
          <w:b/>
          <w:bCs/>
          <w:sz w:val="32"/>
          <w:szCs w:val="32"/>
          <w:lang w:eastAsia="zh-CN"/>
        </w:rPr>
        <w:t>办公场所</w:t>
      </w:r>
      <w:r>
        <w:rPr>
          <w:rFonts w:hint="default" w:ascii="Times New Roman" w:hAnsi="Times New Roman" w:eastAsia="仿宋_GB2312" w:cs="Times New Roman"/>
          <w:b/>
          <w:bCs/>
          <w:sz w:val="32"/>
          <w:szCs w:val="32"/>
        </w:rPr>
        <w:t>信息公示。</w:t>
      </w:r>
      <w:r>
        <w:rPr>
          <w:rFonts w:hint="default" w:ascii="Times New Roman" w:hAnsi="Times New Roman" w:eastAsia="仿宋_GB2312" w:cs="Times New Roman"/>
          <w:sz w:val="32"/>
          <w:szCs w:val="32"/>
        </w:rPr>
        <w:t>在局机关、服务窗口设立了信息公开栏，对组织机构、办事流程、监督举报等内容进行公示</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有效保证了广大群众的知情权，极大的增强了工作透明度。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420"/>
        <w:jc w:val="both"/>
        <w:rPr>
          <w:rFonts w:hint="default" w:ascii="Times New Roman" w:hAnsi="Times New Roman" w:eastAsia="黑体" w:cs="Times New Roman"/>
          <w:b w:val="0"/>
          <w:bCs/>
          <w:i w:val="0"/>
          <w:caps w:val="0"/>
          <w:color w:val="000000"/>
          <w:spacing w:val="0"/>
          <w:sz w:val="32"/>
          <w:szCs w:val="32"/>
        </w:rPr>
      </w:pPr>
      <w:r>
        <w:rPr>
          <w:rFonts w:hint="default" w:ascii="Times New Roman" w:hAnsi="Times New Roman" w:eastAsia="黑体" w:cs="Times New Roman"/>
          <w:b w:val="0"/>
          <w:bCs/>
          <w:i w:val="0"/>
          <w:caps w:val="0"/>
          <w:color w:val="000000"/>
          <w:spacing w:val="0"/>
          <w:sz w:val="32"/>
          <w:szCs w:val="32"/>
        </w:rPr>
        <w:t>二、主动公开政府信息情况</w:t>
      </w:r>
    </w:p>
    <w:tbl>
      <w:tblPr>
        <w:tblStyle w:val="3"/>
        <w:tblW w:w="8140" w:type="dxa"/>
        <w:jc w:val="center"/>
        <w:shd w:val="clear" w:color="auto" w:fill="auto"/>
        <w:tblLayout w:type="autofit"/>
        <w:tblCellMar>
          <w:top w:w="15" w:type="dxa"/>
          <w:left w:w="15" w:type="dxa"/>
          <w:bottom w:w="15" w:type="dxa"/>
          <w:right w:w="15" w:type="dxa"/>
        </w:tblCellMar>
      </w:tblPr>
      <w:tblGrid>
        <w:gridCol w:w="3113"/>
        <w:gridCol w:w="1875"/>
        <w:gridCol w:w="6"/>
        <w:gridCol w:w="1265"/>
        <w:gridCol w:w="1881"/>
      </w:tblGrid>
      <w:tr>
        <w:tblPrEx>
          <w:shd w:val="clear" w:color="auto" w:fill="auto"/>
          <w:tblCellMar>
            <w:top w:w="15" w:type="dxa"/>
            <w:left w:w="15" w:type="dxa"/>
            <w:bottom w:w="15" w:type="dxa"/>
            <w:right w:w="15" w:type="dxa"/>
          </w:tblCellMar>
        </w:tblPrEx>
        <w:trPr>
          <w:trHeight w:val="495" w:hRule="atLeast"/>
          <w:jc w:val="center"/>
        </w:trPr>
        <w:tc>
          <w:tcPr>
            <w:tcW w:w="8140" w:type="dxa"/>
            <w:gridSpan w:val="5"/>
            <w:tcBorders>
              <w:top w:val="single" w:color="auto" w:sz="8" w:space="0"/>
              <w:left w:val="single" w:color="auto" w:sz="8" w:space="0"/>
              <w:bottom w:val="single" w:color="auto" w:sz="8" w:space="0"/>
              <w:right w:val="single" w:color="auto" w:sz="8" w:space="0"/>
            </w:tcBorders>
            <w:shd w:val="clear" w:color="auto" w:fill="C6D9F1"/>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第二十条第（一）项</w:t>
            </w:r>
          </w:p>
        </w:tc>
      </w:tr>
      <w:tr>
        <w:tblPrEx>
          <w:tblCellMar>
            <w:top w:w="15" w:type="dxa"/>
            <w:left w:w="15" w:type="dxa"/>
            <w:bottom w:w="15" w:type="dxa"/>
            <w:right w:w="15" w:type="dxa"/>
          </w:tblCellMar>
        </w:tblPrEx>
        <w:trPr>
          <w:trHeight w:val="882"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信息内容</w:t>
            </w:r>
          </w:p>
        </w:tc>
        <w:tc>
          <w:tcPr>
            <w:tcW w:w="1875" w:type="dxa"/>
            <w:tcBorders>
              <w:top w:val="single" w:color="auto" w:sz="8" w:space="0"/>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本年新</w:t>
            </w:r>
            <w:r>
              <w:rPr>
                <w:rFonts w:hint="default" w:ascii="Times New Roman" w:hAnsi="Times New Roman" w:eastAsia="仿宋_GB2312" w:cs="Times New Roman"/>
                <w:color w:val="000000"/>
                <w:kern w:val="0"/>
                <w:sz w:val="24"/>
                <w:szCs w:val="24"/>
                <w:lang w:val="en-US" w:eastAsia="zh-CN" w:bidi="ar"/>
              </w:rPr>
              <w:br w:type="textWrapping"/>
            </w:r>
            <w:r>
              <w:rPr>
                <w:rFonts w:hint="default" w:ascii="Times New Roman" w:hAnsi="Times New Roman" w:eastAsia="仿宋_GB2312" w:cs="Times New Roman"/>
                <w:color w:val="000000"/>
                <w:kern w:val="0"/>
                <w:sz w:val="24"/>
                <w:szCs w:val="24"/>
                <w:lang w:val="en-US" w:eastAsia="zh-CN" w:bidi="ar"/>
              </w:rPr>
              <w:t>制作数量</w:t>
            </w:r>
          </w:p>
        </w:tc>
        <w:tc>
          <w:tcPr>
            <w:tcW w:w="1271" w:type="dxa"/>
            <w:gridSpan w:val="2"/>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本年新</w:t>
            </w:r>
            <w:r>
              <w:rPr>
                <w:rFonts w:hint="default" w:ascii="Times New Roman" w:hAnsi="Times New Roman" w:eastAsia="仿宋_GB2312" w:cs="Times New Roman"/>
                <w:color w:val="000000"/>
                <w:kern w:val="0"/>
                <w:sz w:val="24"/>
                <w:szCs w:val="24"/>
                <w:lang w:val="en-US" w:eastAsia="zh-CN" w:bidi="ar"/>
              </w:rPr>
              <w:br w:type="textWrapping"/>
            </w:r>
            <w:r>
              <w:rPr>
                <w:rFonts w:hint="default" w:ascii="Times New Roman" w:hAnsi="Times New Roman" w:eastAsia="仿宋_GB2312" w:cs="Times New Roman"/>
                <w:color w:val="000000"/>
                <w:kern w:val="0"/>
                <w:sz w:val="24"/>
                <w:szCs w:val="24"/>
                <w:lang w:val="en-US" w:eastAsia="zh-CN" w:bidi="ar"/>
              </w:rPr>
              <w:t>公开数量</w:t>
            </w:r>
          </w:p>
        </w:tc>
        <w:tc>
          <w:tcPr>
            <w:tcW w:w="1881"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对外公开总数量</w:t>
            </w:r>
          </w:p>
        </w:tc>
      </w:tr>
      <w:tr>
        <w:tblPrEx>
          <w:tblCellMar>
            <w:top w:w="15" w:type="dxa"/>
            <w:left w:w="15" w:type="dxa"/>
            <w:bottom w:w="15" w:type="dxa"/>
            <w:right w:w="15" w:type="dxa"/>
          </w:tblCellMar>
        </w:tblPrEx>
        <w:trPr>
          <w:trHeight w:val="523"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规章</w:t>
            </w:r>
          </w:p>
        </w:tc>
        <w:tc>
          <w:tcPr>
            <w:tcW w:w="1875"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0</w:t>
            </w:r>
          </w:p>
        </w:tc>
        <w:tc>
          <w:tcPr>
            <w:tcW w:w="1271" w:type="dxa"/>
            <w:gridSpan w:val="2"/>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0</w:t>
            </w:r>
          </w:p>
        </w:tc>
        <w:tc>
          <w:tcPr>
            <w:tcW w:w="1881"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0</w:t>
            </w:r>
          </w:p>
        </w:tc>
      </w:tr>
      <w:tr>
        <w:tblPrEx>
          <w:tblCellMar>
            <w:top w:w="15" w:type="dxa"/>
            <w:left w:w="15" w:type="dxa"/>
            <w:bottom w:w="15" w:type="dxa"/>
            <w:right w:w="15" w:type="dxa"/>
          </w:tblCellMar>
        </w:tblPrEx>
        <w:trPr>
          <w:trHeight w:val="471"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规范性文件</w:t>
            </w:r>
          </w:p>
        </w:tc>
        <w:tc>
          <w:tcPr>
            <w:tcW w:w="1875"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1</w:t>
            </w:r>
          </w:p>
        </w:tc>
        <w:tc>
          <w:tcPr>
            <w:tcW w:w="1271" w:type="dxa"/>
            <w:gridSpan w:val="2"/>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1</w:t>
            </w:r>
          </w:p>
        </w:tc>
        <w:tc>
          <w:tcPr>
            <w:tcW w:w="1881"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1</w:t>
            </w:r>
          </w:p>
        </w:tc>
      </w:tr>
      <w:tr>
        <w:tblPrEx>
          <w:tblCellMar>
            <w:top w:w="15" w:type="dxa"/>
            <w:left w:w="15" w:type="dxa"/>
            <w:bottom w:w="15" w:type="dxa"/>
            <w:right w:w="15" w:type="dxa"/>
          </w:tblCellMar>
        </w:tblPrEx>
        <w:trPr>
          <w:trHeight w:val="480"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第二十条第（五）项</w:t>
            </w:r>
          </w:p>
        </w:tc>
      </w:tr>
      <w:tr>
        <w:tblPrEx>
          <w:tblCellMar>
            <w:top w:w="15" w:type="dxa"/>
            <w:left w:w="15" w:type="dxa"/>
            <w:bottom w:w="15" w:type="dxa"/>
            <w:right w:w="15" w:type="dxa"/>
          </w:tblCellMar>
        </w:tblPrEx>
        <w:trPr>
          <w:trHeight w:val="634"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信息内容</w:t>
            </w:r>
          </w:p>
        </w:tc>
        <w:tc>
          <w:tcPr>
            <w:tcW w:w="1875" w:type="dxa"/>
            <w:tcBorders>
              <w:top w:val="single" w:color="auto" w:sz="8" w:space="0"/>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上一年项目数量</w:t>
            </w:r>
          </w:p>
        </w:tc>
        <w:tc>
          <w:tcPr>
            <w:tcW w:w="1271" w:type="dxa"/>
            <w:gridSpan w:val="2"/>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本年增/减</w:t>
            </w:r>
          </w:p>
        </w:tc>
        <w:tc>
          <w:tcPr>
            <w:tcW w:w="1881"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处理决定数量</w:t>
            </w:r>
          </w:p>
        </w:tc>
      </w:tr>
      <w:tr>
        <w:tblPrEx>
          <w:tblCellMar>
            <w:top w:w="15" w:type="dxa"/>
            <w:left w:w="15" w:type="dxa"/>
            <w:bottom w:w="15" w:type="dxa"/>
            <w:right w:w="15" w:type="dxa"/>
          </w:tblCellMar>
        </w:tblPrEx>
        <w:trPr>
          <w:trHeight w:val="528"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行政许可</w:t>
            </w:r>
          </w:p>
        </w:tc>
        <w:tc>
          <w:tcPr>
            <w:tcW w:w="1881" w:type="dxa"/>
            <w:gridSpan w:val="2"/>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31</w:t>
            </w:r>
          </w:p>
        </w:tc>
        <w:tc>
          <w:tcPr>
            <w:tcW w:w="1265"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-4</w:t>
            </w:r>
          </w:p>
        </w:tc>
        <w:tc>
          <w:tcPr>
            <w:tcW w:w="1881"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35</w:t>
            </w:r>
          </w:p>
        </w:tc>
      </w:tr>
      <w:tr>
        <w:tblPrEx>
          <w:tblCellMar>
            <w:top w:w="15" w:type="dxa"/>
            <w:left w:w="15" w:type="dxa"/>
            <w:bottom w:w="15" w:type="dxa"/>
            <w:right w:w="15" w:type="dxa"/>
          </w:tblCellMar>
        </w:tblPrEx>
        <w:trPr>
          <w:trHeight w:val="550"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其他对外管理服务事项</w:t>
            </w:r>
          </w:p>
        </w:tc>
        <w:tc>
          <w:tcPr>
            <w:tcW w:w="1881" w:type="dxa"/>
            <w:gridSpan w:val="2"/>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0</w:t>
            </w:r>
          </w:p>
        </w:tc>
        <w:tc>
          <w:tcPr>
            <w:tcW w:w="1265"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0</w:t>
            </w:r>
          </w:p>
        </w:tc>
        <w:tc>
          <w:tcPr>
            <w:tcW w:w="1881"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0</w:t>
            </w:r>
          </w:p>
        </w:tc>
      </w:tr>
      <w:tr>
        <w:tblPrEx>
          <w:tblCellMar>
            <w:top w:w="15" w:type="dxa"/>
            <w:left w:w="15" w:type="dxa"/>
            <w:bottom w:w="15" w:type="dxa"/>
            <w:right w:w="15" w:type="dxa"/>
          </w:tblCellMar>
        </w:tblPrEx>
        <w:trPr>
          <w:trHeight w:val="406"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第二十条第（六）项</w:t>
            </w:r>
          </w:p>
        </w:tc>
      </w:tr>
      <w:tr>
        <w:tblPrEx>
          <w:tblCellMar>
            <w:top w:w="15" w:type="dxa"/>
            <w:left w:w="15" w:type="dxa"/>
            <w:bottom w:w="15" w:type="dxa"/>
            <w:right w:w="15" w:type="dxa"/>
          </w:tblCellMar>
        </w:tblPrEx>
        <w:trPr>
          <w:trHeight w:val="634"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信息内容</w:t>
            </w:r>
          </w:p>
        </w:tc>
        <w:tc>
          <w:tcPr>
            <w:tcW w:w="1875" w:type="dxa"/>
            <w:tcBorders>
              <w:top w:val="single" w:color="auto" w:sz="8" w:space="0"/>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上一年项目数量</w:t>
            </w:r>
          </w:p>
        </w:tc>
        <w:tc>
          <w:tcPr>
            <w:tcW w:w="1271" w:type="dxa"/>
            <w:gridSpan w:val="2"/>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本年增/减</w:t>
            </w:r>
          </w:p>
        </w:tc>
        <w:tc>
          <w:tcPr>
            <w:tcW w:w="1881"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处理决定数量</w:t>
            </w:r>
          </w:p>
        </w:tc>
      </w:tr>
      <w:tr>
        <w:tblPrEx>
          <w:tblCellMar>
            <w:top w:w="15" w:type="dxa"/>
            <w:left w:w="15" w:type="dxa"/>
            <w:bottom w:w="15" w:type="dxa"/>
            <w:right w:w="15" w:type="dxa"/>
          </w:tblCellMar>
        </w:tblPrEx>
        <w:trPr>
          <w:trHeight w:val="430"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行政处罚</w:t>
            </w:r>
          </w:p>
        </w:tc>
        <w:tc>
          <w:tcPr>
            <w:tcW w:w="1881" w:type="dxa"/>
            <w:gridSpan w:val="2"/>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16</w:t>
            </w:r>
          </w:p>
        </w:tc>
        <w:tc>
          <w:tcPr>
            <w:tcW w:w="1265"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-10</w:t>
            </w:r>
          </w:p>
        </w:tc>
        <w:tc>
          <w:tcPr>
            <w:tcW w:w="1881"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6</w:t>
            </w:r>
          </w:p>
        </w:tc>
      </w:tr>
      <w:tr>
        <w:tblPrEx>
          <w:tblCellMar>
            <w:top w:w="15" w:type="dxa"/>
            <w:left w:w="15" w:type="dxa"/>
            <w:bottom w:w="15" w:type="dxa"/>
            <w:right w:w="15" w:type="dxa"/>
          </w:tblCellMar>
        </w:tblPrEx>
        <w:trPr>
          <w:trHeight w:val="409"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行政强制</w:t>
            </w:r>
          </w:p>
        </w:tc>
        <w:tc>
          <w:tcPr>
            <w:tcW w:w="1881" w:type="dxa"/>
            <w:gridSpan w:val="2"/>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0</w:t>
            </w:r>
          </w:p>
        </w:tc>
        <w:tc>
          <w:tcPr>
            <w:tcW w:w="1265"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0</w:t>
            </w:r>
          </w:p>
        </w:tc>
        <w:tc>
          <w:tcPr>
            <w:tcW w:w="1881" w:type="dxa"/>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0</w:t>
            </w:r>
          </w:p>
        </w:tc>
      </w:tr>
      <w:tr>
        <w:tblPrEx>
          <w:tblCellMar>
            <w:top w:w="15" w:type="dxa"/>
            <w:left w:w="15" w:type="dxa"/>
            <w:bottom w:w="15" w:type="dxa"/>
            <w:right w:w="15" w:type="dxa"/>
          </w:tblCellMar>
        </w:tblPrEx>
        <w:trPr>
          <w:trHeight w:val="474"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第二十条第（八）项</w:t>
            </w:r>
          </w:p>
        </w:tc>
      </w:tr>
      <w:tr>
        <w:tblPrEx>
          <w:tblCellMar>
            <w:top w:w="15" w:type="dxa"/>
            <w:left w:w="15" w:type="dxa"/>
            <w:bottom w:w="15" w:type="dxa"/>
            <w:right w:w="15" w:type="dxa"/>
          </w:tblCellMar>
        </w:tblPrEx>
        <w:trPr>
          <w:trHeight w:val="270"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信息内容</w:t>
            </w:r>
          </w:p>
        </w:tc>
        <w:tc>
          <w:tcPr>
            <w:tcW w:w="1881" w:type="dxa"/>
            <w:gridSpan w:val="2"/>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上一年项目数量</w:t>
            </w:r>
          </w:p>
        </w:tc>
        <w:tc>
          <w:tcPr>
            <w:tcW w:w="3146" w:type="dxa"/>
            <w:gridSpan w:val="2"/>
            <w:tcBorders>
              <w:top w:val="single" w:color="auto" w:sz="8" w:space="0"/>
              <w:left w:val="nil"/>
              <w:bottom w:val="single" w:color="auto" w:sz="8" w:space="0"/>
              <w:right w:val="single" w:color="000000"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本年增/减</w:t>
            </w:r>
          </w:p>
        </w:tc>
      </w:tr>
      <w:tr>
        <w:tblPrEx>
          <w:tblCellMar>
            <w:top w:w="15" w:type="dxa"/>
            <w:left w:w="15" w:type="dxa"/>
            <w:bottom w:w="15" w:type="dxa"/>
            <w:right w:w="15" w:type="dxa"/>
          </w:tblCellMar>
        </w:tblPrEx>
        <w:trPr>
          <w:trHeight w:val="551"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行政事业性收费</w:t>
            </w:r>
          </w:p>
        </w:tc>
        <w:tc>
          <w:tcPr>
            <w:tcW w:w="1881" w:type="dxa"/>
            <w:gridSpan w:val="2"/>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eastAsia" w:ascii="Times New Roman" w:hAnsi="Times New Roman" w:eastAsia="仿宋_GB2312" w:cs="Times New Roman"/>
                <w:color w:val="000000"/>
                <w:kern w:val="0"/>
                <w:sz w:val="24"/>
                <w:szCs w:val="24"/>
                <w:lang w:val="en-US" w:eastAsia="zh-CN" w:bidi="ar"/>
              </w:rPr>
              <w:t>27</w:t>
            </w:r>
          </w:p>
        </w:tc>
        <w:tc>
          <w:tcPr>
            <w:tcW w:w="3146" w:type="dxa"/>
            <w:gridSpan w:val="2"/>
            <w:tcBorders>
              <w:top w:val="nil"/>
              <w:left w:val="nil"/>
              <w:bottom w:val="single" w:color="auto" w:sz="8" w:space="0"/>
              <w:right w:val="single" w:color="000000"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bookmarkStart w:id="0" w:name="_GoBack"/>
            <w:bookmarkEnd w:id="0"/>
            <w:r>
              <w:rPr>
                <w:rFonts w:hint="eastAsia" w:ascii="Times New Roman" w:hAnsi="Times New Roman" w:eastAsia="仿宋_GB2312" w:cs="Times New Roman"/>
                <w:color w:val="000000"/>
                <w:kern w:val="0"/>
                <w:sz w:val="24"/>
                <w:szCs w:val="24"/>
                <w:lang w:val="en-US" w:eastAsia="zh-CN" w:bidi="ar"/>
              </w:rPr>
              <w:t>-2</w:t>
            </w:r>
          </w:p>
        </w:tc>
      </w:tr>
      <w:tr>
        <w:tblPrEx>
          <w:tblCellMar>
            <w:top w:w="15" w:type="dxa"/>
            <w:left w:w="15" w:type="dxa"/>
            <w:bottom w:w="15" w:type="dxa"/>
            <w:right w:w="15" w:type="dxa"/>
          </w:tblCellMar>
        </w:tblPrEx>
        <w:trPr>
          <w:trHeight w:val="476"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第二十条第（九）项</w:t>
            </w:r>
          </w:p>
        </w:tc>
      </w:tr>
      <w:tr>
        <w:tblPrEx>
          <w:tblCellMar>
            <w:top w:w="15" w:type="dxa"/>
            <w:left w:w="15" w:type="dxa"/>
            <w:bottom w:w="15" w:type="dxa"/>
            <w:right w:w="15" w:type="dxa"/>
          </w:tblCellMar>
        </w:tblPrEx>
        <w:trPr>
          <w:trHeight w:val="585"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信息内容</w:t>
            </w:r>
          </w:p>
        </w:tc>
        <w:tc>
          <w:tcPr>
            <w:tcW w:w="1881" w:type="dxa"/>
            <w:gridSpan w:val="2"/>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采购项目数量</w:t>
            </w:r>
          </w:p>
        </w:tc>
        <w:tc>
          <w:tcPr>
            <w:tcW w:w="3146" w:type="dxa"/>
            <w:gridSpan w:val="2"/>
            <w:tcBorders>
              <w:top w:val="single" w:color="auto" w:sz="8" w:space="0"/>
              <w:left w:val="nil"/>
              <w:bottom w:val="single" w:color="auto" w:sz="8" w:space="0"/>
              <w:right w:val="single" w:color="000000"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采购总金额</w:t>
            </w:r>
          </w:p>
        </w:tc>
      </w:tr>
      <w:tr>
        <w:tblPrEx>
          <w:tblCellMar>
            <w:top w:w="15" w:type="dxa"/>
            <w:left w:w="15" w:type="dxa"/>
            <w:bottom w:w="15" w:type="dxa"/>
            <w:right w:w="15" w:type="dxa"/>
          </w:tblCellMar>
        </w:tblPrEx>
        <w:trPr>
          <w:trHeight w:val="539" w:hRule="atLeast"/>
          <w:jc w:val="center"/>
        </w:trPr>
        <w:tc>
          <w:tcPr>
            <w:tcW w:w="3113" w:type="dxa"/>
            <w:tcBorders>
              <w:top w:val="nil"/>
              <w:left w:val="single" w:color="auto" w:sz="8" w:space="0"/>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政府集中采购</w:t>
            </w:r>
          </w:p>
        </w:tc>
        <w:tc>
          <w:tcPr>
            <w:tcW w:w="1881" w:type="dxa"/>
            <w:gridSpan w:val="2"/>
            <w:tcBorders>
              <w:top w:val="nil"/>
              <w:left w:val="nil"/>
              <w:bottom w:val="single" w:color="auto" w:sz="8" w:space="0"/>
              <w:right w:val="single" w:color="auto" w:sz="8" w:space="0"/>
            </w:tcBorders>
            <w:shd w:val="clear" w:color="auto" w:fill="E6F4FF"/>
            <w:noWrap/>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10</w:t>
            </w:r>
          </w:p>
        </w:tc>
        <w:tc>
          <w:tcPr>
            <w:tcW w:w="3146" w:type="dxa"/>
            <w:gridSpan w:val="2"/>
            <w:tcBorders>
              <w:top w:val="nil"/>
              <w:left w:val="nil"/>
              <w:bottom w:val="single" w:color="auto" w:sz="8" w:space="0"/>
              <w:right w:val="single" w:color="000000" w:sz="8" w:space="0"/>
            </w:tcBorders>
            <w:shd w:val="clear" w:color="auto" w:fill="E6F4FF"/>
            <w:noWrap/>
            <w:tcMar>
              <w:top w:w="0" w:type="dxa"/>
              <w:left w:w="108" w:type="dxa"/>
              <w:bottom w:w="0" w:type="dxa"/>
              <w:right w:w="108" w:type="dxa"/>
            </w:tcMar>
            <w:vAlign w:val="center"/>
          </w:tcPr>
          <w:p>
            <w:pPr>
              <w:jc w:val="center"/>
              <w:rPr>
                <w:rFonts w:hint="default"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832.775</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default" w:ascii="Times New Roman" w:hAnsi="Times New Roman" w:eastAsia="仿宋_GB2312" w:cs="Times New Roman"/>
          <w:b w:val="0"/>
          <w:i w:val="0"/>
          <w:caps w:val="0"/>
          <w:color w:val="000000"/>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420"/>
        <w:jc w:val="both"/>
        <w:rPr>
          <w:rFonts w:hint="default" w:ascii="Times New Roman" w:hAnsi="Times New Roman" w:eastAsia="黑体" w:cs="Times New Roman"/>
          <w:b w:val="0"/>
          <w:bCs/>
          <w:i w:val="0"/>
          <w:caps w:val="0"/>
          <w:color w:val="000000"/>
          <w:spacing w:val="0"/>
          <w:sz w:val="32"/>
          <w:szCs w:val="32"/>
        </w:rPr>
      </w:pPr>
      <w:r>
        <w:rPr>
          <w:rFonts w:hint="default" w:ascii="Times New Roman" w:hAnsi="Times New Roman" w:eastAsia="黑体" w:cs="Times New Roman"/>
          <w:b w:val="0"/>
          <w:bCs/>
          <w:i w:val="0"/>
          <w:caps w:val="0"/>
          <w:color w:val="000000"/>
          <w:spacing w:val="0"/>
          <w:sz w:val="32"/>
          <w:szCs w:val="32"/>
        </w:rPr>
        <w:t>三、收到和处理政府信息公开申请情况</w:t>
      </w:r>
    </w:p>
    <w:tbl>
      <w:tblPr>
        <w:tblStyle w:val="3"/>
        <w:tblW w:w="9071"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696"/>
        <w:gridCol w:w="936"/>
        <w:gridCol w:w="2023"/>
        <w:gridCol w:w="798"/>
        <w:gridCol w:w="742"/>
        <w:gridCol w:w="742"/>
        <w:gridCol w:w="798"/>
        <w:gridCol w:w="951"/>
        <w:gridCol w:w="701"/>
        <w:gridCol w:w="684"/>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3655" w:type="dxa"/>
            <w:gridSpan w:val="3"/>
            <w:vMerge w:val="restart"/>
            <w:tcBorders>
              <w:top w:val="single" w:color="auto" w:sz="8" w:space="0"/>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（本列数据的勾稽关系为：第一项加第二项之和，等于第三项加第四项之和）</w:t>
            </w:r>
          </w:p>
        </w:tc>
        <w:tc>
          <w:tcPr>
            <w:tcW w:w="5416" w:type="dxa"/>
            <w:gridSpan w:val="7"/>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3655" w:type="dxa"/>
            <w:gridSpan w:val="3"/>
            <w:vMerge w:val="continue"/>
            <w:tcBorders>
              <w:top w:val="single" w:color="auto" w:sz="8" w:space="0"/>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798" w:type="dxa"/>
            <w:vMerge w:val="restart"/>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自然人</w:t>
            </w:r>
          </w:p>
        </w:tc>
        <w:tc>
          <w:tcPr>
            <w:tcW w:w="3934" w:type="dxa"/>
            <w:gridSpan w:val="5"/>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法人或其他组织</w:t>
            </w:r>
          </w:p>
        </w:tc>
        <w:tc>
          <w:tcPr>
            <w:tcW w:w="684" w:type="dxa"/>
            <w:vMerge w:val="restart"/>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3655" w:type="dxa"/>
            <w:gridSpan w:val="3"/>
            <w:vMerge w:val="continue"/>
            <w:tcBorders>
              <w:top w:val="single" w:color="auto" w:sz="8" w:space="0"/>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798"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商业企业</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科研机构</w:t>
            </w:r>
          </w:p>
        </w:tc>
        <w:tc>
          <w:tcPr>
            <w:tcW w:w="798"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社会公益组织</w:t>
            </w:r>
          </w:p>
        </w:tc>
        <w:tc>
          <w:tcPr>
            <w:tcW w:w="951"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法律服务机构</w:t>
            </w:r>
          </w:p>
        </w:tc>
        <w:tc>
          <w:tcPr>
            <w:tcW w:w="701"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其他</w:t>
            </w:r>
          </w:p>
        </w:tc>
        <w:tc>
          <w:tcPr>
            <w:tcW w:w="684" w:type="dxa"/>
            <w:vMerge w:val="continue"/>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3655" w:type="dxa"/>
            <w:gridSpan w:val="3"/>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一、本年新收政府信息公开申请数量</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0 </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0 </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3655" w:type="dxa"/>
            <w:gridSpan w:val="3"/>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二、上年结转政府信息公开申请数量</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restart"/>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三、本年度办理结果</w:t>
            </w:r>
          </w:p>
        </w:tc>
        <w:tc>
          <w:tcPr>
            <w:tcW w:w="2959" w:type="dxa"/>
            <w:gridSpan w:val="2"/>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（一）予以公开</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959" w:type="dxa"/>
            <w:gridSpan w:val="2"/>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（二）部分公开（区分处理的，只计这一情形，不计其他情形）</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restart"/>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（三）不予公开</w:t>
            </w: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1.属于国家秘密</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2.其他法律行政法规禁止公开</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3.危及“三安全一稳定”</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4.保护第三方合法权益</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5.属于三类内部事务信息</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6.属于四类过程性信息</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7.属于行政执法案卷</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8.属于行政查询事项</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restart"/>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（四）无法提供</w:t>
            </w: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1.本机关不掌握相关政府信息</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2.没有现成信息需要另行制作</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3.补正后申请内容仍不明确</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restart"/>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（五）不予处理</w:t>
            </w: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1.信访举报投诉类申请</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20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20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2.重复申请</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7</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7</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3.要求提供公开出版物</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4.无正当理由大量反复申请</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2 </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2</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936"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023"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5.要求行政机关确认或重新出具已获取信息</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959" w:type="dxa"/>
            <w:gridSpan w:val="2"/>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（六）其他处理</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96"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2959" w:type="dxa"/>
            <w:gridSpan w:val="2"/>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（七）总计</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3655" w:type="dxa"/>
            <w:gridSpan w:val="3"/>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四、结转下年度继续办理</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42"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79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95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c>
          <w:tcPr>
            <w:tcW w:w="701"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 0</w:t>
            </w:r>
          </w:p>
        </w:tc>
        <w:tc>
          <w:tcPr>
            <w:tcW w:w="68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jc w:val="center"/>
              <w:rPr>
                <w:rFonts w:hint="default" w:ascii="Times New Roman" w:hAnsi="Times New Roman" w:eastAsia="仿宋_GB2312" w:cs="Times New Roman"/>
                <w:color w:val="000000"/>
                <w:kern w:val="2"/>
                <w:sz w:val="24"/>
                <w:szCs w:val="24"/>
                <w:lang w:val="en-US" w:eastAsia="zh-CN" w:bidi="ar-SA"/>
              </w:rPr>
            </w:pPr>
            <w:r>
              <w:rPr>
                <w:rFonts w:hint="default" w:ascii="Times New Roman" w:hAnsi="Times New Roman" w:eastAsia="仿宋_GB2312" w:cs="Times New Roman"/>
                <w:color w:val="000000"/>
                <w:kern w:val="0"/>
                <w:sz w:val="24"/>
                <w:szCs w:val="24"/>
                <w:lang w:val="en-US" w:eastAsia="zh-CN" w:bidi="ar"/>
              </w:rPr>
              <w:t>0 </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default" w:ascii="Times New Roman" w:hAnsi="Times New Roman" w:eastAsia="仿宋_GB2312" w:cs="Times New Roman"/>
          <w:b w:val="0"/>
          <w:i w:val="0"/>
          <w:caps w:val="0"/>
          <w:color w:val="000000"/>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default" w:ascii="Times New Roman" w:hAnsi="Times New Roman" w:eastAsia="黑体" w:cs="Times New Roman"/>
          <w:b w:val="0"/>
          <w:bCs/>
          <w:i w:val="0"/>
          <w:caps w:val="0"/>
          <w:color w:val="000000"/>
          <w:spacing w:val="0"/>
          <w:sz w:val="32"/>
          <w:szCs w:val="32"/>
        </w:rPr>
      </w:pPr>
      <w:r>
        <w:rPr>
          <w:rFonts w:hint="default" w:ascii="Times New Roman" w:hAnsi="Times New Roman" w:eastAsia="黑体" w:cs="Times New Roman"/>
          <w:b w:val="0"/>
          <w:bCs/>
          <w:i w:val="0"/>
          <w:caps w:val="0"/>
          <w:color w:val="000000"/>
          <w:spacing w:val="0"/>
          <w:sz w:val="32"/>
          <w:szCs w:val="32"/>
        </w:rPr>
        <w:t>四、政府信息公开行政复议、行政诉讼情况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default" w:ascii="Times New Roman" w:hAnsi="Times New Roman" w:eastAsia="仿宋_GB2312" w:cs="Times New Roman"/>
          <w:b w:val="0"/>
          <w:i w:val="0"/>
          <w:caps w:val="0"/>
          <w:color w:val="000000"/>
          <w:spacing w:val="0"/>
          <w:sz w:val="24"/>
          <w:szCs w:val="24"/>
        </w:rPr>
      </w:pPr>
    </w:p>
    <w:tbl>
      <w:tblPr>
        <w:tblStyle w:val="3"/>
        <w:tblW w:w="9071"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行政复议</w:t>
            </w:r>
          </w:p>
        </w:tc>
        <w:tc>
          <w:tcPr>
            <w:tcW w:w="5997" w:type="dxa"/>
            <w:gridSpan w:val="10"/>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04" w:type="dxa"/>
            <w:vMerge w:val="restart"/>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结果维持</w:t>
            </w:r>
          </w:p>
        </w:tc>
        <w:tc>
          <w:tcPr>
            <w:tcW w:w="604" w:type="dxa"/>
            <w:vMerge w:val="restart"/>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结果纠正</w:t>
            </w:r>
          </w:p>
        </w:tc>
        <w:tc>
          <w:tcPr>
            <w:tcW w:w="604" w:type="dxa"/>
            <w:vMerge w:val="restart"/>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其他结果</w:t>
            </w:r>
          </w:p>
        </w:tc>
        <w:tc>
          <w:tcPr>
            <w:tcW w:w="604" w:type="dxa"/>
            <w:vMerge w:val="restart"/>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尚未审结</w:t>
            </w:r>
          </w:p>
        </w:tc>
        <w:tc>
          <w:tcPr>
            <w:tcW w:w="658" w:type="dxa"/>
            <w:vMerge w:val="restart"/>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总计</w:t>
            </w:r>
          </w:p>
        </w:tc>
        <w:tc>
          <w:tcPr>
            <w:tcW w:w="2970" w:type="dxa"/>
            <w:gridSpan w:val="5"/>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未经复议直接起诉</w:t>
            </w:r>
          </w:p>
        </w:tc>
        <w:tc>
          <w:tcPr>
            <w:tcW w:w="3027" w:type="dxa"/>
            <w:gridSpan w:val="5"/>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04" w:type="dxa"/>
            <w:vMerge w:val="continue"/>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604" w:type="dxa"/>
            <w:vMerge w:val="continue"/>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604" w:type="dxa"/>
            <w:vMerge w:val="continue"/>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604" w:type="dxa"/>
            <w:vMerge w:val="continue"/>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658" w:type="dxa"/>
            <w:vMerge w:val="continue"/>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default" w:ascii="Times New Roman" w:hAnsi="Times New Roman" w:eastAsia="仿宋_GB2312" w:cs="Times New Roman"/>
                <w:color w:val="000000"/>
                <w:sz w:val="24"/>
                <w:szCs w:val="24"/>
              </w:rPr>
            </w:pPr>
          </w:p>
        </w:tc>
        <w:tc>
          <w:tcPr>
            <w:tcW w:w="550"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结果维持</w:t>
            </w:r>
          </w:p>
        </w:tc>
        <w:tc>
          <w:tcPr>
            <w:tcW w:w="605"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结果纠正</w:t>
            </w:r>
          </w:p>
        </w:tc>
        <w:tc>
          <w:tcPr>
            <w:tcW w:w="605"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其他结果</w:t>
            </w:r>
          </w:p>
        </w:tc>
        <w:tc>
          <w:tcPr>
            <w:tcW w:w="605"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尚未审结</w:t>
            </w:r>
          </w:p>
        </w:tc>
        <w:tc>
          <w:tcPr>
            <w:tcW w:w="605"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总计</w:t>
            </w:r>
          </w:p>
        </w:tc>
        <w:tc>
          <w:tcPr>
            <w:tcW w:w="605"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结果维持</w:t>
            </w:r>
          </w:p>
        </w:tc>
        <w:tc>
          <w:tcPr>
            <w:tcW w:w="605"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结果纠正</w:t>
            </w:r>
          </w:p>
        </w:tc>
        <w:tc>
          <w:tcPr>
            <w:tcW w:w="605"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其他结果</w:t>
            </w:r>
          </w:p>
        </w:tc>
        <w:tc>
          <w:tcPr>
            <w:tcW w:w="606"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尚未审结</w:t>
            </w:r>
          </w:p>
        </w:tc>
        <w:tc>
          <w:tcPr>
            <w:tcW w:w="606" w:type="dxa"/>
            <w:tcBorders>
              <w:top w:val="single" w:color="auto" w:sz="8" w:space="0"/>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04" w:type="dxa"/>
            <w:tcBorders>
              <w:top w:val="nil"/>
              <w:left w:val="single" w:color="auto" w:sz="8" w:space="0"/>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p>
        </w:tc>
        <w:tc>
          <w:tcPr>
            <w:tcW w:w="60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 </w:t>
            </w:r>
          </w:p>
        </w:tc>
        <w:tc>
          <w:tcPr>
            <w:tcW w:w="60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 </w:t>
            </w:r>
          </w:p>
        </w:tc>
        <w:tc>
          <w:tcPr>
            <w:tcW w:w="604"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 </w:t>
            </w:r>
          </w:p>
        </w:tc>
        <w:tc>
          <w:tcPr>
            <w:tcW w:w="658"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val="en-US" w:eastAsia="zh-CN" w:bidi="ar"/>
              </w:rPr>
              <w:t> </w:t>
            </w:r>
          </w:p>
        </w:tc>
        <w:tc>
          <w:tcPr>
            <w:tcW w:w="550"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szCs w:val="24"/>
                <w:lang w:val="en-US" w:eastAsia="zh-CN" w:bidi="ar"/>
              </w:rPr>
              <w:t> </w:t>
            </w:r>
            <w:r>
              <w:rPr>
                <w:rFonts w:hint="eastAsia" w:ascii="Times New Roman" w:hAnsi="Times New Roman" w:eastAsia="仿宋_GB2312" w:cs="Times New Roman"/>
                <w:color w:val="000000"/>
                <w:kern w:val="0"/>
                <w:sz w:val="24"/>
                <w:szCs w:val="24"/>
                <w:lang w:val="en-US" w:eastAsia="zh-CN" w:bidi="ar"/>
              </w:rPr>
              <w:t>1</w:t>
            </w:r>
          </w:p>
        </w:tc>
        <w:tc>
          <w:tcPr>
            <w:tcW w:w="605"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eastAsia" w:ascii="Times New Roman" w:hAnsi="Times New Roman" w:eastAsia="仿宋_GB2312" w:cs="Times New Roman"/>
                <w:color w:val="000000"/>
                <w:kern w:val="0"/>
                <w:sz w:val="24"/>
                <w:szCs w:val="24"/>
                <w:lang w:val="en-US" w:eastAsia="zh-CN" w:bidi="ar"/>
              </w:rPr>
              <w:t>0</w:t>
            </w:r>
          </w:p>
        </w:tc>
        <w:tc>
          <w:tcPr>
            <w:tcW w:w="605"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eastAsia" w:ascii="Times New Roman" w:hAnsi="Times New Roman" w:eastAsia="仿宋_GB2312" w:cs="Times New Roman"/>
                <w:color w:val="000000"/>
                <w:kern w:val="0"/>
                <w:sz w:val="24"/>
                <w:szCs w:val="24"/>
                <w:lang w:val="en-US" w:eastAsia="zh-CN" w:bidi="ar"/>
              </w:rPr>
              <w:t>2</w:t>
            </w:r>
          </w:p>
        </w:tc>
        <w:tc>
          <w:tcPr>
            <w:tcW w:w="605"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eastAsia" w:ascii="Times New Roman" w:hAnsi="Times New Roman" w:eastAsia="仿宋_GB2312" w:cs="Times New Roman"/>
                <w:color w:val="000000"/>
                <w:kern w:val="0"/>
                <w:sz w:val="24"/>
                <w:szCs w:val="24"/>
                <w:lang w:val="en-US" w:eastAsia="zh-CN" w:bidi="ar"/>
              </w:rPr>
              <w:t>0</w:t>
            </w:r>
          </w:p>
        </w:tc>
        <w:tc>
          <w:tcPr>
            <w:tcW w:w="605"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eastAsia" w:ascii="Times New Roman" w:hAnsi="Times New Roman" w:eastAsia="仿宋_GB2312" w:cs="Times New Roman"/>
                <w:color w:val="000000"/>
                <w:kern w:val="0"/>
                <w:sz w:val="24"/>
                <w:szCs w:val="24"/>
                <w:lang w:val="en-US" w:eastAsia="zh-CN" w:bidi="ar"/>
              </w:rPr>
              <w:t>3</w:t>
            </w:r>
          </w:p>
        </w:tc>
        <w:tc>
          <w:tcPr>
            <w:tcW w:w="605"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eastAsia" w:ascii="Times New Roman" w:hAnsi="Times New Roman" w:eastAsia="仿宋_GB2312" w:cs="Times New Roman"/>
                <w:color w:val="000000"/>
                <w:kern w:val="0"/>
                <w:sz w:val="24"/>
                <w:szCs w:val="24"/>
                <w:lang w:val="en-US" w:eastAsia="zh-CN" w:bidi="ar"/>
              </w:rPr>
              <w:t>0</w:t>
            </w:r>
          </w:p>
        </w:tc>
        <w:tc>
          <w:tcPr>
            <w:tcW w:w="605"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eastAsia" w:ascii="Times New Roman" w:hAnsi="Times New Roman" w:eastAsia="仿宋_GB2312" w:cs="Times New Roman"/>
                <w:color w:val="000000"/>
                <w:kern w:val="0"/>
                <w:sz w:val="24"/>
                <w:szCs w:val="24"/>
                <w:lang w:val="en-US" w:eastAsia="zh-CN" w:bidi="ar"/>
              </w:rPr>
              <w:t>0</w:t>
            </w:r>
          </w:p>
        </w:tc>
        <w:tc>
          <w:tcPr>
            <w:tcW w:w="605"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eastAsia" w:ascii="Times New Roman" w:hAnsi="Times New Roman" w:eastAsia="仿宋_GB2312" w:cs="Times New Roman"/>
                <w:color w:val="000000"/>
                <w:kern w:val="0"/>
                <w:sz w:val="24"/>
                <w:szCs w:val="24"/>
                <w:lang w:val="en-US" w:eastAsia="zh-CN" w:bidi="ar"/>
              </w:rPr>
              <w:t>1</w:t>
            </w:r>
          </w:p>
        </w:tc>
        <w:tc>
          <w:tcPr>
            <w:tcW w:w="606"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000000"/>
                <w:sz w:val="24"/>
                <w:szCs w:val="24"/>
              </w:rPr>
            </w:pPr>
            <w:r>
              <w:rPr>
                <w:rFonts w:hint="eastAsia" w:ascii="Times New Roman" w:hAnsi="Times New Roman" w:eastAsia="仿宋_GB2312" w:cs="Times New Roman"/>
                <w:color w:val="000000"/>
                <w:kern w:val="0"/>
                <w:sz w:val="24"/>
                <w:szCs w:val="24"/>
                <w:lang w:val="en-US" w:eastAsia="zh-CN" w:bidi="ar"/>
              </w:rPr>
              <w:t>1</w:t>
            </w:r>
          </w:p>
        </w:tc>
        <w:tc>
          <w:tcPr>
            <w:tcW w:w="606" w:type="dxa"/>
            <w:tcBorders>
              <w:top w:val="nil"/>
              <w:left w:val="nil"/>
              <w:bottom w:val="single" w:color="auto" w:sz="8" w:space="0"/>
              <w:right w:val="single" w:color="auto" w:sz="8" w:space="0"/>
            </w:tcBorders>
            <w:shd w:val="clear" w:color="auto" w:fill="E6F4FF"/>
            <w:tcMar>
              <w:top w:w="0" w:type="dxa"/>
              <w:left w:w="108" w:type="dxa"/>
              <w:bottom w:w="0" w:type="dxa"/>
              <w:right w:w="108" w:type="dxa"/>
            </w:tcMar>
            <w:vAlign w:val="center"/>
          </w:tcPr>
          <w:p>
            <w:pPr>
              <w:rPr>
                <w:rFonts w:hint="eastAsia"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2</w:t>
            </w:r>
          </w:p>
        </w:tc>
      </w:tr>
    </w:tbl>
    <w:p>
      <w:pPr>
        <w:keepNext w:val="0"/>
        <w:keepLines w:val="0"/>
        <w:widowControl/>
        <w:suppressLineNumbers w:val="0"/>
        <w:spacing w:before="0" w:beforeAutospacing="0" w:after="150" w:afterAutospacing="0"/>
        <w:ind w:left="0" w:right="0" w:firstLine="0"/>
        <w:jc w:val="center"/>
        <w:rPr>
          <w:rFonts w:hint="default" w:ascii="Times New Roman" w:hAnsi="Times New Roman" w:eastAsia="仿宋_GB2312" w:cs="Times New Roman"/>
          <w:b w:val="0"/>
          <w:i w:val="0"/>
          <w:caps w:val="0"/>
          <w:color w:val="000000"/>
          <w:spacing w:val="0"/>
          <w:sz w:val="32"/>
          <w:szCs w:val="3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both"/>
        <w:rPr>
          <w:rFonts w:hint="default" w:ascii="Times New Roman" w:hAnsi="Times New Roman" w:eastAsia="黑体" w:cs="Times New Roman"/>
          <w:b w:val="0"/>
          <w:bCs/>
          <w:i w:val="0"/>
          <w:caps w:val="0"/>
          <w:color w:val="000000"/>
          <w:spacing w:val="0"/>
          <w:sz w:val="32"/>
          <w:szCs w:val="32"/>
        </w:rPr>
      </w:pPr>
      <w:r>
        <w:rPr>
          <w:rFonts w:hint="default" w:ascii="Times New Roman" w:hAnsi="Times New Roman" w:eastAsia="黑体" w:cs="Times New Roman"/>
          <w:b w:val="0"/>
          <w:bCs/>
          <w:i w:val="0"/>
          <w:caps w:val="0"/>
          <w:color w:val="000000"/>
          <w:spacing w:val="0"/>
          <w:sz w:val="32"/>
          <w:szCs w:val="32"/>
        </w:rPr>
        <w:t>五、存在的主要问题及改进情况</w:t>
      </w:r>
    </w:p>
    <w:p>
      <w:pPr>
        <w:keepNext w:val="0"/>
        <w:keepLines w:val="0"/>
        <w:pageBreakBefore w:val="0"/>
        <w:widowControl w:val="0"/>
        <w:kinsoku/>
        <w:overflowPunct/>
        <w:topLinePunct w:val="0"/>
        <w:autoSpaceDE/>
        <w:autoSpaceDN/>
        <w:bidi w:val="0"/>
        <w:adjustRightInd/>
        <w:snapToGrid/>
        <w:spacing w:line="560" w:lineRule="exact"/>
        <w:ind w:firstLine="640"/>
        <w:jc w:val="lef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目前，我局存在的主要问题是信息公开数量不够。由于我局人员编制较少，业务工作繁重，部分业务人员对信息公开工作不够重视。下一步，我局将</w:t>
      </w:r>
      <w:r>
        <w:rPr>
          <w:rFonts w:hint="default" w:ascii="Times New Roman" w:hAnsi="Times New Roman" w:eastAsia="仿宋_GB2312" w:cs="Times New Roman"/>
          <w:sz w:val="32"/>
          <w:szCs w:val="32"/>
          <w:lang w:eastAsia="zh-CN"/>
        </w:rPr>
        <w:t>加强制度建设，提高干部职工对信息公开工作的重视程度，加强信息公开的制度化、规范化、常态化，明确责任分工，确保各项工作任务落到实处。</w:t>
      </w:r>
    </w:p>
    <w:p>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黑体" w:cs="Times New Roman"/>
          <w:b w:val="0"/>
          <w:bCs/>
          <w:i w:val="0"/>
          <w:caps w:val="0"/>
          <w:color w:val="000000"/>
          <w:spacing w:val="0"/>
          <w:sz w:val="32"/>
          <w:szCs w:val="32"/>
        </w:rPr>
      </w:pPr>
      <w:r>
        <w:rPr>
          <w:rFonts w:hint="default" w:ascii="Times New Roman" w:hAnsi="Times New Roman" w:eastAsia="黑体" w:cs="Times New Roman"/>
          <w:b w:val="0"/>
          <w:bCs/>
          <w:i w:val="0"/>
          <w:caps w:val="0"/>
          <w:color w:val="000000"/>
          <w:spacing w:val="0"/>
          <w:sz w:val="32"/>
          <w:szCs w:val="32"/>
        </w:rPr>
        <w:t>六、其他需要报告的事项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无其他需要报告的事项。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此报告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jc w:val="both"/>
        <w:rPr>
          <w:rFonts w:hint="default" w:ascii="Times New Roman" w:hAnsi="Times New Roman" w:eastAsia="仿宋_GB2312" w:cs="Times New Roman"/>
          <w:sz w:val="32"/>
          <w:szCs w:val="32"/>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jc w:val="both"/>
        <w:rPr>
          <w:rFonts w:hint="default" w:ascii="Times New Roman" w:hAnsi="Times New Roman" w:eastAsia="仿宋_GB2312" w:cs="Times New Roman"/>
          <w:sz w:val="32"/>
          <w:szCs w:val="32"/>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jc w:val="both"/>
        <w:rPr>
          <w:rFonts w:hint="default" w:ascii="Times New Roman" w:hAnsi="Times New Roman" w:eastAsia="仿宋_GB2312" w:cs="Times New Roman"/>
          <w:sz w:val="32"/>
          <w:szCs w:val="32"/>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莫旗住房和城乡建设局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2020年1月18日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Lucida Sans"/>
    <w:panose1 w:val="020F0502020204030204"/>
    <w:charset w:val="00"/>
    <w:family w:val="swiss"/>
    <w:pitch w:val="default"/>
    <w:sig w:usb0="00000000" w:usb1="00000000" w:usb2="00000001" w:usb3="00000000" w:csb0="0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Lucida Sans">
    <w:panose1 w:val="020B0602030504020204"/>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153065"/>
    <w:multiLevelType w:val="singleLevel"/>
    <w:tmpl w:val="F915306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12861"/>
    <w:rsid w:val="02B70927"/>
    <w:rsid w:val="08ED5E41"/>
    <w:rsid w:val="105B15DD"/>
    <w:rsid w:val="153E3172"/>
    <w:rsid w:val="16015BF7"/>
    <w:rsid w:val="1985678F"/>
    <w:rsid w:val="222F7429"/>
    <w:rsid w:val="24323AFE"/>
    <w:rsid w:val="31086570"/>
    <w:rsid w:val="3C6A41B6"/>
    <w:rsid w:val="4DC35633"/>
    <w:rsid w:val="599418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冰冻小章鱼</cp:lastModifiedBy>
  <dcterms:modified xsi:type="dcterms:W3CDTF">2020-01-19T03:17:59Z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