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2018年莫旗本级部门预算公开目录</w:t>
      </w:r>
    </w:p>
    <w:p>
      <w:pPr>
        <w:numPr>
          <w:ilvl w:val="0"/>
          <w:numId w:val="0"/>
        </w:numPr>
        <w:ind w:leftChars="331"/>
        <w:jc w:val="left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331"/>
        <w:jc w:val="left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部门工作职责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部门和单位机构设置情况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部门预算收支增减变化情况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“三公”经费预算安排情况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机关运行经费安排情况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政府采购预算安排情况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政府购买服务情况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国有资产增减变化情况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政府性基金预算收支情况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绩效目标设置情况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名词解释及其他需要说明的情况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部门预算公开套表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5EE0D"/>
    <w:multiLevelType w:val="singleLevel"/>
    <w:tmpl w:val="5B15EE0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BA1BEB"/>
    <w:rsid w:val="450A3C93"/>
    <w:rsid w:val="52BA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Office_11.1.0.8213_F1E327BC-269C-435d-A152-05C5408002CA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2019-03-15T02:50:00Z</dcterms:created>
  <dc:creator>A30501</dc:creator>
  <cp:lastModifiedBy>孟明哲</cp:lastModifiedBy>
  <dcterms:modified xsi:type="dcterms:W3CDTF">2019-03-17T02:14:29Z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2052-11.1.0.8213</vt:lpwstr>
  </property>
</Properties>
</file>