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59" w:lineRule="auto"/>
        <w:ind w:left="502" w:hanging="10"/>
        <w:jc w:val="center"/>
      </w:pPr>
      <w:r>
        <w:rPr>
          <w:rFonts w:ascii="Microsoft YaHei UI" w:hAnsi="Microsoft YaHei UI" w:eastAsia="Microsoft YaHei UI" w:cs="Microsoft YaHei UI"/>
          <w:sz w:val="44"/>
        </w:rPr>
        <w:t>莫旗登特科镇</w:t>
      </w:r>
    </w:p>
    <w:p>
      <w:pPr>
        <w:numPr>
          <w:ilvl w:val="0"/>
          <w:numId w:val="0"/>
        </w:numPr>
        <w:jc w:val="center"/>
        <w:rPr>
          <w:rFonts w:ascii="Microsoft YaHei UI" w:hAnsi="Microsoft YaHei UI" w:eastAsia="Microsoft YaHei UI" w:cs="Microsoft YaHei UI"/>
          <w:sz w:val="44"/>
        </w:rPr>
      </w:pPr>
      <w:r>
        <w:rPr>
          <w:rFonts w:ascii="Microsoft YaHei UI" w:hAnsi="Microsoft YaHei UI" w:eastAsia="Microsoft YaHei UI" w:cs="Microsoft YaHei UI"/>
          <w:sz w:val="44"/>
        </w:rPr>
        <w:t>2018年部门预算公开情况说明</w:t>
      </w:r>
    </w:p>
    <w:p>
      <w:pPr>
        <w:numPr>
          <w:ilvl w:val="0"/>
          <w:numId w:val="0"/>
        </w:num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 xml:space="preserve">   预算公开目录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部门工作职责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部门和单位机构设置情况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部门预算收支增减变化情况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“三公”经费预算安排情况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机关运行经费安排情况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政府采购预算安排情况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政府购买服务情况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国有资产增减变化情况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政府性基金预算收支情况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绩效目标设置情况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名词解释及其他需要说明的情况</w:t>
      </w:r>
    </w:p>
    <w:p>
      <w:pPr>
        <w:numPr>
          <w:ilvl w:val="0"/>
          <w:numId w:val="1"/>
        </w:numPr>
        <w:ind w:left="0" w:leftChars="0" w:firstLine="1059" w:firstLineChars="331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部门预算公开套表</w:t>
      </w:r>
    </w:p>
    <w:p>
      <w:pPr>
        <w:spacing w:after="306" w:line="259" w:lineRule="auto"/>
        <w:ind w:left="502" w:right="2" w:hanging="10"/>
        <w:jc w:val="center"/>
      </w:pPr>
    </w:p>
    <w:p>
      <w:pPr>
        <w:ind w:left="-15"/>
      </w:pPr>
      <w:r>
        <w:t>根据《呼伦贝尔市人民政府办公厅关于印发〈呼伦贝尔市本级预决算公开方案〉的通知》（呼政办发[2016]54号）、</w:t>
      </w:r>
    </w:p>
    <w:p>
      <w:pPr>
        <w:ind w:left="-15" w:firstLine="0"/>
      </w:pPr>
      <w:r>
        <w:t>《呼伦贝尔市财政局转发内蒙古自治区财政厅〈地方预决算公开操作规程〉的通知》（呼财预〔2016〕1255号）和莫旗财政局《关于做好2018年财政预算公开工作的通知》文件要求，现将经旗十</w:t>
      </w:r>
      <w:r>
        <w:rPr>
          <w:rFonts w:hint="eastAsia"/>
          <w:lang w:val="en-US" w:eastAsia="zh-CN"/>
        </w:rPr>
        <w:t>三</w:t>
      </w:r>
      <w:r>
        <w:t>届人大</w:t>
      </w:r>
      <w:r>
        <w:rPr>
          <w:rFonts w:hint="eastAsia"/>
          <w:lang w:val="en-US" w:eastAsia="zh-CN"/>
        </w:rPr>
        <w:t>二</w:t>
      </w:r>
      <w:r>
        <w:t>次会议审议批准的莫旗登特科镇2018年部门预算情况说明如下：</w:t>
      </w:r>
    </w:p>
    <w:p>
      <w:pPr>
        <w:pStyle w:val="2"/>
        <w:ind w:left="621" w:right="677"/>
      </w:pPr>
      <w:r>
        <w:t>一、主要工作职能</w:t>
      </w:r>
    </w:p>
    <w:p>
      <w:pPr>
        <w:spacing w:after="36"/>
        <w:ind w:left="-15"/>
      </w:pPr>
      <w:r>
        <w:t>(一)执行上级国家行政机关的决定、命令和国家制定的法令、法规，接受同级党委的领导，执行本级人民代表大会的各项决议，并报告执行决议、决定和命令的情况。</w:t>
      </w:r>
    </w:p>
    <w:p>
      <w:pPr>
        <w:numPr>
          <w:ilvl w:val="0"/>
          <w:numId w:val="2"/>
        </w:numPr>
        <w:spacing w:after="36"/>
      </w:pPr>
      <w:r>
        <w:t>制定并落实本行政区域的经济计划和措施，促进产业结构调整及其他经济保持平衡协调发展，全面提高人民群众的生活水平和生活质量。开展社会主义民主和法制的宣传教育，保障公民的权利;制定社会治安综合治理工作规划并组织实施;加强社区管理工作，依法管理外来流动人口，处理人民来信来访，调解民间纠纷，打击违法犯罪，维护社会稳定。</w:t>
      </w:r>
    </w:p>
    <w:p>
      <w:pPr>
        <w:numPr>
          <w:ilvl w:val="0"/>
          <w:numId w:val="2"/>
        </w:numPr>
        <w:spacing w:after="36"/>
      </w:pPr>
      <w:r>
        <w:t>制定社会各项事业发展计划，发展教育、卫生、科技、民政、广播电视、文化、体育事业;组织实施义务教育和其他各类教育;加强计划生育工作;推进社会保障、社会福利事业和养老保险工作;做好劳动管理、科普、老龄及宗教、侨务等工作。</w:t>
      </w:r>
    </w:p>
    <w:p>
      <w:pPr>
        <w:numPr>
          <w:ilvl w:val="0"/>
          <w:numId w:val="2"/>
        </w:numPr>
        <w:spacing w:after="36"/>
      </w:pPr>
      <w:r>
        <w:t>加强镇级财政的监督和管理，按计划组织、管理镇财政收入和支出，执行国家有关财经纪律和政策，做好统计工作。承办旗人民政府交办的其它事项。</w:t>
      </w:r>
    </w:p>
    <w:p>
      <w:pPr>
        <w:numPr>
          <w:ilvl w:val="0"/>
          <w:numId w:val="2"/>
        </w:numPr>
        <w:spacing w:after="197" w:line="259" w:lineRule="auto"/>
      </w:pPr>
      <w:r>
        <w:t>承办旗人民政府交办的其他事项。</w:t>
      </w:r>
    </w:p>
    <w:p>
      <w:pPr>
        <w:pStyle w:val="2"/>
        <w:ind w:left="621" w:right="677"/>
      </w:pPr>
      <w:r>
        <w:t>二、部门和单位构成</w:t>
      </w:r>
    </w:p>
    <w:p>
      <w:pPr>
        <w:spacing w:line="342" w:lineRule="auto"/>
        <w:ind w:firstLine="626"/>
      </w:pPr>
      <w:r>
        <w:t>2018年部门预算编制单位3个。</w:t>
      </w:r>
      <w:r>
        <w:rPr>
          <w:rFonts w:hint="eastAsia" w:asciiTheme="minorEastAsia" w:hAnsiTheme="minorEastAsia" w:eastAsiaTheme="minorEastAsia"/>
          <w:color w:val="333333"/>
        </w:rPr>
        <w:t>登特科</w:t>
      </w:r>
      <w:r>
        <w:rPr>
          <w:color w:val="333333"/>
        </w:rPr>
        <w:t>镇设有人民政府，文化站，农业服务中心等单位。</w:t>
      </w:r>
    </w:p>
    <w:p>
      <w:pPr>
        <w:spacing w:line="342" w:lineRule="auto"/>
        <w:ind w:firstLine="626"/>
      </w:pPr>
      <w:r>
        <w:t>编制数38名，在职职工39人，其中政府行政23人，政府事业1人，文化站2人，农业服务中心13人；退休21人。</w:t>
      </w:r>
    </w:p>
    <w:p>
      <w:pPr>
        <w:pStyle w:val="2"/>
        <w:ind w:left="621" w:right="677"/>
      </w:pPr>
      <w:r>
        <w:t>三、2018年度收入支出预算安排情况</w:t>
      </w:r>
    </w:p>
    <w:p>
      <w:pPr>
        <w:numPr>
          <w:ilvl w:val="0"/>
          <w:numId w:val="3"/>
        </w:numPr>
      </w:pPr>
      <w:r>
        <w:t>2018年部门预算收入为713.08万元，其中：公共财政拨款预算713.08万元、政府性基金预算0万元、事业收入0万元、纳入专户管理的教育收费收入0万元、公共财政拨款（补助）结转安排0万元、预算单位结转结余安排</w:t>
      </w:r>
    </w:p>
    <w:p>
      <w:pPr>
        <w:spacing w:after="111" w:line="259" w:lineRule="auto"/>
        <w:ind w:left="-15" w:firstLine="0"/>
      </w:pPr>
      <w:r>
        <w:t>0万元。</w:t>
      </w:r>
    </w:p>
    <w:p>
      <w:pPr>
        <w:numPr>
          <w:ilvl w:val="0"/>
          <w:numId w:val="3"/>
        </w:numPr>
      </w:pPr>
      <w:r>
        <w:t>2018年部门年度预算支出713.08万元。其中：公共财政拨款预算支出713.08万元、政府性基金预算支出0 万元、事业收入预算支出0万元、纳入专户管理的教育收费收入预算支出0万元、公共财政拨款（补助）结转安排支出</w:t>
      </w:r>
    </w:p>
    <w:p>
      <w:pPr>
        <w:spacing w:after="111" w:line="259" w:lineRule="auto"/>
        <w:ind w:left="-15" w:firstLine="0"/>
      </w:pPr>
      <w:r>
        <w:t>0万元、预算单位结转结余安排支出0万元。</w:t>
      </w:r>
    </w:p>
    <w:p>
      <w:pPr>
        <w:numPr>
          <w:ilvl w:val="0"/>
          <w:numId w:val="3"/>
        </w:numPr>
        <w:spacing w:after="111" w:line="259" w:lineRule="auto"/>
      </w:pPr>
      <w:r>
        <w:t xml:space="preserve">机关运行经费安排情况： </w:t>
      </w:r>
    </w:p>
    <w:p>
      <w:pPr>
        <w:spacing w:after="111" w:line="259" w:lineRule="auto"/>
        <w:ind w:left="631" w:firstLine="320" w:firstLineChars="100"/>
      </w:pPr>
      <w:r>
        <w:t>1、2018年部门预算支出按支出类别分类情况：</w:t>
      </w:r>
    </w:p>
    <w:p>
      <w:pPr>
        <w:ind w:left="-15"/>
      </w:pPr>
      <w:r>
        <w:t>⑴基本支出713.08万元，其中人员支出452.90万元、基本公用支出260.18万元。</w:t>
      </w:r>
    </w:p>
    <w:p>
      <w:pPr>
        <w:ind w:left="-15"/>
      </w:pPr>
      <w:r>
        <w:t>⑵项目支出0万元：其中专项性公用支出0万元、专项业务费0万元、专项资金0万元。</w:t>
      </w:r>
    </w:p>
    <w:p>
      <w:pPr>
        <w:spacing w:after="113" w:line="259" w:lineRule="auto"/>
        <w:ind w:left="626" w:firstLine="0"/>
      </w:pPr>
      <w:r>
        <w:t>⑶经营支出0万元。</w:t>
      </w:r>
    </w:p>
    <w:p>
      <w:pPr>
        <w:numPr>
          <w:ilvl w:val="0"/>
          <w:numId w:val="4"/>
        </w:numPr>
        <w:spacing w:after="62"/>
        <w:ind w:left="6" w:leftChars="0" w:firstLine="634" w:firstLineChars="0"/>
      </w:pPr>
      <w:r>
        <w:t>2018年部门预算支出按功能分类情况：一般公共服务支出223.46万元、文化体育与传媒支出15.70 万元、社会保障和就业支出140.72万元、医疗卫生和计划生育管理事务21.85万元、农林水支出284.78万元、住房保障支出26.57万元、其他支出0万元。</w:t>
      </w:r>
    </w:p>
    <w:p>
      <w:pPr>
        <w:numPr>
          <w:ilvl w:val="0"/>
          <w:numId w:val="4"/>
        </w:numPr>
        <w:spacing w:after="111" w:line="259" w:lineRule="auto"/>
        <w:ind w:left="6" w:leftChars="0" w:firstLine="634" w:firstLineChars="0"/>
      </w:pPr>
      <w:r>
        <w:t>2018年部门预算支出按照经济支出分类情况：</w:t>
      </w:r>
    </w:p>
    <w:p>
      <w:pPr>
        <w:ind w:left="-15"/>
      </w:pPr>
      <w:r>
        <w:t>工资福利支出340.22万元、商品和服务支出33.31万元、对个人和家庭的补助339.55万元、对企事业单位的补助0万元、债务利息支出0万元、基本建设支出0万元、其他资本性支出0万元、其他支出0万元。</w:t>
      </w:r>
    </w:p>
    <w:p>
      <w:pPr>
        <w:ind w:left="-15"/>
        <w:rPr>
          <w:rFonts w:hint="eastAsia" w:eastAsiaTheme="minorEastAsia"/>
          <w:highlight w:val="none"/>
        </w:rPr>
      </w:pPr>
      <w:r>
        <w:rPr>
          <w:highlight w:val="none"/>
        </w:rPr>
        <w:t>（四）2018年部门预算收入、支出713.08万元，比上年增加713.08万元，增加100%，主要原因：</w:t>
      </w:r>
      <w:r>
        <w:rPr>
          <w:rFonts w:hint="eastAsia" w:eastAsiaTheme="minorEastAsia"/>
          <w:highlight w:val="none"/>
        </w:rPr>
        <w:t>登特科镇新恢复建制无上年预算数。</w:t>
      </w:r>
    </w:p>
    <w:p>
      <w:pPr>
        <w:pStyle w:val="2"/>
        <w:ind w:left="621" w:right="677"/>
        <w:rPr>
          <w:highlight w:val="none"/>
        </w:rPr>
      </w:pPr>
      <w:r>
        <w:rPr>
          <w:highlight w:val="none"/>
        </w:rPr>
        <w:t>四、“三公”经费预算情况</w:t>
      </w:r>
    </w:p>
    <w:p>
      <w:pPr>
        <w:ind w:left="-15"/>
        <w:rPr>
          <w:highlight w:val="none"/>
        </w:rPr>
      </w:pPr>
      <w:r>
        <w:rPr>
          <w:highlight w:val="none"/>
        </w:rPr>
        <w:t>2018年“三公”经费预算</w:t>
      </w:r>
      <w:r>
        <w:rPr>
          <w:rFonts w:hint="eastAsia"/>
          <w:highlight w:val="none"/>
          <w:lang w:val="en-US" w:eastAsia="zh-CN"/>
        </w:rPr>
        <w:t>3.57</w:t>
      </w:r>
      <w:r>
        <w:rPr>
          <w:highlight w:val="none"/>
        </w:rPr>
        <w:t>万元，较上年</w:t>
      </w:r>
      <w:r>
        <w:rPr>
          <w:rFonts w:hint="eastAsia" w:asciiTheme="minorEastAsia" w:hAnsiTheme="minorEastAsia" w:eastAsiaTheme="minorEastAsia"/>
          <w:highlight w:val="none"/>
        </w:rPr>
        <w:t>增加</w:t>
      </w:r>
      <w:r>
        <w:rPr>
          <w:rFonts w:hint="eastAsia" w:asciiTheme="minorEastAsia" w:hAnsiTheme="minorEastAsia" w:eastAsiaTheme="minorEastAsia"/>
          <w:highlight w:val="none"/>
          <w:lang w:val="en-US" w:eastAsia="zh-CN"/>
        </w:rPr>
        <w:t>3.57</w:t>
      </w:r>
      <w:r>
        <w:rPr>
          <w:highlight w:val="none"/>
        </w:rPr>
        <w:t>万元,因</w:t>
      </w:r>
      <w:r>
        <w:rPr>
          <w:rFonts w:hint="eastAsia"/>
          <w:highlight w:val="none"/>
        </w:rPr>
        <w:t>登特科镇</w:t>
      </w:r>
      <w:r>
        <w:rPr>
          <w:rFonts w:hint="eastAsia"/>
          <w:highlight w:val="none"/>
          <w:lang w:val="en-US" w:eastAsia="zh-CN"/>
        </w:rPr>
        <w:t>2017年下半年</w:t>
      </w:r>
      <w:r>
        <w:rPr>
          <w:rFonts w:hint="eastAsia"/>
          <w:highlight w:val="none"/>
        </w:rPr>
        <w:t>恢复建制</w:t>
      </w:r>
      <w:r>
        <w:rPr>
          <w:rFonts w:hint="eastAsia"/>
          <w:highlight w:val="none"/>
          <w:lang w:eastAsia="zh-CN"/>
        </w:rPr>
        <w:t>，</w:t>
      </w:r>
      <w:r>
        <w:rPr>
          <w:rFonts w:hint="eastAsia"/>
          <w:highlight w:val="none"/>
        </w:rPr>
        <w:t>无上年预算数。</w:t>
      </w:r>
      <w:r>
        <w:rPr>
          <w:highlight w:val="none"/>
        </w:rPr>
        <w:t>其中：</w:t>
      </w:r>
    </w:p>
    <w:p>
      <w:pPr>
        <w:numPr>
          <w:ilvl w:val="0"/>
          <w:numId w:val="5"/>
        </w:numPr>
        <w:spacing w:after="111" w:line="259" w:lineRule="auto"/>
      </w:pPr>
      <w:r>
        <w:rPr>
          <w:highlight w:val="none"/>
        </w:rPr>
        <w:t xml:space="preserve">因公出国（境）费0元，较上年减少（或增加） </w:t>
      </w:r>
      <w:r>
        <w:t>0万元，减少（或增加）0%，主要原因为没有因公出国人员。</w:t>
      </w:r>
    </w:p>
    <w:p>
      <w:pPr>
        <w:numPr>
          <w:ilvl w:val="0"/>
          <w:numId w:val="5"/>
        </w:numPr>
        <w:rPr>
          <w:highlight w:val="none"/>
        </w:rPr>
      </w:pPr>
      <w:r>
        <w:t>公务接待费</w:t>
      </w:r>
      <w:r>
        <w:rPr>
          <w:rFonts w:hint="eastAsia"/>
          <w:lang w:val="en-US" w:eastAsia="zh-CN"/>
        </w:rPr>
        <w:t>0.57</w:t>
      </w:r>
      <w:r>
        <w:t>万元，较上年增加</w:t>
      </w:r>
      <w:r>
        <w:rPr>
          <w:rFonts w:hint="eastAsia"/>
          <w:lang w:val="en-US" w:eastAsia="zh-CN"/>
        </w:rPr>
        <w:t>0.57</w:t>
      </w:r>
      <w:r>
        <w:t>万元，</w:t>
      </w:r>
      <w:r>
        <w:rPr>
          <w:highlight w:val="none"/>
        </w:rPr>
        <w:t>主要原因为上年0万元。</w:t>
      </w:r>
    </w:p>
    <w:p>
      <w:pPr>
        <w:numPr>
          <w:ilvl w:val="0"/>
          <w:numId w:val="5"/>
        </w:numPr>
        <w:rPr>
          <w:highlight w:val="none"/>
        </w:rPr>
      </w:pPr>
      <w:r>
        <w:rPr>
          <w:highlight w:val="none"/>
        </w:rPr>
        <w:t>公务用车购置及运行经费</w:t>
      </w:r>
      <w:r>
        <w:rPr>
          <w:rFonts w:hint="eastAsia"/>
          <w:highlight w:val="none"/>
          <w:lang w:val="en-US" w:eastAsia="zh-CN"/>
        </w:rPr>
        <w:t>3</w:t>
      </w:r>
      <w:r>
        <w:rPr>
          <w:highlight w:val="none"/>
        </w:rPr>
        <w:t>万元，较上年增加</w:t>
      </w:r>
      <w:r>
        <w:rPr>
          <w:rFonts w:hint="eastAsia" w:eastAsiaTheme="minorEastAsia"/>
          <w:highlight w:val="none"/>
          <w:lang w:val="en-US" w:eastAsia="zh-CN"/>
        </w:rPr>
        <w:t>3</w:t>
      </w:r>
      <w:r>
        <w:rPr>
          <w:highlight w:val="none"/>
        </w:rPr>
        <w:t>万元,</w:t>
      </w:r>
      <w:r>
        <w:t>因</w:t>
      </w:r>
      <w:r>
        <w:rPr>
          <w:rFonts w:hint="eastAsia"/>
        </w:rPr>
        <w:t>登特科镇新恢复建制无上年预算数</w:t>
      </w:r>
      <w:r>
        <w:t>。其中</w:t>
      </w:r>
      <w:r>
        <w:rPr>
          <w:highlight w:val="none"/>
        </w:rPr>
        <w:t>：</w:t>
      </w:r>
    </w:p>
    <w:p>
      <w:pPr>
        <w:ind w:left="-15"/>
        <w:rPr>
          <w:highlight w:val="none"/>
        </w:rPr>
      </w:pPr>
      <w:r>
        <w:rPr>
          <w:highlight w:val="none"/>
        </w:rPr>
        <w:t>⑴公务用车购置经费0万元，较上年减少（或增加）0 万元，减少（或增加）0%，主原因为车改后单位没公车购置；</w:t>
      </w:r>
    </w:p>
    <w:p>
      <w:pPr>
        <w:ind w:left="-15"/>
        <w:rPr>
          <w:highlight w:val="none"/>
        </w:rPr>
      </w:pPr>
      <w:r>
        <w:rPr>
          <w:rFonts w:hint="eastAsia" w:ascii="宋体" w:hAnsi="宋体" w:eastAsia="宋体" w:cs="宋体"/>
          <w:highlight w:val="none"/>
        </w:rPr>
        <w:t>⑵</w:t>
      </w:r>
      <w:r>
        <w:rPr>
          <w:highlight w:val="none"/>
        </w:rPr>
        <w:t>公务用车运行维护费</w:t>
      </w:r>
      <w:r>
        <w:rPr>
          <w:rFonts w:hint="eastAsia"/>
          <w:highlight w:val="none"/>
          <w:lang w:val="en-US" w:eastAsia="zh-CN"/>
        </w:rPr>
        <w:t>3</w:t>
      </w:r>
      <w:r>
        <w:rPr>
          <w:highlight w:val="none"/>
        </w:rPr>
        <w:t>万元</w:t>
      </w:r>
      <w:r>
        <w:rPr>
          <w:rFonts w:hint="eastAsia"/>
          <w:highlight w:val="none"/>
        </w:rPr>
        <w:t>，较上年增加</w:t>
      </w:r>
      <w:r>
        <w:rPr>
          <w:rFonts w:hint="eastAsia"/>
          <w:highlight w:val="none"/>
          <w:lang w:val="en-US" w:eastAsia="zh-CN"/>
        </w:rPr>
        <w:t>3</w:t>
      </w:r>
      <w:r>
        <w:rPr>
          <w:rFonts w:hint="eastAsia"/>
          <w:highlight w:val="none"/>
        </w:rPr>
        <w:t>万元，</w:t>
      </w:r>
      <w:r>
        <w:rPr>
          <w:highlight w:val="none"/>
        </w:rPr>
        <w:t>,</w:t>
      </w:r>
      <w:r>
        <w:rPr>
          <w:rFonts w:hint="eastAsia"/>
          <w:highlight w:val="none"/>
        </w:rPr>
        <w:t>因登特科镇新恢复建制无上年预算数。</w:t>
      </w:r>
    </w:p>
    <w:p>
      <w:pPr>
        <w:ind w:left="-15"/>
        <w:rPr>
          <w:b/>
          <w:bCs/>
          <w:highlight w:val="none"/>
        </w:rPr>
      </w:pPr>
      <w:r>
        <w:rPr>
          <w:rFonts w:hint="eastAsia" w:ascii="宋体" w:hAnsi="宋体" w:eastAsia="宋体" w:cs="宋体"/>
          <w:b/>
          <w:bCs/>
          <w:highlight w:val="none"/>
        </w:rPr>
        <w:t>五、政府性基金预算财政拨款支出情况</w:t>
      </w:r>
    </w:p>
    <w:p>
      <w:pPr>
        <w:ind w:left="-15"/>
        <w:rPr>
          <w:highlight w:val="none"/>
        </w:rPr>
      </w:pPr>
      <w:r>
        <w:rPr>
          <w:highlight w:val="none"/>
        </w:rPr>
        <w:t>2018年政府性基金预算财政拨款</w:t>
      </w:r>
      <w:r>
        <w:rPr>
          <w:highlight w:val="none"/>
        </w:rPr>
        <w:t>总支出为0万元，其中基本支出0万元、项目支出0万元。较上年增加（或减少）0万元。</w:t>
      </w:r>
      <w:bookmarkStart w:id="0" w:name="_GoBack"/>
      <w:bookmarkEnd w:id="0"/>
    </w:p>
    <w:p>
      <w:pPr>
        <w:pStyle w:val="2"/>
        <w:ind w:left="621" w:right="677"/>
        <w:rPr>
          <w:highlight w:val="none"/>
        </w:rPr>
      </w:pPr>
      <w:r>
        <w:rPr>
          <w:highlight w:val="none"/>
        </w:rPr>
        <w:t>六、机关运行经费安排情况</w:t>
      </w:r>
    </w:p>
    <w:p>
      <w:pPr>
        <w:spacing w:after="111" w:line="259" w:lineRule="auto"/>
        <w:ind w:left="626" w:firstLine="0"/>
        <w:rPr>
          <w:highlight w:val="none"/>
        </w:rPr>
      </w:pPr>
      <w:r>
        <w:rPr>
          <w:highlight w:val="none"/>
        </w:rPr>
        <w:t>（三）机关运行经费安排情况：</w:t>
      </w:r>
    </w:p>
    <w:p>
      <w:pPr>
        <w:numPr>
          <w:ilvl w:val="0"/>
          <w:numId w:val="6"/>
        </w:numPr>
        <w:spacing w:after="113" w:line="259" w:lineRule="auto"/>
        <w:rPr>
          <w:highlight w:val="none"/>
        </w:rPr>
      </w:pPr>
      <w:r>
        <w:rPr>
          <w:highlight w:val="none"/>
        </w:rPr>
        <w:t>2018年部门预算支出按支出类别分类情况：</w:t>
      </w:r>
    </w:p>
    <w:p>
      <w:pPr>
        <w:ind w:left="-15"/>
        <w:rPr>
          <w:highlight w:val="none"/>
        </w:rPr>
      </w:pPr>
      <w:r>
        <w:rPr>
          <w:highlight w:val="none"/>
        </w:rPr>
        <w:t>⑴基本支出713.08万元，其中人员支出452.90万元、基本公用支出260.18万元。</w:t>
      </w:r>
    </w:p>
    <w:p>
      <w:pPr>
        <w:ind w:left="-15"/>
        <w:rPr>
          <w:highlight w:val="none"/>
        </w:rPr>
      </w:pPr>
      <w:r>
        <w:rPr>
          <w:highlight w:val="none"/>
        </w:rPr>
        <w:t>⑵项目支出0万元：其中专项性公用支出0万元、专项业务费0万元、专项资金0万元。</w:t>
      </w:r>
    </w:p>
    <w:p>
      <w:pPr>
        <w:spacing w:after="111" w:line="259" w:lineRule="auto"/>
        <w:ind w:left="626" w:firstLine="0"/>
        <w:rPr>
          <w:highlight w:val="none"/>
        </w:rPr>
      </w:pPr>
      <w:r>
        <w:rPr>
          <w:highlight w:val="none"/>
        </w:rPr>
        <w:t>⑶经营支出0万元。</w:t>
      </w:r>
    </w:p>
    <w:p>
      <w:pPr>
        <w:numPr>
          <w:ilvl w:val="0"/>
          <w:numId w:val="6"/>
        </w:numPr>
        <w:spacing w:after="211"/>
        <w:rPr>
          <w:highlight w:val="none"/>
        </w:rPr>
      </w:pPr>
      <w:r>
        <w:rPr>
          <w:highlight w:val="none"/>
        </w:rPr>
        <w:t>2018年部门预算支出按功能分类情况：一般公共服务支出223.46万元、文化体育与传媒支出15.70 万元、社会保障和就业支出140.72万元、医疗卫生和计划生育管理事务21.85万元、农林水支出284.78万元、住房保障支出26.57万元、其他支出0万元。</w:t>
      </w:r>
    </w:p>
    <w:p>
      <w:pPr>
        <w:numPr>
          <w:ilvl w:val="0"/>
          <w:numId w:val="6"/>
        </w:numPr>
        <w:spacing w:after="111" w:line="259" w:lineRule="auto"/>
        <w:rPr>
          <w:highlight w:val="none"/>
        </w:rPr>
      </w:pPr>
      <w:r>
        <w:rPr>
          <w:highlight w:val="none"/>
        </w:rPr>
        <w:t>2018年部门预算支出按照经济支出分类情况：</w:t>
      </w:r>
    </w:p>
    <w:p>
      <w:pPr>
        <w:ind w:left="-15"/>
      </w:pPr>
      <w:r>
        <w:rPr>
          <w:highlight w:val="none"/>
        </w:rPr>
        <w:t>工资福利支出340.22万元、商品和服务支出33.31万元、对个人和家庭的补助339.55万元、对企事业单位的补助0万</w:t>
      </w:r>
      <w:r>
        <w:t>元、债务利息支出0万元、基本建设支出0万元、其他资本性支出0万元、其他支出0万元。</w:t>
      </w:r>
    </w:p>
    <w:p>
      <w:pPr>
        <w:pStyle w:val="2"/>
        <w:numPr>
          <w:ilvl w:val="0"/>
          <w:numId w:val="7"/>
        </w:numPr>
        <w:spacing w:after="0" w:line="325" w:lineRule="auto"/>
        <w:ind w:right="677"/>
      </w:pPr>
      <w:r>
        <w:t>政府采购预算安排情况</w:t>
      </w:r>
    </w:p>
    <w:p>
      <w:pPr>
        <w:pStyle w:val="2"/>
        <w:spacing w:after="0" w:line="325" w:lineRule="auto"/>
        <w:ind w:left="626" w:right="677" w:firstLine="0"/>
      </w:pPr>
      <w:r>
        <w:rPr>
          <w:rFonts w:ascii="仿宋" w:hAnsi="仿宋" w:eastAsia="仿宋" w:cs="仿宋"/>
        </w:rPr>
        <w:t>本年无预算安排采购情况</w:t>
      </w:r>
    </w:p>
    <w:p>
      <w:pPr>
        <w:pStyle w:val="6"/>
        <w:numPr>
          <w:ilvl w:val="0"/>
          <w:numId w:val="7"/>
        </w:numPr>
        <w:ind w:right="677" w:firstLineChars="0"/>
      </w:pPr>
      <w:r>
        <w:rPr>
          <w:rFonts w:ascii="黑体" w:hAnsi="黑体" w:eastAsia="黑体" w:cs="黑体"/>
        </w:rPr>
        <w:t>政府购买服务情况</w:t>
      </w:r>
    </w:p>
    <w:p>
      <w:pPr>
        <w:ind w:left="626" w:right="677" w:firstLine="0"/>
      </w:pPr>
      <w:r>
        <w:t>本年无预算安排采购情况</w:t>
      </w:r>
    </w:p>
    <w:p>
      <w:pPr>
        <w:pStyle w:val="6"/>
        <w:numPr>
          <w:ilvl w:val="0"/>
          <w:numId w:val="7"/>
        </w:numPr>
        <w:spacing w:after="112" w:line="259" w:lineRule="auto"/>
        <w:ind w:right="677" w:firstLineChars="0"/>
        <w:rPr>
          <w:rFonts w:ascii="黑体" w:hAnsi="黑体" w:eastAsia="黑体" w:cs="黑体"/>
        </w:rPr>
      </w:pPr>
      <w:r>
        <w:rPr>
          <w:rFonts w:ascii="黑体" w:hAnsi="黑体" w:eastAsia="黑体" w:cs="黑体"/>
        </w:rPr>
        <w:t>国有资产增减变化情况</w:t>
      </w:r>
    </w:p>
    <w:p>
      <w:pPr>
        <w:autoSpaceDE w:val="0"/>
        <w:autoSpaceDN w:val="0"/>
        <w:adjustRightInd w:val="0"/>
        <w:spacing w:beforeLines="0" w:afterLines="0" w:line="580" w:lineRule="exact"/>
        <w:ind w:firstLine="600"/>
      </w:pPr>
      <w:r>
        <w:rPr>
          <w:rFonts w:hint="eastAsia" w:ascii="仿宋_GB2312" w:eastAsia="仿宋_GB2312"/>
          <w:color w:val="000000"/>
          <w:sz w:val="32"/>
        </w:rPr>
        <w:t>截至2017年12月31日，</w:t>
      </w:r>
      <w:r>
        <w:rPr>
          <w:rFonts w:hint="eastAsia" w:ascii="仿宋_GB2312" w:eastAsia="仿宋_GB2312"/>
          <w:color w:val="000000"/>
          <w:sz w:val="32"/>
          <w:lang w:val="en-US" w:eastAsia="zh-CN"/>
        </w:rPr>
        <w:t>我单位国有资产账面余额397.4万元，其中：房屋建筑面积2889.00平方，价值231.60万元（含办公用房2889.00平方米，价值231.60万元；业务用房0平方米，价值0万元；其他用房0平方米，价值0万元）。共有车辆</w:t>
      </w:r>
      <w:r>
        <w:rPr>
          <w:rFonts w:hint="eastAsia" w:ascii="仿宋_GB2312" w:eastAsia="仿宋_GB2312"/>
          <w:color w:val="000000"/>
          <w:sz w:val="32"/>
        </w:rPr>
        <w:t>8辆，</w:t>
      </w:r>
      <w:r>
        <w:rPr>
          <w:rFonts w:hint="eastAsia" w:ascii="仿宋_GB2312" w:eastAsia="仿宋_GB2312"/>
          <w:color w:val="000000"/>
          <w:sz w:val="32"/>
          <w:lang w:val="en-US" w:eastAsia="zh-CN"/>
        </w:rPr>
        <w:t>价值102.70万元，其中</w:t>
      </w:r>
      <w:r>
        <w:rPr>
          <w:rFonts w:hint="eastAsia" w:ascii="仿宋_GB2312" w:eastAsia="仿宋_GB2312"/>
          <w:color w:val="000000"/>
          <w:sz w:val="32"/>
        </w:rPr>
        <w:t>一般公务用车8辆</w:t>
      </w:r>
      <w:r>
        <w:rPr>
          <w:rFonts w:hint="eastAsia" w:ascii="仿宋_GB2312" w:eastAsia="仿宋_GB2312"/>
          <w:color w:val="000000"/>
          <w:sz w:val="32"/>
          <w:lang w:eastAsia="zh-CN"/>
        </w:rPr>
        <w:t>，</w:t>
      </w:r>
      <w:r>
        <w:rPr>
          <w:rFonts w:hint="eastAsia" w:ascii="仿宋_GB2312" w:eastAsia="仿宋_GB2312"/>
          <w:color w:val="000000"/>
          <w:sz w:val="32"/>
          <w:lang w:val="en-US" w:eastAsia="zh-CN"/>
        </w:rPr>
        <w:t>价值102.70万元</w:t>
      </w:r>
      <w:r>
        <w:rPr>
          <w:rFonts w:hint="eastAsia" w:ascii="仿宋_GB2312" w:eastAsia="仿宋_GB2312"/>
          <w:color w:val="000000"/>
          <w:sz w:val="32"/>
          <w:lang w:eastAsia="zh-CN"/>
        </w:rPr>
        <w:t>。</w:t>
      </w:r>
      <w:r>
        <w:rPr>
          <w:rFonts w:hint="eastAsia" w:ascii="仿宋_GB2312" w:eastAsia="仿宋_GB2312"/>
          <w:color w:val="000000"/>
          <w:sz w:val="32"/>
          <w:lang w:val="en-US" w:eastAsia="zh-CN"/>
        </w:rPr>
        <w:t>2018年预算</w:t>
      </w:r>
      <w:r>
        <w:rPr>
          <w:rFonts w:hint="eastAsia"/>
          <w:lang w:val="en-US" w:eastAsia="zh-CN"/>
        </w:rPr>
        <w:t>未安排</w:t>
      </w:r>
      <w:r>
        <w:t>国有资产</w:t>
      </w:r>
      <w:r>
        <w:rPr>
          <w:rFonts w:hint="eastAsia"/>
          <w:lang w:val="en-US" w:eastAsia="zh-CN"/>
        </w:rPr>
        <w:t>增减</w:t>
      </w:r>
      <w:r>
        <w:t>变化。</w:t>
      </w:r>
    </w:p>
    <w:p>
      <w:pPr>
        <w:pStyle w:val="6"/>
        <w:numPr>
          <w:ilvl w:val="0"/>
          <w:numId w:val="8"/>
        </w:numPr>
        <w:spacing w:after="112" w:line="259" w:lineRule="auto"/>
        <w:ind w:right="677" w:firstLineChars="0"/>
      </w:pPr>
      <w:r>
        <w:rPr>
          <w:rFonts w:ascii="黑体" w:hAnsi="黑体" w:eastAsia="黑体" w:cs="黑体"/>
        </w:rPr>
        <w:t>绩效目标设置情况</w:t>
      </w:r>
    </w:p>
    <w:p>
      <w:pPr>
        <w:spacing w:after="111" w:line="259" w:lineRule="auto"/>
        <w:ind w:left="-15" w:firstLine="640" w:firstLineChars="200"/>
      </w:pPr>
      <w:r>
        <w:t>本年</w:t>
      </w:r>
      <w:r>
        <w:rPr>
          <w:rFonts w:hint="eastAsia"/>
          <w:lang w:val="en-US" w:eastAsia="zh-CN"/>
        </w:rPr>
        <w:t>度无实施</w:t>
      </w:r>
      <w:r>
        <w:t>绩效</w:t>
      </w:r>
      <w:r>
        <w:rPr>
          <w:rFonts w:hint="eastAsia"/>
          <w:lang w:val="en-US" w:eastAsia="zh-CN"/>
        </w:rPr>
        <w:t>项目支出，未设置绩效</w:t>
      </w:r>
      <w:r>
        <w:t>考核目标。</w:t>
      </w:r>
    </w:p>
    <w:p>
      <w:pPr>
        <w:pStyle w:val="2"/>
        <w:ind w:left="621" w:right="677"/>
      </w:pPr>
      <w:r>
        <w:t>一十一、名词解释</w:t>
      </w:r>
    </w:p>
    <w:p>
      <w:pPr>
        <w:numPr>
          <w:ilvl w:val="0"/>
          <w:numId w:val="9"/>
        </w:numPr>
      </w:pPr>
      <w:r>
        <w:t>财政拨款收入：指各单位从各级财政部门取得的财政预算资金。</w:t>
      </w:r>
    </w:p>
    <w:p>
      <w:pPr>
        <w:numPr>
          <w:ilvl w:val="0"/>
          <w:numId w:val="9"/>
        </w:numPr>
      </w:pPr>
      <w:r>
        <w:t>基本支出：指各单位为保障机构正常运转和完成日常工作任务发生的支出，包括人员支出和公用支出。</w:t>
      </w:r>
    </w:p>
    <w:p>
      <w:pPr>
        <w:numPr>
          <w:ilvl w:val="0"/>
          <w:numId w:val="9"/>
        </w:numPr>
      </w:pPr>
      <w:r>
        <w:t>项目支出：指各单位为完成特定的工作任务，在基本支出之外发生的专项性支出。</w:t>
      </w:r>
    </w:p>
    <w:p>
      <w:pPr>
        <w:numPr>
          <w:ilvl w:val="0"/>
          <w:numId w:val="9"/>
        </w:numPr>
      </w:pPr>
      <w:r>
        <w:t>工资福利支出：反映单位开支的在职职工和编制外长期聘用人员的各类劳动报酬，经及上述人员缴纳的各项社会保险费等。</w:t>
      </w:r>
    </w:p>
    <w:p>
      <w:pPr>
        <w:ind w:left="631" w:firstLine="0"/>
      </w:pPr>
      <w:r>
        <w:t>（五）商品和服务支出：反映单位购买商品和服务的支出（不包括用于购置固定资产的支出、战略性和应急储备支出）。</w:t>
      </w:r>
    </w:p>
    <w:p>
      <w:pPr>
        <w:numPr>
          <w:ilvl w:val="0"/>
          <w:numId w:val="10"/>
        </w:numPr>
      </w:pPr>
      <w:r>
        <w:t>对个人和家庭的补助：反映政府用于对个人和家庭的补助支出。</w:t>
      </w:r>
    </w:p>
    <w:p>
      <w:pPr>
        <w:numPr>
          <w:ilvl w:val="0"/>
          <w:numId w:val="10"/>
        </w:numPr>
      </w:pPr>
      <w:r>
        <w:t>对企事业单位的补贴：反映政府对各类企业、事业单位及民间非营利组织的补贴。</w:t>
      </w:r>
    </w:p>
    <w:p>
      <w:pPr>
        <w:numPr>
          <w:ilvl w:val="0"/>
          <w:numId w:val="10"/>
        </w:numPr>
        <w:spacing w:after="111" w:line="259" w:lineRule="auto"/>
      </w:pPr>
      <w:r>
        <w:t>债务利息支出：反映政府和单位的债务利息支出。</w:t>
      </w:r>
    </w:p>
    <w:p>
      <w:pPr>
        <w:numPr>
          <w:ilvl w:val="0"/>
          <w:numId w:val="10"/>
        </w:numPr>
      </w:pPr>
      <w:r>
        <w:t>基本建设支出：反映各级发展与改革部门集中安排的一般公共预算（不包括政府性基金以及各类拼盘自筹资金等）用于购置固定资产、战略性和应急性储备、土地和无形资产，以及购建基础设施、大型修缮所发生的支出。</w:t>
      </w:r>
    </w:p>
    <w:p>
      <w:pPr>
        <w:numPr>
          <w:ilvl w:val="0"/>
          <w:numId w:val="10"/>
        </w:numPr>
      </w:pPr>
      <w:r>
        <w:t>其他资本性支出：反映非各级发展与改革部门集中安排的用于购置固定资产、战略性和应急性储备、土地和无形资产，以及购建基础设施、大型修缮和财政支持企业更新改造所发生的支出。</w:t>
      </w:r>
    </w:p>
    <w:p>
      <w:pPr>
        <w:numPr>
          <w:ilvl w:val="0"/>
          <w:numId w:val="10"/>
        </w:numPr>
      </w:pPr>
      <w:r>
        <w:t>“三公”经费：指因公出国（境）经费、公务接待费、公务用车购置及运行经费和公务接待费。其中：公务用车购置及运行经费指部门公务用车购置费及燃料费、维修费、过路过桥费、保险费、安全奖励费用等支出；公务接待费指部门按规定开支的各类公务接待支出。</w:t>
      </w:r>
    </w:p>
    <w:p>
      <w:pPr>
        <w:ind w:left="5280" w:right="1274" w:hanging="4654"/>
      </w:pPr>
      <w:r>
        <w:t>附件：2018年度部门预算公开表莫旗</w:t>
      </w:r>
    </w:p>
    <w:p>
      <w:pPr>
        <w:ind w:right="1274" w:firstLine="5744" w:firstLineChars="1795"/>
      </w:pPr>
      <w:r>
        <w:rPr>
          <w:rFonts w:hint="eastAsia" w:asciiTheme="minorEastAsia" w:hAnsiTheme="minorEastAsia" w:eastAsiaTheme="minorEastAsia"/>
        </w:rPr>
        <w:t>登特科</w:t>
      </w:r>
      <w:r>
        <w:t>镇</w:t>
      </w:r>
    </w:p>
    <w:p>
      <w:pPr>
        <w:spacing w:line="259" w:lineRule="auto"/>
        <w:ind w:right="715" w:firstLine="0"/>
        <w:jc w:val="right"/>
      </w:pPr>
      <w:r>
        <w:t>2018年3月</w:t>
      </w:r>
      <w:r>
        <w:rPr>
          <w:rFonts w:hint="eastAsia"/>
          <w:lang w:val="en-US" w:eastAsia="zh-CN"/>
        </w:rPr>
        <w:t>15</w:t>
      </w:r>
      <w:r>
        <w:t>日</w:t>
      </w:r>
    </w:p>
    <w:sectPr>
      <w:footerReference r:id="rId5" w:type="first"/>
      <w:footerReference r:id="rId3" w:type="default"/>
      <w:footerReference r:id="rId4" w:type="even"/>
      <w:pgSz w:w="11906" w:h="16838"/>
      <w:pgMar w:top="1425" w:right="1632" w:bottom="1576" w:left="1800" w:header="720" w:footer="995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59" w:lineRule="auto"/>
      <w:ind w:right="170" w:firstLine="0"/>
      <w:jc w:val="center"/>
    </w:pPr>
    <w:r>
      <w:rPr>
        <w:rFonts w:ascii="Calibri" w:hAnsi="Calibri" w:eastAsia="Calibri" w:cs="Calibri"/>
        <w:sz w:val="18"/>
      </w:rPr>
      <w:fldChar w:fldCharType="begin"/>
    </w:r>
    <w:r>
      <w:rPr>
        <w:rFonts w:ascii="Calibri" w:hAnsi="Calibri" w:eastAsia="Calibri" w:cs="Calibri"/>
        <w:sz w:val="18"/>
      </w:rPr>
      <w:instrText xml:space="preserve"> PAGE   \* MERGEFORMAT </w:instrText>
    </w:r>
    <w:r>
      <w:rPr>
        <w:rFonts w:ascii="Calibri" w:hAnsi="Calibri" w:eastAsia="Calibri" w:cs="Calibri"/>
        <w:sz w:val="18"/>
      </w:rPr>
      <w:fldChar w:fldCharType="separate"/>
    </w:r>
    <w:r>
      <w:rPr>
        <w:rFonts w:ascii="Calibri" w:hAnsi="Calibri" w:eastAsia="Calibri" w:cs="Calibri"/>
        <w:sz w:val="18"/>
      </w:rPr>
      <w:t>7</w:t>
    </w:r>
    <w:r>
      <w:rPr>
        <w:rFonts w:ascii="Calibri" w:hAnsi="Calibri" w:eastAsia="Calibri" w:cs="Calibri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59" w:lineRule="auto"/>
      <w:ind w:right="170" w:firstLine="0"/>
      <w:jc w:val="center"/>
    </w:pPr>
    <w:r>
      <w:rPr>
        <w:rFonts w:ascii="Calibri" w:hAnsi="Calibri" w:eastAsia="Calibri" w:cs="Calibri"/>
        <w:sz w:val="18"/>
      </w:rPr>
      <w:fldChar w:fldCharType="begin"/>
    </w:r>
    <w:r>
      <w:rPr>
        <w:rFonts w:ascii="Calibri" w:hAnsi="Calibri" w:eastAsia="Calibri" w:cs="Calibri"/>
        <w:sz w:val="18"/>
      </w:rPr>
      <w:instrText xml:space="preserve"> PAGE   \* MERGEFORMAT </w:instrText>
    </w:r>
    <w:r>
      <w:rPr>
        <w:rFonts w:ascii="Calibri" w:hAnsi="Calibri" w:eastAsia="Calibri" w:cs="Calibri"/>
        <w:sz w:val="18"/>
      </w:rPr>
      <w:fldChar w:fldCharType="separate"/>
    </w:r>
    <w:r>
      <w:rPr>
        <w:rFonts w:ascii="Calibri" w:hAnsi="Calibri" w:eastAsia="Calibri" w:cs="Calibri"/>
        <w:sz w:val="18"/>
      </w:rPr>
      <w:t>1</w:t>
    </w:r>
    <w:r>
      <w:rPr>
        <w:rFonts w:ascii="Calibri" w:hAnsi="Calibri" w:eastAsia="Calibri" w:cs="Calibri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59" w:lineRule="auto"/>
      <w:ind w:right="170" w:firstLine="0"/>
      <w:jc w:val="center"/>
    </w:pPr>
    <w:r>
      <w:rPr>
        <w:rFonts w:ascii="Calibri" w:hAnsi="Calibri" w:eastAsia="Calibri" w:cs="Calibri"/>
        <w:sz w:val="18"/>
      </w:rPr>
      <w:fldChar w:fldCharType="begin"/>
    </w:r>
    <w:r>
      <w:rPr>
        <w:rFonts w:ascii="Calibri" w:hAnsi="Calibri" w:eastAsia="Calibri" w:cs="Calibri"/>
        <w:sz w:val="18"/>
      </w:rPr>
      <w:instrText xml:space="preserve"> PAGE   \* MERGEFORMAT </w:instrText>
    </w:r>
    <w:r>
      <w:rPr>
        <w:rFonts w:ascii="Calibri" w:hAnsi="Calibri" w:eastAsia="Calibri" w:cs="Calibri"/>
        <w:sz w:val="18"/>
      </w:rPr>
      <w:fldChar w:fldCharType="separate"/>
    </w:r>
    <w:r>
      <w:rPr>
        <w:rFonts w:ascii="Calibri" w:hAnsi="Calibri" w:eastAsia="Calibri" w:cs="Calibri"/>
        <w:sz w:val="18"/>
      </w:rPr>
      <w:t>1</w:t>
    </w:r>
    <w:r>
      <w:rPr>
        <w:rFonts w:ascii="Calibri" w:hAnsi="Calibri" w:eastAsia="Calibri" w:cs="Calibri"/>
        <w:sz w:val="18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F30BC"/>
    <w:multiLevelType w:val="multilevel"/>
    <w:tmpl w:val="056F30BC"/>
    <w:lvl w:ilvl="0" w:tentative="0">
      <w:start w:val="1"/>
      <w:numFmt w:val="ideographDigital"/>
      <w:lvlText w:val="（%1）"/>
      <w:lvlJc w:val="left"/>
      <w:pPr>
        <w:ind w:left="0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70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42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314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86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58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30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602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74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</w:abstractNum>
  <w:abstractNum w:abstractNumId="1">
    <w:nsid w:val="198E0547"/>
    <w:multiLevelType w:val="multilevel"/>
    <w:tmpl w:val="198E0547"/>
    <w:lvl w:ilvl="0" w:tentative="0">
      <w:start w:val="2"/>
      <w:numFmt w:val="decimal"/>
      <w:lvlText w:val="%1、"/>
      <w:lvlJc w:val="left"/>
      <w:pPr>
        <w:ind w:left="62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70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42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314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86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58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30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602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74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</w:abstractNum>
  <w:abstractNum w:abstractNumId="2">
    <w:nsid w:val="27D43CCE"/>
    <w:multiLevelType w:val="multilevel"/>
    <w:tmpl w:val="27D43CCE"/>
    <w:lvl w:ilvl="0" w:tentative="0">
      <w:start w:val="1"/>
      <w:numFmt w:val="decimal"/>
      <w:lvlText w:val="%1、"/>
      <w:lvlJc w:val="left"/>
      <w:pPr>
        <w:ind w:left="0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70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42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314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86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58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30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602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74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</w:abstractNum>
  <w:abstractNum w:abstractNumId="3">
    <w:nsid w:val="299C0D37"/>
    <w:multiLevelType w:val="multilevel"/>
    <w:tmpl w:val="299C0D37"/>
    <w:lvl w:ilvl="0" w:tentative="0">
      <w:start w:val="1"/>
      <w:numFmt w:val="ideographDigital"/>
      <w:lvlText w:val="（%1）"/>
      <w:lvlJc w:val="left"/>
      <w:pPr>
        <w:ind w:left="0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70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42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314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86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58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30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602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74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</w:abstractNum>
  <w:abstractNum w:abstractNumId="4">
    <w:nsid w:val="37A73F00"/>
    <w:multiLevelType w:val="multilevel"/>
    <w:tmpl w:val="37A73F00"/>
    <w:lvl w:ilvl="0" w:tentative="0">
      <w:start w:val="10"/>
      <w:numFmt w:val="japaneseCounting"/>
      <w:lvlText w:val="%1、"/>
      <w:lvlJc w:val="left"/>
      <w:pPr>
        <w:ind w:left="1351" w:hanging="720"/>
      </w:pPr>
      <w:rPr>
        <w:rFonts w:hint="default" w:ascii="黑体" w:hAnsi="黑体" w:eastAsia="黑体" w:cs="黑体"/>
      </w:rPr>
    </w:lvl>
    <w:lvl w:ilvl="1" w:tentative="0">
      <w:start w:val="1"/>
      <w:numFmt w:val="lowerLetter"/>
      <w:lvlText w:val="%2)"/>
      <w:lvlJc w:val="left"/>
      <w:pPr>
        <w:ind w:left="1471" w:hanging="420"/>
      </w:pPr>
    </w:lvl>
    <w:lvl w:ilvl="2" w:tentative="0">
      <w:start w:val="1"/>
      <w:numFmt w:val="lowerRoman"/>
      <w:lvlText w:val="%3."/>
      <w:lvlJc w:val="right"/>
      <w:pPr>
        <w:ind w:left="1891" w:hanging="420"/>
      </w:pPr>
    </w:lvl>
    <w:lvl w:ilvl="3" w:tentative="0">
      <w:start w:val="1"/>
      <w:numFmt w:val="decimal"/>
      <w:lvlText w:val="%4."/>
      <w:lvlJc w:val="left"/>
      <w:pPr>
        <w:ind w:left="2311" w:hanging="420"/>
      </w:pPr>
    </w:lvl>
    <w:lvl w:ilvl="4" w:tentative="0">
      <w:start w:val="1"/>
      <w:numFmt w:val="lowerLetter"/>
      <w:lvlText w:val="%5)"/>
      <w:lvlJc w:val="left"/>
      <w:pPr>
        <w:ind w:left="2731" w:hanging="420"/>
      </w:pPr>
    </w:lvl>
    <w:lvl w:ilvl="5" w:tentative="0">
      <w:start w:val="1"/>
      <w:numFmt w:val="lowerRoman"/>
      <w:lvlText w:val="%6."/>
      <w:lvlJc w:val="right"/>
      <w:pPr>
        <w:ind w:left="3151" w:hanging="420"/>
      </w:pPr>
    </w:lvl>
    <w:lvl w:ilvl="6" w:tentative="0">
      <w:start w:val="1"/>
      <w:numFmt w:val="decimal"/>
      <w:lvlText w:val="%7."/>
      <w:lvlJc w:val="left"/>
      <w:pPr>
        <w:ind w:left="3571" w:hanging="420"/>
      </w:pPr>
    </w:lvl>
    <w:lvl w:ilvl="7" w:tentative="0">
      <w:start w:val="1"/>
      <w:numFmt w:val="lowerLetter"/>
      <w:lvlText w:val="%8)"/>
      <w:lvlJc w:val="left"/>
      <w:pPr>
        <w:ind w:left="3991" w:hanging="420"/>
      </w:pPr>
    </w:lvl>
    <w:lvl w:ilvl="8" w:tentative="0">
      <w:start w:val="1"/>
      <w:numFmt w:val="lowerRoman"/>
      <w:lvlText w:val="%9."/>
      <w:lvlJc w:val="right"/>
      <w:pPr>
        <w:ind w:left="4411" w:hanging="420"/>
      </w:pPr>
    </w:lvl>
  </w:abstractNum>
  <w:abstractNum w:abstractNumId="5">
    <w:nsid w:val="445B133D"/>
    <w:multiLevelType w:val="multilevel"/>
    <w:tmpl w:val="445B133D"/>
    <w:lvl w:ilvl="0" w:tentative="0">
      <w:start w:val="1"/>
      <w:numFmt w:val="ideographDigital"/>
      <w:lvlText w:val="（%1）"/>
      <w:lvlJc w:val="left"/>
      <w:pPr>
        <w:ind w:left="0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70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42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314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86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58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30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602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74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</w:abstractNum>
  <w:abstractNum w:abstractNumId="6">
    <w:nsid w:val="53733695"/>
    <w:multiLevelType w:val="multilevel"/>
    <w:tmpl w:val="53733695"/>
    <w:lvl w:ilvl="0" w:tentative="0">
      <w:start w:val="2"/>
      <w:numFmt w:val="ideographDigital"/>
      <w:lvlText w:val="（%1）"/>
      <w:lvlJc w:val="left"/>
      <w:pPr>
        <w:ind w:left="0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721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441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3161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881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601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321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6041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761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</w:abstractNum>
  <w:abstractNum w:abstractNumId="7">
    <w:nsid w:val="55FB55E3"/>
    <w:multiLevelType w:val="multilevel"/>
    <w:tmpl w:val="55FB55E3"/>
    <w:lvl w:ilvl="0" w:tentative="0">
      <w:start w:val="7"/>
      <w:numFmt w:val="japaneseCounting"/>
      <w:lvlText w:val="%1、"/>
      <w:lvlJc w:val="left"/>
      <w:pPr>
        <w:ind w:left="1346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66" w:hanging="420"/>
      </w:pPr>
    </w:lvl>
    <w:lvl w:ilvl="2" w:tentative="0">
      <w:start w:val="1"/>
      <w:numFmt w:val="lowerRoman"/>
      <w:lvlText w:val="%3."/>
      <w:lvlJc w:val="right"/>
      <w:pPr>
        <w:ind w:left="1886" w:hanging="420"/>
      </w:pPr>
    </w:lvl>
    <w:lvl w:ilvl="3" w:tentative="0">
      <w:start w:val="1"/>
      <w:numFmt w:val="decimal"/>
      <w:lvlText w:val="%4."/>
      <w:lvlJc w:val="left"/>
      <w:pPr>
        <w:ind w:left="2306" w:hanging="420"/>
      </w:pPr>
    </w:lvl>
    <w:lvl w:ilvl="4" w:tentative="0">
      <w:start w:val="1"/>
      <w:numFmt w:val="lowerLetter"/>
      <w:lvlText w:val="%5)"/>
      <w:lvlJc w:val="left"/>
      <w:pPr>
        <w:ind w:left="2726" w:hanging="420"/>
      </w:pPr>
    </w:lvl>
    <w:lvl w:ilvl="5" w:tentative="0">
      <w:start w:val="1"/>
      <w:numFmt w:val="lowerRoman"/>
      <w:lvlText w:val="%6."/>
      <w:lvlJc w:val="right"/>
      <w:pPr>
        <w:ind w:left="3146" w:hanging="420"/>
      </w:pPr>
    </w:lvl>
    <w:lvl w:ilvl="6" w:tentative="0">
      <w:start w:val="1"/>
      <w:numFmt w:val="decimal"/>
      <w:lvlText w:val="%7."/>
      <w:lvlJc w:val="left"/>
      <w:pPr>
        <w:ind w:left="3566" w:hanging="420"/>
      </w:pPr>
    </w:lvl>
    <w:lvl w:ilvl="7" w:tentative="0">
      <w:start w:val="1"/>
      <w:numFmt w:val="lowerLetter"/>
      <w:lvlText w:val="%8)"/>
      <w:lvlJc w:val="left"/>
      <w:pPr>
        <w:ind w:left="3986" w:hanging="420"/>
      </w:pPr>
    </w:lvl>
    <w:lvl w:ilvl="8" w:tentative="0">
      <w:start w:val="1"/>
      <w:numFmt w:val="lowerRoman"/>
      <w:lvlText w:val="%9."/>
      <w:lvlJc w:val="right"/>
      <w:pPr>
        <w:ind w:left="4406" w:hanging="420"/>
      </w:pPr>
    </w:lvl>
  </w:abstractNum>
  <w:abstractNum w:abstractNumId="8">
    <w:nsid w:val="5B15EE0D"/>
    <w:multiLevelType w:val="singleLevel"/>
    <w:tmpl w:val="5B15EE0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9">
    <w:nsid w:val="7E8913C9"/>
    <w:multiLevelType w:val="multilevel"/>
    <w:tmpl w:val="7E8913C9"/>
    <w:lvl w:ilvl="0" w:tentative="0">
      <w:start w:val="6"/>
      <w:numFmt w:val="japaneseCounting"/>
      <w:lvlText w:val="（%1）"/>
      <w:lvlJc w:val="left"/>
      <w:pPr>
        <w:ind w:left="0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70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42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314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86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58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30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602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746"/>
      </w:pPr>
      <w:rPr>
        <w:rFonts w:ascii="仿宋" w:hAnsi="仿宋" w:eastAsia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461"/>
    <w:rsid w:val="00085C59"/>
    <w:rsid w:val="001D0567"/>
    <w:rsid w:val="00200F2D"/>
    <w:rsid w:val="00246B47"/>
    <w:rsid w:val="00287A14"/>
    <w:rsid w:val="002B5D24"/>
    <w:rsid w:val="004A4461"/>
    <w:rsid w:val="00A44BD1"/>
    <w:rsid w:val="00A845D4"/>
    <w:rsid w:val="00AE3A1A"/>
    <w:rsid w:val="00BF6248"/>
    <w:rsid w:val="00D4260E"/>
    <w:rsid w:val="00DC6553"/>
    <w:rsid w:val="00ED09FB"/>
    <w:rsid w:val="091F2435"/>
    <w:rsid w:val="0D1D1B5F"/>
    <w:rsid w:val="1F346038"/>
    <w:rsid w:val="1F8F4610"/>
    <w:rsid w:val="260758D1"/>
    <w:rsid w:val="2BBB04B6"/>
    <w:rsid w:val="2F7A6493"/>
    <w:rsid w:val="33CC4467"/>
    <w:rsid w:val="34F90B82"/>
    <w:rsid w:val="3A18736F"/>
    <w:rsid w:val="4BE85214"/>
    <w:rsid w:val="5AA57008"/>
    <w:rsid w:val="5AC5229E"/>
    <w:rsid w:val="65277C60"/>
    <w:rsid w:val="65941A60"/>
    <w:rsid w:val="6641072E"/>
    <w:rsid w:val="6AA02D47"/>
    <w:rsid w:val="73ED7A24"/>
    <w:rsid w:val="790A5C78"/>
    <w:rsid w:val="792A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34" w:lineRule="auto"/>
      <w:ind w:firstLine="631"/>
    </w:pPr>
    <w:rPr>
      <w:rFonts w:ascii="仿宋" w:hAnsi="仿宋" w:eastAsia="仿宋" w:cs="仿宋"/>
      <w:color w:val="000000"/>
      <w:kern w:val="2"/>
      <w:sz w:val="32"/>
      <w:szCs w:val="22"/>
      <w:lang w:val="en-US" w:eastAsia="zh-CN" w:bidi="ar-SA"/>
    </w:rPr>
  </w:style>
  <w:style w:type="paragraph" w:styleId="2">
    <w:name w:val="heading 1"/>
    <w:next w:val="1"/>
    <w:link w:val="5"/>
    <w:unhideWhenUsed/>
    <w:qFormat/>
    <w:uiPriority w:val="9"/>
    <w:pPr>
      <w:keepNext/>
      <w:keepLines/>
      <w:spacing w:after="112" w:line="259" w:lineRule="auto"/>
      <w:ind w:left="636" w:hanging="10"/>
      <w:outlineLvl w:val="0"/>
    </w:pPr>
    <w:rPr>
      <w:rFonts w:ascii="黑体" w:hAnsi="黑体" w:eastAsia="黑体" w:cs="黑体"/>
      <w:color w:val="000000"/>
      <w:kern w:val="2"/>
      <w:sz w:val="32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link w:val="2"/>
    <w:qFormat/>
    <w:uiPriority w:val="0"/>
    <w:rPr>
      <w:rFonts w:ascii="黑体" w:hAnsi="黑体" w:eastAsia="黑体" w:cs="黑体"/>
      <w:color w:val="000000"/>
      <w:sz w:val="32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449</Words>
  <Characters>2560</Characters>
  <Lines>21</Lines>
  <Paragraphs>6</Paragraphs>
  <TotalTime>14</TotalTime>
  <ScaleCrop>false</ScaleCrop>
  <LinksUpToDate>false</LinksUpToDate>
  <CharactersWithSpaces>3003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2019-03-15T08:10:00Z</dcterms:created>
  <dc:creator>HP</dc:creator>
  <cp:lastModifiedBy>利剑</cp:lastModifiedBy>
  <dcterms:modified xsi:type="dcterms:W3CDTF">2019-03-17T09:24:35Z</dcterms:modified>
  <dc:title>莫旗奎勒河镇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