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2017年度预算情况补充说明</w:t>
      </w:r>
      <w:bookmarkEnd w:id="0"/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机关运行经费安排情况</w:t>
      </w:r>
    </w:p>
    <w:p>
      <w:pPr>
        <w:numPr>
          <w:numId w:val="0"/>
        </w:numPr>
        <w:ind w:firstLine="64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2017年度预算安排机关运行经费64.10万元，其中：办公费19.33万元；水费2.10万元；电费5.20万元；邮电费0.7万元；取暖费14.80万元；物业管理费5.10万元；差旅费7.07万元；培训费0.72万元；公务接待费0.08万元；公务用车运行维护费9.00万元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政府采购安排情况</w:t>
      </w:r>
    </w:p>
    <w:p>
      <w:pPr>
        <w:numPr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2017年度未安排政府采购预算。</w:t>
      </w:r>
    </w:p>
    <w:p>
      <w:pPr>
        <w:numPr>
          <w:numId w:val="0"/>
        </w:num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FEE55"/>
    <w:multiLevelType w:val="singleLevel"/>
    <w:tmpl w:val="59EFEE55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7E011D"/>
    <w:rsid w:val="437E01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2017-10-25T01:43:00Z</dcterms:created>
  <dc:creator>john</dc:creator>
  <cp:lastModifiedBy>john</cp:lastModifiedBy>
  <dcterms:modified xsi:type="dcterms:W3CDTF">2017-10-25T01:49:40Z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